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91440</wp:posOffset>
            </wp:positionV>
            <wp:extent cx="9436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pacing w:after="0" w:line="28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120015</wp:posOffset>
            </wp:positionV>
            <wp:extent cx="9436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pacing w:after="0" w:line="3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(Mark One)</w:t>
      </w:r>
    </w:p>
    <w:p>
      <w:pPr>
        <w:spacing w:after="0" w:line="56" w:lineRule="exact"/>
        <w:rPr>
          <w:sz w:val="24"/>
          <w:szCs w:val="24"/>
          <w:color w:val="auto"/>
        </w:rPr>
      </w:pPr>
    </w:p>
    <w:p>
      <w:pPr>
        <w:ind w:left="260" w:right="2280" w:hanging="225"/>
        <w:spacing w:after="0" w:line="331" w:lineRule="auto"/>
        <w:tabs>
          <w:tab w:leader="none" w:pos="2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b w:val="1"/>
          <w:bCs w:val="1"/>
          <w:u w:val="single" w:color="auto"/>
          <w:color w:val="auto"/>
        </w:rPr>
        <w:t>March 31, 2019</w:t>
      </w:r>
    </w:p>
    <w:p>
      <w:pPr>
        <w:spacing w:after="0" w:line="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61" w:lineRule="exact"/>
        <w:rPr>
          <w:sz w:val="24"/>
          <w:szCs w:val="24"/>
          <w:color w:val="auto"/>
        </w:rPr>
      </w:pPr>
    </w:p>
    <w:p>
      <w:pPr>
        <w:ind w:left="260" w:right="2280" w:hanging="225"/>
        <w:spacing w:after="0" w:line="369" w:lineRule="auto"/>
        <w:tabs>
          <w:tab w:leader="none" w:pos="2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Commission File Number: 0-19034</w:t>
      </w:r>
    </w:p>
    <w:p>
      <w:pPr>
        <w:spacing w:after="0" w:line="3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REGENERON PHARMACEUTICALS, INC.</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28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13-3444607</w:t>
            </w:r>
          </w:p>
        </w:tc>
        <w:tc>
          <w:tcPr>
            <w:tcW w:w="840" w:type="dxa"/>
            <w:vAlign w:val="bottom"/>
          </w:tcPr>
          <w:p>
            <w:pPr>
              <w:spacing w:after="0"/>
              <w:rPr>
                <w:sz w:val="17"/>
                <w:szCs w:val="17"/>
                <w:color w:val="auto"/>
              </w:rPr>
            </w:pPr>
          </w:p>
        </w:tc>
      </w:tr>
      <w:tr>
        <w:trPr>
          <w:trHeight w:val="291"/>
        </w:trPr>
        <w:tc>
          <w:tcPr>
            <w:tcW w:w="546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6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bl>
    <w:p>
      <w:pPr>
        <w:spacing w:after="0" w:line="144" w:lineRule="exact"/>
        <w:rPr>
          <w:sz w:val="24"/>
          <w:szCs w:val="24"/>
          <w:color w:val="auto"/>
        </w:rPr>
      </w:pPr>
    </w:p>
    <w:p>
      <w:pPr>
        <w:sectPr>
          <w:pgSz w:w="11900" w:h="16838" w:orient="portrait"/>
          <w:cols w:equalWidth="0" w:num="1">
            <w:col w:w="11240"/>
          </w:cols>
          <w:pgMar w:left="240" w:top="468" w:right="419" w:bottom="1440" w:gutter="0" w:footer="0" w:header="0"/>
        </w:sectPr>
      </w:pPr>
    </w:p>
    <w:tbl>
      <w:tblPr>
        <w:tblLayout w:type="fixed"/>
        <w:tblInd w:w="800" w:type="dxa"/>
        <w:tblCellMar>
          <w:top w:w="0" w:type="dxa"/>
          <w:left w:w="0" w:type="dxa"/>
          <w:bottom w:w="0" w:type="dxa"/>
          <w:right w:w="0" w:type="dxa"/>
        </w:tblCellMar>
      </w:tblPr>
      <w:tr>
        <w:trPr>
          <w:trHeight w:val="207"/>
        </w:trPr>
        <w:tc>
          <w:tcPr>
            <w:tcW w:w="7020" w:type="dxa"/>
            <w:vAlign w:val="bottom"/>
            <w:gridSpan w:val="4"/>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8"/>
              </w:rPr>
              <w:t>777 Old Saw Mill River Road, Tarrytown, New York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10591-6707</w:t>
            </w:r>
          </w:p>
        </w:tc>
      </w:tr>
      <w:tr>
        <w:trPr>
          <w:trHeight w:val="291"/>
        </w:trPr>
        <w:tc>
          <w:tcPr>
            <w:tcW w:w="4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0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203"/>
        </w:trPr>
        <w:tc>
          <w:tcPr>
            <w:tcW w:w="54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(914) 847-7000</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43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7020" w:type="dxa"/>
            <w:vAlign w:val="bottom"/>
            <w:gridSpan w:val="4"/>
          </w:tcPr>
          <w:p>
            <w:pPr>
              <w:jc w:val="center"/>
              <w:ind w:left="2710"/>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48" w:lineRule="exact"/>
        <w:rPr>
          <w:sz w:val="24"/>
          <w:szCs w:val="24"/>
          <w:color w:val="auto"/>
        </w:rPr>
      </w:pPr>
    </w:p>
    <w:p>
      <w:pPr>
        <w:ind w:left="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7" w:lineRule="exact"/>
        <w:rPr>
          <w:sz w:val="24"/>
          <w:szCs w:val="24"/>
          <w:color w:val="auto"/>
        </w:rPr>
      </w:pPr>
    </w:p>
    <w:p>
      <w:pPr>
        <w:ind w:left="40" w:right="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240"/>
        <w:spacing w:after="0" w:line="184" w:lineRule="exact"/>
        <w:tabs>
          <w:tab w:leader="none" w:pos="2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99" w:lineRule="exact"/>
        <w:rPr>
          <w:sz w:val="24"/>
          <w:szCs w:val="24"/>
          <w:color w:val="auto"/>
        </w:rPr>
      </w:pPr>
    </w:p>
    <w:p>
      <w:pPr>
        <w:jc w:val="center"/>
        <w:ind w:right="240"/>
        <w:spacing w:after="0" w:line="184" w:lineRule="exact"/>
        <w:tabs>
          <w:tab w:leader="none" w:pos="2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6"/>
          <w:szCs w:val="16"/>
          <w:color w:val="auto"/>
        </w:rPr>
        <w:t>☐</w:t>
      </w:r>
    </w:p>
    <w:p>
      <w:pPr>
        <w:spacing w:after="0" w:line="234" w:lineRule="exact"/>
        <w:rPr>
          <w:sz w:val="24"/>
          <w:szCs w:val="24"/>
          <w:color w:val="auto"/>
        </w:rPr>
      </w:pPr>
    </w:p>
    <w:p>
      <w:pPr>
        <w:sectPr>
          <w:pgSz w:w="11900" w:h="16838" w:orient="portrait"/>
          <w:cols w:equalWidth="0" w:num="2">
            <w:col w:w="9700" w:space="260"/>
            <w:col w:w="1280"/>
          </w:cols>
          <w:pgMar w:left="240" w:top="468" w:right="419" w:bottom="1440" w:gutter="0" w:footer="0" w:header="0"/>
          <w:type w:val="continuous"/>
        </w:sectPr>
      </w:pPr>
    </w:p>
    <w:p>
      <w:pPr>
        <w:ind w:left="1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1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Large accelerated</w:t>
            </w:r>
          </w:p>
        </w:tc>
        <w:tc>
          <w:tcPr>
            <w:tcW w:w="1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Accelerated</w:t>
            </w:r>
          </w:p>
        </w:tc>
        <w:tc>
          <w:tcPr>
            <w:tcW w:w="1940" w:type="dxa"/>
            <w:vAlign w:val="bottom"/>
            <w:vMerge w:val="restart"/>
          </w:tcPr>
          <w:p>
            <w:pPr>
              <w:ind w:left="24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2260" w:type="dxa"/>
            <w:vAlign w:val="bottom"/>
            <w:vMerge w:val="restart"/>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tc>
        <w:tc>
          <w:tcPr>
            <w:tcW w:w="2960" w:type="dxa"/>
            <w:vAlign w:val="bottom"/>
            <w:vMerge w:val="restart"/>
          </w:tcPr>
          <w:p>
            <w:pPr>
              <w:jc w:val="right"/>
              <w:ind w:right="78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780" w:type="dxa"/>
            <w:vAlign w:val="bottom"/>
          </w:tcPr>
          <w:p>
            <w:pPr>
              <w:ind w:left="1000"/>
              <w:spacing w:after="0" w:line="184"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6"/>
                <w:szCs w:val="16"/>
                <w:color w:val="auto"/>
              </w:rPr>
              <w:t>☒</w:t>
            </w:r>
          </w:p>
        </w:tc>
        <w:tc>
          <w:tcPr>
            <w:tcW w:w="1520" w:type="dxa"/>
            <w:vAlign w:val="bottom"/>
          </w:tcPr>
          <w:p>
            <w:pPr>
              <w:ind w:left="800"/>
              <w:spacing w:after="0" w:line="184"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6"/>
                <w:szCs w:val="16"/>
                <w:color w:val="auto"/>
              </w:rPr>
              <w:t>☐</w:t>
            </w:r>
          </w:p>
        </w:tc>
        <w:tc>
          <w:tcPr>
            <w:tcW w:w="194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296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104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or revised financial accounting standards provided pursuant to Section 13(a) of the Exchange Act.</w:t>
            </w:r>
          </w:p>
        </w:tc>
        <w:tc>
          <w:tcPr>
            <w:tcW w:w="2960" w:type="dxa"/>
            <w:vAlign w:val="bottom"/>
          </w:tcPr>
          <w:p>
            <w:pPr>
              <w:jc w:val="right"/>
              <w:ind w:right="85"/>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7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2960" w:type="dxa"/>
            <w:vAlign w:val="bottom"/>
          </w:tcPr>
          <w:p>
            <w:pPr>
              <w:jc w:val="right"/>
              <w:ind w:right="85"/>
              <w:spacing w:after="0" w:line="184"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6"/>
                <w:szCs w:val="16"/>
                <w:color w:val="auto"/>
              </w:rPr>
              <w:t>☐</w:t>
            </w:r>
          </w:p>
        </w:tc>
        <w:tc>
          <w:tcPr>
            <w:tcW w:w="500" w:type="dxa"/>
            <w:vAlign w:val="bottom"/>
          </w:tcPr>
          <w:p>
            <w:pPr>
              <w:ind w:left="140"/>
              <w:spacing w:after="0" w:line="184" w:lineRule="exact"/>
              <w:rPr>
                <w:sz w:val="20"/>
                <w:szCs w:val="20"/>
                <w:color w:val="auto"/>
              </w:rPr>
            </w:pPr>
            <w:r>
              <w:rPr>
                <w:rFonts w:ascii="Times New Roman" w:cs="Times New Roman" w:eastAsia="Times New Roman" w:hAnsi="Times New Roman"/>
                <w:sz w:val="13"/>
                <w:szCs w:val="13"/>
                <w:color w:val="auto"/>
                <w:w w:val="96"/>
              </w:rPr>
              <w:t xml:space="preserve">No </w:t>
            </w:r>
            <w:r>
              <w:rPr>
                <w:rFonts w:ascii="MS PGothic" w:cs="MS PGothic" w:eastAsia="MS PGothic" w:hAnsi="MS PGothic"/>
                <w:sz w:val="16"/>
                <w:szCs w:val="16"/>
                <w:color w:val="auto"/>
                <w:w w:val="96"/>
              </w:rPr>
              <w:t>☒</w:t>
            </w:r>
          </w:p>
        </w:tc>
        <w:tc>
          <w:tcPr>
            <w:tcW w:w="0" w:type="dxa"/>
            <w:vAlign w:val="bottom"/>
          </w:tcPr>
          <w:p>
            <w:pPr>
              <w:spacing w:after="0"/>
              <w:rPr>
                <w:sz w:val="1"/>
                <w:szCs w:val="1"/>
                <w:color w:val="auto"/>
              </w:rPr>
            </w:pPr>
          </w:p>
        </w:tc>
      </w:tr>
    </w:tbl>
    <w:p>
      <w:pPr>
        <w:spacing w:after="0" w:line="21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8"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3540" w:type="dxa"/>
            <w:vAlign w:val="bottom"/>
            <w:gridSpan w:val="2"/>
          </w:tcPr>
          <w:p>
            <w:pPr>
              <w:jc w:val="center"/>
              <w:ind w:right="2260"/>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24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i w:val="1"/>
                <w:iCs w:val="1"/>
                <w:color w:val="auto"/>
              </w:rPr>
              <w:t>Trading Symbol</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45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24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April 17, 2019:</w:t>
      </w:r>
    </w:p>
    <w:p>
      <w:pPr>
        <w:spacing w:after="0" w:line="181" w:lineRule="exact"/>
        <w:rPr>
          <w:sz w:val="24"/>
          <w:szCs w:val="24"/>
          <w:color w:val="auto"/>
        </w:rPr>
      </w:pPr>
    </w:p>
    <w:tbl>
      <w:tblPr>
        <w:tblLayout w:type="fixed"/>
        <w:tblInd w:w="2340" w:type="dxa"/>
        <w:tblCellMar>
          <w:top w:w="0" w:type="dxa"/>
          <w:left w:w="0" w:type="dxa"/>
          <w:bottom w:w="0" w:type="dxa"/>
          <w:right w:w="0" w:type="dxa"/>
        </w:tblCellMar>
      </w:tblPr>
      <w:tr>
        <w:trPr>
          <w:trHeight w:val="210"/>
        </w:trPr>
        <w:tc>
          <w:tcPr>
            <w:tcW w:w="35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Class of Common Stock</w:t>
            </w:r>
          </w:p>
        </w:tc>
        <w:tc>
          <w:tcPr>
            <w:tcW w:w="318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Number of Shares</w:t>
            </w:r>
          </w:p>
        </w:tc>
      </w:tr>
      <w:tr>
        <w:trPr>
          <w:trHeight w:val="33"/>
        </w:trPr>
        <w:tc>
          <w:tcPr>
            <w:tcW w:w="3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17"/>
        </w:trPr>
        <w:tc>
          <w:tcPr>
            <w:tcW w:w="35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18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rPr>
              <w:t>1,911,354</w:t>
            </w:r>
          </w:p>
        </w:tc>
      </w:tr>
      <w:tr>
        <w:trPr>
          <w:trHeight w:val="270"/>
        </w:trPr>
        <w:tc>
          <w:tcPr>
            <w:tcW w:w="35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1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rPr>
              <w:t>107,727,418</w:t>
            </w:r>
          </w:p>
        </w:tc>
      </w:tr>
    </w:tbl>
    <w:p>
      <w:pPr>
        <w:sectPr>
          <w:pgSz w:w="11900" w:h="16838" w:orient="portrait"/>
          <w:cols w:equalWidth="0" w:num="1">
            <w:col w:w="11240"/>
          </w:cols>
          <w:pgMar w:left="240" w:top="468" w:right="4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w:t>
              </w:r>
            </w:hyperlink>
          </w:p>
        </w:tc>
        <w:tc>
          <w:tcPr>
            <w:tcW w:w="3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1020" w:type="dxa"/>
            <w:vAlign w:val="bottom"/>
            <w:gridSpan w:val="5"/>
            <w:shd w:val="clear" w:color="auto" w:fill="CCEEFF"/>
          </w:tcPr>
          <w:p>
            <w:pPr>
              <w:jc w:val="center"/>
              <w:ind w:left="730"/>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March 31, 2019 and December 31, 2018</w:t>
              </w:r>
            </w:hyperlink>
          </w:p>
        </w:tc>
        <w:tc>
          <w:tcPr>
            <w:tcW w:w="1020" w:type="dxa"/>
            <w:vAlign w:val="bottom"/>
            <w:gridSpan w:val="5"/>
            <w:shd w:val="clear" w:color="auto" w:fill="CCEEFF"/>
          </w:tcPr>
          <w:p>
            <w:pPr>
              <w:jc w:val="center"/>
              <w:ind w:left="730"/>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72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Income for the Three</w:t>
              </w:r>
            </w:hyperlink>
          </w:p>
        </w:tc>
        <w:tc>
          <w:tcPr>
            <w:tcW w:w="620" w:type="dxa"/>
            <w:vAlign w:val="bottom"/>
            <w:gridSpan w:val="2"/>
            <w:shd w:val="clear" w:color="auto" w:fill="CCEEFF"/>
          </w:tcPr>
          <w:p>
            <w:pPr>
              <w:spacing w:after="0"/>
              <w:rPr>
                <w:sz w:val="17"/>
                <w:szCs w:val="17"/>
                <w:color w:val="auto"/>
              </w:rPr>
            </w:pPr>
          </w:p>
        </w:tc>
        <w:tc>
          <w:tcPr>
            <w:tcW w:w="1020" w:type="dxa"/>
            <w:vAlign w:val="bottom"/>
            <w:gridSpan w:val="5"/>
            <w:shd w:val="clear" w:color="auto" w:fill="CCEEFF"/>
          </w:tcPr>
          <w:p>
            <w:pPr>
              <w:jc w:val="center"/>
              <w:ind w:left="730"/>
              <w:spacing w:after="0" w:line="202"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Months Ended March 31, 2019 and 2018</w:t>
              </w:r>
            </w:hyperlink>
          </w:p>
        </w:tc>
        <w:tc>
          <w:tcPr>
            <w:tcW w:w="620" w:type="dxa"/>
            <w:vAlign w:val="bottom"/>
            <w:tcBorders>
              <w:top w:val="single" w:sz="8" w:color="CCEEFF"/>
            </w:tcBorders>
            <w:gridSpan w:val="2"/>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Stockholders' Equity for the Three Months Ended March</w:t>
              </w:r>
            </w:hyperlink>
          </w:p>
        </w:tc>
        <w:tc>
          <w:tcPr>
            <w:tcW w:w="1020" w:type="dxa"/>
            <w:vAlign w:val="bottom"/>
            <w:gridSpan w:val="5"/>
            <w:shd w:val="clear" w:color="auto" w:fill="CCEEFF"/>
          </w:tcPr>
          <w:p>
            <w:pPr>
              <w:jc w:val="center"/>
              <w:ind w:left="730"/>
              <w:spacing w:after="0" w:line="202"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4</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696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31, 2019 and 2018</w:t>
              </w:r>
            </w:hyperlink>
          </w:p>
        </w:tc>
        <w:tc>
          <w:tcPr>
            <w:tcW w:w="3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Three Months Ended March 31,</w:t>
              </w:r>
            </w:hyperlink>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658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2019 and 2018</w:t>
              </w:r>
            </w:hyperlink>
          </w:p>
        </w:tc>
        <w:tc>
          <w:tcPr>
            <w:tcW w:w="760" w:type="dxa"/>
            <w:vAlign w:val="bottom"/>
            <w:tcBorders>
              <w:top w:val="single" w:sz="8" w:color="CCEEFF"/>
            </w:tcBorders>
            <w:gridSpan w:val="3"/>
            <w:shd w:val="clear" w:color="auto" w:fill="CCEEFF"/>
          </w:tcPr>
          <w:p>
            <w:pPr>
              <w:spacing w:after="0"/>
              <w:rPr>
                <w:sz w:val="21"/>
                <w:szCs w:val="21"/>
                <w:color w:val="auto"/>
              </w:rPr>
            </w:pPr>
          </w:p>
        </w:tc>
        <w:tc>
          <w:tcPr>
            <w:tcW w:w="1020" w:type="dxa"/>
            <w:vAlign w:val="bottom"/>
            <w:tcBorders>
              <w:top w:val="single" w:sz="8" w:color="CCEEFF"/>
            </w:tcBorders>
            <w:gridSpan w:val="5"/>
            <w:shd w:val="clear" w:color="auto" w:fill="CCEEFF"/>
          </w:tcPr>
          <w:p>
            <w:pPr>
              <w:jc w:val="center"/>
              <w:ind w:left="730"/>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c>
          <w:tcPr>
            <w:tcW w:w="4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1020" w:type="dxa"/>
            <w:vAlign w:val="bottom"/>
            <w:gridSpan w:val="5"/>
            <w:shd w:val="clear" w:color="auto" w:fill="CCEEFF"/>
          </w:tcPr>
          <w:p>
            <w:pPr>
              <w:jc w:val="center"/>
              <w:ind w:left="730"/>
              <w:spacing w:after="0" w:line="202"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2.</w:t>
              </w:r>
            </w:hyperlink>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480" w:type="dxa"/>
            <w:vAlign w:val="bottom"/>
            <w:gridSpan w:val="6"/>
            <w:shd w:val="clear" w:color="auto" w:fill="CCEEFF"/>
          </w:tcPr>
          <w:p>
            <w:pPr>
              <w:jc w:val="center"/>
              <w:ind w:left="290"/>
              <w:spacing w:after="0" w:line="202"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22</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3.</w:t>
              </w:r>
            </w:hyperlink>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Quantitative and Qualitative Disclosures About Market Risk</w:t>
              </w:r>
            </w:hyperlink>
          </w:p>
        </w:tc>
        <w:tc>
          <w:tcPr>
            <w:tcW w:w="1480" w:type="dxa"/>
            <w:vAlign w:val="bottom"/>
            <w:gridSpan w:val="6"/>
            <w:shd w:val="clear" w:color="auto" w:fill="CCEEFF"/>
          </w:tcPr>
          <w:p>
            <w:pPr>
              <w:jc w:val="center"/>
              <w:ind w:left="290"/>
              <w:spacing w:after="0" w:line="202"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40</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4.</w:t>
              </w:r>
            </w:hyperlink>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Controls and Procedures</w:t>
              </w:r>
            </w:hyperlink>
          </w:p>
        </w:tc>
        <w:tc>
          <w:tcPr>
            <w:tcW w:w="1480" w:type="dxa"/>
            <w:vAlign w:val="bottom"/>
            <w:gridSpan w:val="6"/>
            <w:shd w:val="clear" w:color="auto" w:fill="CCEEFF"/>
          </w:tcPr>
          <w:p>
            <w:pPr>
              <w:jc w:val="center"/>
              <w:ind w:left="290"/>
              <w:spacing w:after="0" w:line="202"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41</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42">
              <w:r>
                <w:rPr>
                  <w:rFonts w:ascii="Times New Roman" w:cs="Times New Roman" w:eastAsia="Times New Roman" w:hAnsi="Times New Roman"/>
                  <w:sz w:val="18"/>
                  <w:szCs w:val="18"/>
                  <w:b w:val="1"/>
                  <w:bCs w:val="1"/>
                  <w:color w:val="0000EE"/>
                </w:rPr>
                <w:t>PART II</w:t>
              </w:r>
            </w:hyperlink>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42">
              <w:r>
                <w:rPr>
                  <w:rFonts w:ascii="Times New Roman" w:cs="Times New Roman" w:eastAsia="Times New Roman" w:hAnsi="Times New Roman"/>
                  <w:sz w:val="18"/>
                  <w:szCs w:val="18"/>
                  <w:b w:val="1"/>
                  <w:bCs w:val="1"/>
                  <w:color w:val="0000EE"/>
                </w:rPr>
                <w:t>OTHER INFORMATION</w:t>
              </w:r>
            </w:hyperlink>
          </w:p>
        </w:tc>
        <w:tc>
          <w:tcPr>
            <w:tcW w:w="3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1.</w:t>
              </w:r>
            </w:hyperlink>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Legal Proceedings</w:t>
              </w:r>
            </w:hyperlink>
          </w:p>
        </w:tc>
        <w:tc>
          <w:tcPr>
            <w:tcW w:w="1480" w:type="dxa"/>
            <w:vAlign w:val="bottom"/>
            <w:gridSpan w:val="6"/>
            <w:shd w:val="clear" w:color="auto" w:fill="CCEEFF"/>
          </w:tcPr>
          <w:p>
            <w:pPr>
              <w:jc w:val="center"/>
              <w:ind w:left="290"/>
              <w:spacing w:after="0" w:line="202"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41</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1A.</w:t>
              </w:r>
            </w:hyperlink>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Risk Factors</w:t>
              </w:r>
            </w:hyperlink>
          </w:p>
        </w:tc>
        <w:tc>
          <w:tcPr>
            <w:tcW w:w="1480" w:type="dxa"/>
            <w:vAlign w:val="bottom"/>
            <w:gridSpan w:val="6"/>
            <w:shd w:val="clear" w:color="auto" w:fill="CCEEFF"/>
          </w:tcPr>
          <w:p>
            <w:pPr>
              <w:jc w:val="center"/>
              <w:ind w:left="290"/>
              <w:spacing w:after="0" w:line="202"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41</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Item 2.</w:t>
              </w:r>
            </w:hyperlink>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Unregistered Sales of Equity Securities and Use of Proceeds</w:t>
              </w:r>
            </w:hyperlink>
          </w:p>
        </w:tc>
        <w:tc>
          <w:tcPr>
            <w:tcW w:w="1480" w:type="dxa"/>
            <w:vAlign w:val="bottom"/>
            <w:gridSpan w:val="6"/>
            <w:shd w:val="clear" w:color="auto" w:fill="CCEEFF"/>
          </w:tcPr>
          <w:p>
            <w:pPr>
              <w:jc w:val="center"/>
              <w:ind w:left="290"/>
              <w:spacing w:after="0" w:line="202"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70</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71">
              <w:r>
                <w:rPr>
                  <w:rFonts w:ascii="Times New Roman" w:cs="Times New Roman" w:eastAsia="Times New Roman" w:hAnsi="Times New Roman"/>
                  <w:sz w:val="18"/>
                  <w:szCs w:val="18"/>
                  <w:color w:val="0000EE"/>
                  <w:w w:val="97"/>
                </w:rPr>
                <w:t>Item 6.</w:t>
              </w:r>
            </w:hyperlink>
          </w:p>
        </w:tc>
        <w:tc>
          <w:tcPr>
            <w:tcW w:w="620" w:type="dxa"/>
            <w:vAlign w:val="bottom"/>
            <w:gridSpan w:val="4"/>
            <w:shd w:val="clear" w:color="auto" w:fill="CCEEFF"/>
          </w:tcPr>
          <w:p>
            <w:pPr>
              <w:spacing w:after="0"/>
              <w:rPr>
                <w:sz w:val="21"/>
                <w:szCs w:val="21"/>
                <w:color w:val="auto"/>
              </w:rPr>
            </w:pPr>
          </w:p>
        </w:tc>
        <w:tc>
          <w:tcPr>
            <w:tcW w:w="73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Exhibits</w:t>
              </w:r>
            </w:hyperlink>
          </w:p>
        </w:tc>
        <w:tc>
          <w:tcPr>
            <w:tcW w:w="1480" w:type="dxa"/>
            <w:vAlign w:val="bottom"/>
            <w:gridSpan w:val="6"/>
            <w:shd w:val="clear" w:color="auto" w:fill="CCEEFF"/>
          </w:tcPr>
          <w:p>
            <w:pPr>
              <w:jc w:val="center"/>
              <w:ind w:left="290"/>
              <w:spacing w:after="0" w:line="202"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70</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8480" w:type="dxa"/>
            <w:vAlign w:val="bottom"/>
            <w:gridSpan w:val="23"/>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72">
              <w:r>
                <w:rPr>
                  <w:rFonts w:ascii="Times New Roman" w:cs="Times New Roman" w:eastAsia="Times New Roman" w:hAnsi="Times New Roman"/>
                  <w:sz w:val="18"/>
                  <w:szCs w:val="18"/>
                  <w:b w:val="1"/>
                  <w:bCs w:val="1"/>
                  <w:color w:val="0000EE"/>
                </w:rPr>
                <w:t>SIGNATURE PAGE</w:t>
              </w:r>
            </w:hyperlink>
          </w:p>
        </w:tc>
        <w:tc>
          <w:tcPr>
            <w:tcW w:w="1480" w:type="dxa"/>
            <w:vAlign w:val="bottom"/>
            <w:gridSpan w:val="6"/>
            <w:shd w:val="clear" w:color="auto" w:fill="CCEEFF"/>
          </w:tcPr>
          <w:p>
            <w:pPr>
              <w:jc w:val="center"/>
              <w:ind w:left="290"/>
              <w:spacing w:after="0" w:line="202" w:lineRule="exact"/>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71</w:t>
              </w:r>
            </w:hyperlink>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"Libtayo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 the United States), "Regeneron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"Regeneron Genetics Center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"Veloci-Bi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"VelociGene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"VelociMab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"VelocImmune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"VelociMouse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"VelociSuite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"ZALTRAP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140"/>
          </w:cols>
          <w:pgMar w:left="380" w:top="360" w:right="379" w:bottom="1440" w:gutter="0" w:footer="0" w:header="0"/>
        </w:sectPr>
      </w:pPr>
    </w:p>
    <w:bookmarkStart w:id="2" w:name="page3"/>
    <w:bookmarkEnd w:id="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share data)</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8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1,467.7</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1,342.2</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1,723.7</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from Sanofi</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226.4</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from Bayer</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293.1</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1,151.2</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w:t>
            </w: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6,928.6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6,447.6</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1,755.0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2,575.8</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828.7</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w:t>
            </w: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12,854.8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11,734.5</w:t>
            </w:r>
          </w:p>
        </w:tc>
      </w:tr>
      <w:tr>
        <w:trPr>
          <w:trHeight w:val="67"/>
        </w:trPr>
        <w:tc>
          <w:tcPr>
            <w:tcW w:w="8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64"/>
        </w:trPr>
        <w:tc>
          <w:tcPr>
            <w:tcW w:w="8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81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218.2</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772.1</w:t>
            </w:r>
          </w:p>
        </w:tc>
      </w:tr>
      <w:tr>
        <w:trPr>
          <w:trHeight w:val="243"/>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 from Sanofi</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246.7</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 - other</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205.8</w:t>
            </w: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1,442.8</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708.5</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from Sanofi</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279.3</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other</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184.9</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361.7</w:t>
            </w: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3,410.1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2,977.2</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8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Preferred Stock, $.01 par value; 30,000,000 shares authorized; issued and outstanding - none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Class A Stock, convertible, $.001 par value; 40,000,000 shares authorized; shares issued and outstanding -</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4"/>
        </w:trPr>
        <w:tc>
          <w:tcPr>
            <w:tcW w:w="8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1,911,354 in 2019 and 2018</w:t>
            </w: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8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$.001 par value; 320,000,000 shares authorized; shares issued - 111,718,248 in 2019 and</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1"/>
        </w:trPr>
        <w:tc>
          <w:tcPr>
            <w:tcW w:w="8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111,084,951 in 2018</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3,911.6</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5,254.3</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at cost; 4,046,627 shares in 2019 and 3,990,021 shares in 2018</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9,444.7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8,757.3</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12,854.8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11,734.5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36830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53975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26" w:right="259" w:bottom="725"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26" w:right="259" w:bottom="725"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880" w:type="dxa"/>
            <w:vAlign w:val="bottom"/>
            <w:gridSpan w:val="2"/>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Table of Contents</w:t>
              </w:r>
            </w:hyperlink>
          </w:p>
        </w:tc>
        <w:tc>
          <w:tcPr>
            <w:tcW w:w="4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33"/>
        </w:trPr>
        <w:tc>
          <w:tcPr>
            <w:tcW w:w="11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462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00" w:type="dxa"/>
            <w:vAlign w:val="bottom"/>
            <w:gridSpan w:val="6"/>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2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62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6"/>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4"/>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46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987.9</w:t>
            </w:r>
          </w:p>
        </w:tc>
      </w:tr>
      <w:tr>
        <w:trPr>
          <w:trHeight w:val="243"/>
        </w:trPr>
        <w:tc>
          <w:tcPr>
            <w:tcW w:w="3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189.5</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Bayer collaboration revenue</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247.9</w:t>
            </w:r>
          </w:p>
        </w:tc>
      </w:tr>
      <w:tr>
        <w:trPr>
          <w:trHeight w:val="243"/>
        </w:trPr>
        <w:tc>
          <w:tcPr>
            <w:tcW w:w="3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revenue</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1,711.8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1,511.5</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498.6</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330.8</w:t>
            </w:r>
          </w:p>
        </w:tc>
      </w:tr>
      <w:tr>
        <w:trPr>
          <w:trHeight w:val="243"/>
        </w:trPr>
        <w:tc>
          <w:tcPr>
            <w:tcW w:w="3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 of goods sold</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4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1,231.8</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944.3</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567.2</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3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585.4</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4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64"/>
        </w:trPr>
        <w:tc>
          <w:tcPr>
            <w:tcW w:w="3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478.0</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46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4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478.0</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Unrealized gain (loss) on debt securities</w:t>
            </w:r>
          </w:p>
        </w:tc>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(loss) gain on cash flow hedges</w:t>
            </w:r>
          </w:p>
        </w:tc>
        <w:tc>
          <w:tcPr>
            <w:tcW w:w="4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42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468.3</w:t>
            </w: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2300" w:type="dxa"/>
            <w:vAlign w:val="bottom"/>
            <w:gridSpan w:val="3"/>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Table of Contents</w:t>
              </w:r>
            </w:hyperlink>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gridSpan w:val="23"/>
          </w:tcPr>
          <w:p>
            <w:pPr>
              <w:jc w:val="right"/>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1460" w:type="dxa"/>
            <w:vAlign w:val="bottom"/>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580" w:type="dxa"/>
            <w:vAlign w:val="bottom"/>
            <w:gridSpan w:val="5"/>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gridSpan w:val="5"/>
            <w:vMerge w:val="continue"/>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580" w:type="dxa"/>
            <w:vAlign w:val="bottom"/>
            <w:gridSpan w:val="5"/>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0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220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8,757.3</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 connection with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tendered</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upon exercise of stock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and vesting of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stock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connection with</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 tax obligations</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 connection with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Company 401(k) Savings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from Sanofi</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charges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upon adoption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new accounting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standard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2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2019</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4,160.9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5,725.1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9,444.7</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2,946.7</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6,144.1</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 connection with</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 connection with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Company 401(k) Savings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charges</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Cumulative-effect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adjustment upon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adoption of new</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accounting standards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478.0</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2018</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3,287.8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6,567.6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22860</wp:posOffset>
            </wp:positionV>
            <wp:extent cx="7126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40005</wp:posOffset>
            </wp:positionV>
            <wp:extent cx="7126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20"/>
          </w:cols>
          <w:pgMar w:left="240" w:top="11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8080" w:type="dxa"/>
            <w:vAlign w:val="bottom"/>
            <w:gridSpan w:val="2"/>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Table of Contents</w:t>
              </w:r>
            </w:hyperlink>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33"/>
        </w:trPr>
        <w:tc>
          <w:tcPr>
            <w:tcW w:w="1160" w:type="dxa"/>
            <w:vAlign w:val="bottom"/>
            <w:tcBorders>
              <w:top w:val="single" w:sz="8" w:color="0000EE"/>
            </w:tcBorders>
          </w:tcPr>
          <w:p>
            <w:pPr>
              <w:spacing w:after="0"/>
              <w:rPr>
                <w:sz w:val="24"/>
                <w:szCs w:val="24"/>
                <w:color w:val="auto"/>
              </w:rPr>
            </w:pPr>
          </w:p>
        </w:tc>
        <w:tc>
          <w:tcPr>
            <w:tcW w:w="692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48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692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56"/>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478.0</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r>
      <w:tr>
        <w:trPr>
          <w:trHeight w:val="243"/>
        </w:trPr>
        <w:tc>
          <w:tcPr>
            <w:tcW w:w="8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non-cash items,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8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decrease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r>
      <w:tr>
        <w:trPr>
          <w:trHeight w:val="243"/>
        </w:trPr>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in inventories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r>
      <w:tr>
        <w:trPr>
          <w:trHeight w:val="243"/>
        </w:trPr>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r>
      <w:tr>
        <w:trPr>
          <w:trHeight w:val="237"/>
        </w:trPr>
        <w:tc>
          <w:tcPr>
            <w:tcW w:w="8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140.8</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618.8</w:t>
            </w:r>
          </w:p>
        </w:tc>
      </w:tr>
      <w:tr>
        <w:trPr>
          <w:trHeight w:val="277"/>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255.3</w:t>
            </w:r>
          </w:p>
        </w:tc>
      </w:tr>
      <w:tr>
        <w:trPr>
          <w:trHeight w:val="243"/>
        </w:trPr>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r>
      <w:tr>
        <w:trPr>
          <w:trHeight w:val="277"/>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77"/>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206.8</w:t>
            </w:r>
          </w:p>
        </w:tc>
      </w:tr>
      <w:tr>
        <w:trPr>
          <w:trHeight w:val="284"/>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825.2</w:t>
            </w:r>
          </w:p>
        </w:tc>
      </w:tr>
      <w:tr>
        <w:trPr>
          <w:trHeight w:val="277"/>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1,721.0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1,032.0</w:t>
            </w:r>
          </w:p>
        </w:tc>
      </w:tr>
      <w:tr>
        <w:trPr>
          <w:trHeight w:val="20"/>
        </w:trPr>
        <w:tc>
          <w:tcPr>
            <w:tcW w:w="11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31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031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240" w:top="118" w:right="579"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presentation of the Company's condensed consolidated financial statements for such periods. The results of operations for any interim period are not necessarily indicative of the results for the full year. The December 31, 2018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2018.</w:t>
      </w: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with the current period's presentation.</w:t>
      </w:r>
    </w:p>
    <w:p>
      <w:pPr>
        <w:spacing w:after="0" w:line="27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We adopted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on January 1, 2019 (the "effective date") and used the effective date as our date of initial application. See Note 8. The new standard requires a lessee to recognize on its balance sheet (for both finance and operating leases) a liability for future lease payments and a right-of-use asset representing its right to use the underlying asset over the lease term. We elected the practical expedients upon transition, which permitted companies to not reassess lease identification, classification, and initial direct costs under the new standard for leases that commenced prior to the effective date. Upon adoption of the new standard, we recognized right-of-use assets of $33.2 million related to operating leases as of January 1, 2019. The impact of adopting the standard for the facilities that we had historically applied build-to-suit and capital lease accounting was not material to our Condensed Consolidated Financial Statements. Prior period amounts have not been adjusted in connection with the adoption of this standard.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 Product Sales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Net product sales consist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26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Product Sales in the United States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3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48"/>
        </w:trPr>
        <w:tc>
          <w:tcPr>
            <w:tcW w:w="2600" w:type="dxa"/>
            <w:vAlign w:val="bottom"/>
          </w:tcPr>
          <w:p>
            <w:pPr>
              <w:spacing w:after="0"/>
              <w:rPr>
                <w:sz w:val="4"/>
                <w:szCs w:val="4"/>
                <w:color w:val="auto"/>
              </w:rPr>
            </w:pPr>
          </w:p>
        </w:tc>
        <w:tc>
          <w:tcPr>
            <w:tcW w:w="2920" w:type="dxa"/>
            <w:vAlign w:val="bottom"/>
            <w:tcBorders>
              <w:top w:val="single" w:sz="8" w:color="auto"/>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600" w:type="dxa"/>
            <w:vAlign w:val="bottom"/>
            <w:tcBorders>
              <w:right w:val="single" w:sz="8" w:color="CCEEFF"/>
            </w:tcBorders>
          </w:tcPr>
          <w:p>
            <w:pPr>
              <w:spacing w:after="0"/>
              <w:rPr>
                <w:sz w:val="22"/>
                <w:szCs w:val="22"/>
                <w:color w:val="auto"/>
              </w:rPr>
            </w:pPr>
          </w:p>
        </w:tc>
        <w:tc>
          <w:tcPr>
            <w:tcW w:w="382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5"/>
                <w:szCs w:val="25"/>
                <w:color w:val="auto"/>
                <w:vertAlign w:val="superscript"/>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38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Borders>
              <w:right w:val="single" w:sz="8" w:color="CCEEFF"/>
            </w:tcBorders>
          </w:tcPr>
          <w:p>
            <w:pPr>
              <w:spacing w:after="0"/>
              <w:rPr>
                <w:sz w:val="23"/>
                <w:szCs w:val="23"/>
                <w:color w:val="auto"/>
              </w:rPr>
            </w:pPr>
          </w:p>
        </w:tc>
        <w:tc>
          <w:tcPr>
            <w:tcW w:w="38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5"/>
                <w:szCs w:val="25"/>
                <w:color w:val="auto"/>
                <w:vertAlign w:val="superscript"/>
              </w:rPr>
              <w: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had product sales to certain customers that accounted for more than 10% of total gross product revenue for each of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and 2018. Sales to each of these customers as a percentage of the Company's total gross product revenue are as follows:</w:t>
      </w:r>
    </w:p>
    <w:p>
      <w:pPr>
        <w:spacing w:after="0" w:line="200" w:lineRule="exact"/>
        <w:rPr>
          <w:sz w:val="20"/>
          <w:szCs w:val="20"/>
          <w:color w:val="auto"/>
        </w:rPr>
      </w:pPr>
    </w:p>
    <w:p>
      <w:pPr>
        <w:spacing w:after="0" w:line="219"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22860</wp:posOffset>
            </wp:positionV>
            <wp:extent cx="16205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34" w:lineRule="exact"/>
        <w:rPr>
          <w:sz w:val="20"/>
          <w:szCs w:val="20"/>
          <w:color w:val="auto"/>
        </w:rPr>
      </w:pPr>
    </w:p>
    <w:tbl>
      <w:tblPr>
        <w:tblLayout w:type="fixed"/>
        <w:tblInd w:w="2340" w:type="dxa"/>
        <w:tblCellMar>
          <w:top w:w="0" w:type="dxa"/>
          <w:left w:w="0" w:type="dxa"/>
          <w:bottom w:w="0" w:type="dxa"/>
          <w:right w:w="0" w:type="dxa"/>
        </w:tblCellMar>
      </w:tblPr>
      <w:tr>
        <w:trPr>
          <w:trHeight w:val="238"/>
        </w:trPr>
        <w:tc>
          <w:tcPr>
            <w:tcW w:w="5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42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Besse Medical, a subsidiary of AmerisourceBergen</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1"/>
        </w:trPr>
        <w:tc>
          <w:tcPr>
            <w:tcW w:w="5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25"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provisions, and credits/payments, for these sales-related deductions during the three months ended March 31, 2019 and 2018.</w:t>
      </w:r>
    </w:p>
    <w:p>
      <w:pPr>
        <w:sectPr>
          <w:pgSz w:w="11900" w:h="16838" w:orient="portrait"/>
          <w:cols w:equalWidth="0" w:num="1">
            <w:col w:w="11420"/>
          </w:cols>
          <w:pgMar w:left="240" w:top="126"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6" w:right="239" w:bottom="1440" w:gutter="0" w:footer="0" w:header="0"/>
          <w:type w:val="continuous"/>
        </w:sectPr>
      </w:pPr>
    </w:p>
    <w:bookmarkStart w:id="7" w:name="page8"/>
    <w:bookmarkEnd w:id="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Chargebacks, and</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Discounts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r>
      <w:tr>
        <w:trPr>
          <w:trHeight w:val="243"/>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Provisions</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Credits/payments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129.8</w:t>
            </w:r>
          </w:p>
        </w:tc>
      </w:tr>
      <w:tr>
        <w:trPr>
          <w:trHeight w:val="311"/>
        </w:trPr>
        <w:tc>
          <w:tcPr>
            <w:tcW w:w="3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w:t>
            </w:r>
          </w:p>
        </w:tc>
      </w:tr>
      <w:tr>
        <w:trPr>
          <w:trHeight w:val="243"/>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Credits/payments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2018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w:t>
            </w: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60" w:right="8600" w:hanging="252"/>
        <w:spacing w:after="0" w:line="503" w:lineRule="auto"/>
        <w:tabs>
          <w:tab w:leader="none" w:pos="19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Collaboration Agreements </w:t>
      </w:r>
      <w:r>
        <w:rPr>
          <w:rFonts w:ascii="Times New Roman" w:cs="Times New Roman" w:eastAsia="Times New Roman" w:hAnsi="Times New Roman"/>
          <w:sz w:val="18"/>
          <w:szCs w:val="18"/>
          <w:b w:val="1"/>
          <w:bCs w:val="1"/>
          <w:i w:val="1"/>
          <w:iCs w:val="1"/>
          <w:color w:val="auto"/>
        </w:rPr>
        <w:t>a. Sanofi</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collaboration revenue we earned from Sanofi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Sanofi Collaboration Revenue</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Antibody: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development expenses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commercialization-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Antibody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Immuno-oncology: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development expenses</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commercialization-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Immuno-oncology</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7"/>
        </w:trPr>
        <w:tc>
          <w:tcPr>
            <w:tcW w:w="41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gridSpan w:val="3"/>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1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240" w:top="126" w:right="839"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281" w:lineRule="exact"/>
        <w:rPr>
          <w:sz w:val="20"/>
          <w:szCs w:val="20"/>
          <w:color w:val="auto"/>
        </w:rPr>
      </w:pPr>
    </w:p>
    <w:p>
      <w:pPr>
        <w:jc w:val="both"/>
        <w:ind w:firstLine="243"/>
        <w:spacing w:after="0" w:line="242"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discover, develop, and commercialize fully human monoclonal antibodies (the "Antibody Collaboration")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the companies' License and Collaboration Agreement, following receipt of the first positive Phase 3 trial results for a co-developed drug candidate, subsequent Phase 3 trial-related costs for that drug candidate ("Shared Phase 3 Trial Costs") are shared 80% by Sanofi and 20% by Regeneron. The Company recognized as research and development expenses $9.3 million and $13.9 million during the three months ended March 31, 2019 and 2018, respectively, its share of antibody development expenses that Sanofi incurred related to Praluent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(alirocumab), Kevzara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(sarilumab), and Dupixent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(dupilumab). All other agreed-upon worldwide development expenses incurred by both companies are funded by Sanofi.</w:t>
      </w:r>
    </w:p>
    <w:p>
      <w:pPr>
        <w:spacing w:after="0" w:line="15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Effective January 7, 2018, the Company and Sanofi entered into a letter agreement (the "Letter Agreement") in connection with, among other matters, the allocation of additional funds to certain activities relating to dupilumab and REGN3500 (collectively, the "Dupilumab/REGN3500 Eligible Investments"). Refer to the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section below for further details regarding the Letter Agreement. During the first quarter of 2019, Sanofi elected to sell, and we elected to purchase (in cash), 24,143 shares of the Company's Common Stock in connection with Sanofi's funding obligation for Dupilumab/REGN3500 Eligible Investments. Consequently, we recorded the cost of the shares received, or $10.0 million, as Treasury Stock during the first quarter of 2019.</w:t>
      </w:r>
    </w:p>
    <w:p>
      <w:pPr>
        <w:spacing w:after="0" w:line="23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Sanofi leads commercialization activities for products developed under the Antibody Collaboration, subject to the Company's right to co-promote such products. In addition to profit and loss sharing, the Company is entitled to receive up to $250.0 million in sales milestone payments, with milestone payments commencing only if and after aggregate annual sales outside the United States exceed $1.0 billion on a rolling twelve-month basis. The amount of variable consideration related to our share of profits and losses, as well as sales milestones, is deemed to be constrained as of March 31, 2019, and therefore has not been included in the transaction price.</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accounts receivable and deferred revenue information in connection with the Company's Antibody Collaboration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Sanofi:</w:t>
      </w:r>
    </w:p>
    <w:p>
      <w:pPr>
        <w:spacing w:after="0" w:line="284" w:lineRule="exact"/>
        <w:rPr>
          <w:sz w:val="20"/>
          <w:szCs w:val="20"/>
          <w:color w:val="auto"/>
        </w:rPr>
      </w:pPr>
    </w:p>
    <w:tbl>
      <w:tblPr>
        <w:tblLayout w:type="fixed"/>
        <w:tblInd w:w="196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4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27"/>
        </w:trPr>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shipments of commercial supplies to Sanofi</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deferred revenue at</w:t>
            </w:r>
          </w:p>
        </w:tc>
        <w:tc>
          <w:tcPr>
            <w:tcW w:w="2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4"/>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beginning of the period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bl>
    <w:p>
      <w:pPr>
        <w:spacing w:after="0" w:line="27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As we recognize Sanofi antibody collaboration revenue in an amount equal to the amount we have the right to invoice and such amount corresponds directly with the value to Sanofi of our performance to date, we do not disclose the value of the transaction price allocated to our remaining unsatisfied performance obligations.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281"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In 2015, the Company and Sanofi entered into a collaboration to discover,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Effective December 31, 2018, the Company and Sanofi entered into an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w:t>
      </w:r>
    </w:p>
    <w:p>
      <w:pPr>
        <w:sectPr>
          <w:pgSz w:w="11900" w:h="16838" w:orient="portrait"/>
          <w:cols w:equalWidth="0" w:num="1">
            <w:col w:w="11420"/>
          </w:cols>
          <w:pgMar w:left="240" w:top="126"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6" w:right="239" w:bottom="1440" w:gutter="0" w:footer="0" w:header="0"/>
          <w:type w:val="continuous"/>
        </w:sectPr>
      </w:pPr>
    </w:p>
    <w:bookmarkStart w:id="9" w:name="page10"/>
    <w:bookmarkEnd w:id="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Program") and (ii) MUC16 and CD3 (the "MUC16xCD3 Program") through clinical proof-of-concept. The Amended IO Discovery Agreement provided for Sanofi’s payment of $461.9 million to the Company as consideration for (x) the termination of the 2015 IO Discovery Agreement, (y) the prepayment for certain IO Development Activities regarding the BCMAxCD3 Program and the MUC16xCD3 Program, and (z) the reimbursement of costs incurred by the Company under the 2015 IO Discovery Agreement during the fourth quarter of 2018.</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If Sanofi exercises its option to license rights to a BCMAxCD3 Program antibody or MUC16xCD3 Program antibody thereunder, it will co-develop these drug candidates with the Company through product approval.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w:t>
      </w:r>
    </w:p>
    <w:p>
      <w:pPr>
        <w:spacing w:after="0" w:line="234"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are co-developing Libtayo (cemiplimab), an antibody targeting the receptor known as programmed cell death protein 1 (PD-1). The parties share equally, on an ongoing basis, agreed-upon development expenses for Libtayo. Pursuant to the Letter Agreement, the Libtayo development budget was increased and the Company has agreed to allow Sanofi to satisfy in whole or in part its funding obligations with respect to the Libtayo development and Dupilumab/REGN3500 Eligible Investments by selling up to an aggregate of 1,400,000 shares (of which 1,042,732 currently remains available) of our Common Stock directly or indirectly owned by Sanofi through September 30, 2020.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During the first quarter of 2019, Sanofi elected to sell, and we elected to purchase (by issuing a credit towards the amount owed by Sanofi), 106,972 shares of the Company's Common Stock to satisfy Sanofi's funding obligation related to Libtayo development costs. Consequently, we recorded the cost of the shares received, or $44.0 million as Treasury Stock during the first quarter of 2019. Refer to the "</w:t>
      </w:r>
      <w:r>
        <w:rPr>
          <w:rFonts w:ascii="Times New Roman" w:cs="Times New Roman" w:eastAsia="Times New Roman" w:hAnsi="Times New Roman"/>
          <w:sz w:val="18"/>
          <w:szCs w:val="18"/>
          <w:i w:val="1"/>
          <w:iCs w:val="1"/>
          <w:color w:val="auto"/>
        </w:rPr>
        <w:t>Antibody</w:t>
      </w:r>
      <w:r>
        <w:rPr>
          <w:rFonts w:ascii="Times New Roman" w:cs="Times New Roman" w:eastAsia="Times New Roman" w:hAnsi="Times New Roman"/>
          <w:sz w:val="18"/>
          <w:szCs w:val="18"/>
          <w:color w:val="auto"/>
        </w:rPr>
        <w:t>" section above for a description of share transactions related to Dupilumab/REGN3500 Eligible Investments.</w:t>
      </w:r>
    </w:p>
    <w:p>
      <w:pPr>
        <w:spacing w:after="0" w:line="24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principal control over the development of Libtayo and leads commercialization activities in the United States, while Sanofi will lead commercialization activities outside of the United States and the parties will equally share profits and losses from worldwide sales. As it relates to the IO Collaboration, "Reimbursement of Regeneron commercialization-related expenses" in the table above represents reimbursement of costs by Sanofi in connection with the commercialization of Libtayo outside of the United States.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summarizes accounts receivable and deferred revenue information in connection with the Company's IO Collaboration with Sanofi:</w:t>
      </w:r>
    </w:p>
    <w:p>
      <w:pPr>
        <w:spacing w:after="0" w:line="302"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1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23"/>
                <w:szCs w:val="23"/>
                <w:color w:val="auto"/>
              </w:rPr>
            </w:pPr>
          </w:p>
        </w:tc>
      </w:tr>
      <w:tr>
        <w:trPr>
          <w:trHeight w:val="27"/>
        </w:trPr>
        <w:tc>
          <w:tcPr>
            <w:tcW w:w="1700" w:type="dxa"/>
            <w:vAlign w:val="bottom"/>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170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77.9</w:t>
            </w:r>
          </w:p>
        </w:tc>
      </w:tr>
      <w:tr>
        <w:trPr>
          <w:trHeight w:val="243"/>
        </w:trPr>
        <w:tc>
          <w:tcPr>
            <w:tcW w:w="1700" w:type="dxa"/>
            <w:vAlign w:val="bottom"/>
          </w:tcPr>
          <w:p>
            <w:pPr>
              <w:spacing w:after="0"/>
              <w:rPr>
                <w:sz w:val="21"/>
                <w:szCs w:val="21"/>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289.9</w:t>
            </w:r>
          </w:p>
        </w:tc>
      </w:tr>
      <w:tr>
        <w:trPr>
          <w:trHeight w:val="378"/>
        </w:trPr>
        <w:tc>
          <w:tcPr>
            <w:tcW w:w="5900" w:type="dxa"/>
            <w:vAlign w:val="bottom"/>
            <w:gridSpan w:val="3"/>
          </w:tcPr>
          <w:p>
            <w:pPr>
              <w:jc w:val="right"/>
              <w:ind w:right="1210"/>
              <w:spacing w:after="0"/>
              <w:rPr>
                <w:sz w:val="20"/>
                <w:szCs w:val="20"/>
                <w:color w:val="auto"/>
              </w:rPr>
            </w:pPr>
            <w:r>
              <w:rPr>
                <w:rFonts w:ascii="Times New Roman" w:cs="Times New Roman" w:eastAsia="Times New Roman" w:hAnsi="Times New Roman"/>
                <w:sz w:val="18"/>
                <w:szCs w:val="18"/>
                <w:color w:val="auto"/>
                <w:w w:val="99"/>
              </w:rPr>
              <w:t>Significant changes in deferred revenue balances are as follows:</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26"/>
        </w:trPr>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27"/>
        </w:trPr>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44"/>
        </w:trPr>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as a result of payment received from Sanofi</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415.9</w:t>
            </w:r>
          </w:p>
        </w:tc>
        <w:tc>
          <w:tcPr>
            <w:tcW w:w="340" w:type="dxa"/>
            <w:vAlign w:val="bottom"/>
          </w:tcPr>
          <w:p>
            <w:pPr>
              <w:spacing w:after="0"/>
              <w:rPr>
                <w:sz w:val="21"/>
                <w:szCs w:val="21"/>
                <w:color w:val="auto"/>
              </w:rPr>
            </w:pPr>
          </w:p>
        </w:tc>
      </w:tr>
      <w:tr>
        <w:trPr>
          <w:trHeight w:val="225"/>
        </w:trPr>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deferred revenue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4"/>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beginning of the period</w:t>
            </w:r>
          </w:p>
        </w:tc>
        <w:tc>
          <w:tcPr>
            <w:tcW w:w="300" w:type="dxa"/>
            <w:vAlign w:val="bottom"/>
          </w:tcPr>
          <w:p>
            <w:pPr>
              <w:spacing w:after="0"/>
              <w:rPr>
                <w:sz w:val="20"/>
                <w:szCs w:val="20"/>
                <w:color w:val="auto"/>
              </w:rPr>
            </w:pPr>
          </w:p>
        </w:tc>
        <w:tc>
          <w:tcPr>
            <w:tcW w:w="13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25"/>
        </w:trPr>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that was added to deferred revenue</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r>
      <w:tr>
        <w:trPr>
          <w:trHeight w:val="241"/>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during the period</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40" w:type="dxa"/>
            <w:vAlign w:val="bottom"/>
          </w:tcPr>
          <w:p>
            <w:pPr>
              <w:spacing w:after="0"/>
              <w:rPr>
                <w:sz w:val="20"/>
                <w:szCs w:val="20"/>
                <w:color w:val="auto"/>
              </w:rPr>
            </w:pPr>
          </w:p>
        </w:tc>
      </w:tr>
      <w:tr>
        <w:trPr>
          <w:trHeight w:val="594"/>
        </w:trPr>
        <w:tc>
          <w:tcPr>
            <w:tcW w:w="59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aggregate amount of the transaction price under the IO Collaboration allocated to the Company's performance obligation that was unsatisfied (or partially unsatisfied) as of March 31, 2019 was $1,324.7 million. This amount is expected to be recognized as revenue over the remaining period in which the Company is obligated to satisfy its performance obligation in connection with performing development activities.</w:t>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Revenue earned in connection with our Bayer EYLEA collaboration is as follows (note that the table excludes amounts in connection with our Bayer Ang2 antibody and PDGFR-beta antibody collaboration agreements, which were previously terminated):</w:t>
      </w:r>
    </w:p>
    <w:p>
      <w:pPr>
        <w:spacing w:after="0" w:line="374"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Bayer EYLEA Collaboration Revenue</w:t>
            </w: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940" w:type="dxa"/>
            <w:vAlign w:val="bottom"/>
            <w:tcBorders>
              <w:top w:val="single" w:sz="8" w:color="auto"/>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commercialization of EYLEA outside the United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Reimbursement of Regeneron EYLEA development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outside the United States. Bayer markets EYLEA outside the United States, where, for countries other than Japan, the companies share equally in profits and losses from sales of EYLEA. In Japan, the Company is entitled to receive a tiered percentage of between 33.5% and 40.0% of EYLEA net product sales. In addition, the Company and Bayer share the funding of agreed-upon EYLEA development costs.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Teva</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September 2016, the Company and Teva entered into a collaboration agreement (the "Teva Collaboration Agreement") to develop and commercialize fasinumab globally, excluding certain Asian countries that are subject to our collaboration agreement with Mitsubishi Tanabe Pharma Corporation. In connection with the Teva Collaboration Agreement, Teva made a $250.0 million non-refundable up-front payment in September 2016. The Company leads global development activities, and the parties share development costs equally, on an ongoing basis, under a global development plan. The Company is also responsible for the manufacture and supply of fasinumab globally.</w:t>
      </w:r>
    </w:p>
    <w:p>
      <w:pPr>
        <w:spacing w:after="0" w:line="23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recognized $53.7 million and $58.6 million of revenue for the three months ended March 31, 2019 and 2018, respectively, in connection with the Teva Collaboration Agreement.</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accounts receivable and deferred revenue information in connection with the Teva Collaboration Agreement:</w:t>
      </w:r>
    </w:p>
    <w:p>
      <w:pPr>
        <w:spacing w:after="0" w:line="302" w:lineRule="exact"/>
        <w:rPr>
          <w:sz w:val="20"/>
          <w:szCs w:val="20"/>
          <w:color w:val="auto"/>
        </w:rPr>
      </w:pPr>
    </w:p>
    <w:tbl>
      <w:tblPr>
        <w:tblLayout w:type="fixed"/>
        <w:tblInd w:w="196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4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42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Accounts receivable (recorded within Prepaid expenses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41"/>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22860</wp:posOffset>
            </wp:positionV>
            <wp:extent cx="435673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56735" cy="308610"/>
                    </a:xfrm>
                    <a:prstGeom prst="rect">
                      <a:avLst/>
                    </a:prstGeom>
                    <a:noFill/>
                  </pic:spPr>
                </pic:pic>
              </a:graphicData>
            </a:graphic>
          </wp:anchor>
        </w:drawing>
      </w:r>
    </w:p>
    <w:p>
      <w:pPr>
        <w:spacing w:after="0" w:line="25"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that was included in deferred revenue at</w:t>
            </w: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beginning of the period</w:t>
            </w:r>
          </w:p>
        </w:tc>
        <w:tc>
          <w:tcPr>
            <w:tcW w:w="10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6" w:right="239" w:bottom="1440" w:gutter="0" w:footer="0" w:header="0"/>
          <w:type w:val="continuous"/>
        </w:sectPr>
      </w:pPr>
    </w:p>
    <w:bookmarkStart w:id="11" w:name="page12"/>
    <w:bookmarkEnd w:id="1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aggregate amount of the transaction price under the Teva Collaboration Agreement allocated to the Company's performance obligation that was unsatisfied (or partially unsatisfied) as of March 31, 2019 was $418.2 million. This amount is expected to be recognized as revenue over the remaining period in which the Company is obligated to satisfy its performance obligation in connection with performing development activities.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Alnylam</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April 2019, the Company and Alnylam Pharmaceuticals, Inc. entered into a global, strategic collaboration to discover, develop, and commercialize RNA interference (RNAi) therapeutics for a broad range of diseases by addressing therapeutic disease targets expressed in the eye and central nervous system ("CNS"), in addition to a select number of targets expressed in the liver. The collaboration is governed by a Master Collaboration Agreement (the "Master Agreement") (including the form of a License Agreement and a Co-Commercialization Collaboration Agreement). Under the terms of the Master Agreement, we are obligated to make an up-front payment of $400.0 million to Alnylam. For each program, we will provide Alnylam with a specified amount of funding at program initiation and at lead candidate designation, and Alnylam is eligible to receive up to $200.0 million in clinical proof-of-principle milestones for eye or CNS programs.</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INDs (or their equivalent in certain other countries) for programs in the eye and CNS.</w:t>
      </w:r>
    </w:p>
    <w:p>
      <w:pPr>
        <w:spacing w:after="0" w:line="24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connection with the collaboration, we and Alnylam also entered into a Stock Purchase Agreement. Pursuant to the terms of the Stock Purchase Agreement, we have agreed to purchase shares of Alnylam common stock for aggregate cash consideration of approximately $400.0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6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22860</wp:posOffset>
            </wp:positionV>
            <wp:extent cx="16294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34"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r>
      <w:tr>
        <w:trPr>
          <w:trHeight w:val="324"/>
        </w:trPr>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stock</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Dilutive potential shares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6" w:right="239" w:bottom="1440" w:gutter="0" w:footer="0" w:header="0"/>
          <w:type w:val="continuous"/>
        </w:sectPr>
      </w:pPr>
    </w:p>
    <w:bookmarkStart w:id="12" w:name="page13"/>
    <w:bookmarkEnd w:id="1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2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22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vMerge w:val="continue"/>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Marketable securities as of March 31, 2019 and December 31, 2018 consist of both available-for-sale debt securities of investment grade issuers (see below and Note 6) as well as equity securities of publicly traded companies (see Note 6).</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7"/>
        </w:trPr>
        <w:tc>
          <w:tcPr>
            <w:tcW w:w="5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2019</w:t>
            </w:r>
          </w:p>
        </w:tc>
        <w:tc>
          <w:tcPr>
            <w:tcW w:w="160" w:type="dxa"/>
            <w:vAlign w:val="bottom"/>
          </w:tcPr>
          <w:p>
            <w:pPr>
              <w:spacing w:after="0"/>
              <w:rPr>
                <w:sz w:val="2"/>
                <w:szCs w:val="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6"/>
        </w:trPr>
        <w:tc>
          <w:tcPr>
            <w:tcW w:w="528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3,352.4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Sovereign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 of December 31, 2018</w:t>
            </w:r>
          </w:p>
        </w:tc>
        <w:tc>
          <w:tcPr>
            <w:tcW w:w="3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Sovereign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3,026.6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listed as of March 31, 2019 mature at various dates through February 2024. The fair values of available-for-sale debt security investments by contractual maturity consist of the following:</w:t>
      </w:r>
    </w:p>
    <w:p>
      <w:pPr>
        <w:spacing w:after="0" w:line="388"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1,667.0</w:t>
            </w:r>
          </w:p>
        </w:tc>
      </w:tr>
      <w:tr>
        <w:trPr>
          <w:trHeight w:val="27"/>
        </w:trPr>
        <w:tc>
          <w:tcPr>
            <w:tcW w:w="4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3,009.2</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6" w:right="239" w:bottom="1440" w:gutter="0" w:footer="0" w:header="0"/>
          <w:type w:val="continuous"/>
        </w:sectPr>
      </w:pPr>
    </w:p>
    <w:bookmarkStart w:id="13" w:name="page14"/>
    <w:bookmarkEnd w:id="1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available-for-sale debt securities that have unrealized losses and that are deemed to be only temporarily impaired, aggregated by investment category and length of time that the individual securities have been in a continuous unrealized loss position.</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198"/>
        </w:trPr>
        <w:tc>
          <w:tcPr>
            <w:tcW w:w="20" w:type="dxa"/>
            <w:vAlign w:val="bottom"/>
          </w:tcPr>
          <w:p>
            <w:pPr>
              <w:spacing w:after="0"/>
              <w:rPr>
                <w:sz w:val="17"/>
                <w:szCs w:val="17"/>
                <w:color w:val="auto"/>
              </w:rPr>
            </w:pPr>
          </w:p>
        </w:tc>
        <w:tc>
          <w:tcPr>
            <w:tcW w:w="33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March 31, 2019</w:t>
            </w:r>
          </w:p>
        </w:tc>
        <w:tc>
          <w:tcPr>
            <w:tcW w:w="160" w:type="dxa"/>
            <w:vAlign w:val="bottom"/>
          </w:tcPr>
          <w:p>
            <w:pPr>
              <w:spacing w:after="0"/>
              <w:rPr>
                <w:sz w:val="17"/>
                <w:szCs w:val="17"/>
                <w:color w:val="auto"/>
              </w:rPr>
            </w:pPr>
          </w:p>
        </w:tc>
        <w:tc>
          <w:tcPr>
            <w:tcW w:w="124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7"/>
                <w:szCs w:val="17"/>
                <w:color w:val="auto"/>
              </w:rPr>
            </w:pPr>
          </w:p>
        </w:tc>
        <w:tc>
          <w:tcPr>
            <w:tcW w:w="11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200" w:type="dxa"/>
            <w:vAlign w:val="bottom"/>
            <w:gridSpan w:val="2"/>
          </w:tcPr>
          <w:p>
            <w:pPr>
              <w:jc w:val="right"/>
              <w:ind w:right="56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7"/>
                <w:szCs w:val="17"/>
                <w:color w:val="auto"/>
              </w:rPr>
            </w:pPr>
          </w:p>
        </w:tc>
        <w:tc>
          <w:tcPr>
            <w:tcW w:w="10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330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2018</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4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1,482.6</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801.6</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2,284.2</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There were no realized losses on sales of marketable securities, and realized gains were not material, for the three months ended March 31, 2019 and 2018.</w:t>
      </w:r>
    </w:p>
    <w:p>
      <w:pPr>
        <w:spacing w:after="0" w:line="200" w:lineRule="exact"/>
        <w:rPr>
          <w:sz w:val="20"/>
          <w:szCs w:val="20"/>
          <w:color w:val="auto"/>
        </w:rPr>
      </w:pPr>
    </w:p>
    <w:p>
      <w:pPr>
        <w:spacing w:after="0" w:line="27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 respect to marketable securities, for the three months ended March 31, 2019 and 2018, amounts reclassified from Accumulated other comprehensive (loss) income into Other income (expense), net were related to realized gains on sales of debt securities. During the three months ended March 31, 2019 and 2018, we recorded $42.8 million and $9.4 million, respectively, of net unrealized gains on equity securities in Other income (expense), net.</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6" w:right="239"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Fair Value Measurements at Reporting Date</w:t>
            </w:r>
          </w:p>
        </w:tc>
      </w:tr>
      <w:tr>
        <w:trPr>
          <w:trHeight w:val="238"/>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4"/>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Using</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20" w:type="dxa"/>
            <w:vAlign w:val="bottom"/>
          </w:tcPr>
          <w:p>
            <w:pPr>
              <w:spacing w:after="0"/>
              <w:rPr>
                <w:sz w:val="18"/>
                <w:szCs w:val="18"/>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Significant Other</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r>
      <w:tr>
        <w:trPr>
          <w:trHeight w:val="198"/>
        </w:trPr>
        <w:tc>
          <w:tcPr>
            <w:tcW w:w="20" w:type="dxa"/>
            <w:vAlign w:val="bottom"/>
          </w:tcPr>
          <w:p>
            <w:pPr>
              <w:spacing w:after="0"/>
              <w:rPr>
                <w:sz w:val="17"/>
                <w:szCs w:val="17"/>
                <w:color w:val="auto"/>
              </w:rPr>
            </w:pPr>
          </w:p>
        </w:tc>
        <w:tc>
          <w:tcPr>
            <w:tcW w:w="5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March 31, 2019</w:t>
            </w:r>
          </w:p>
        </w:tc>
        <w:tc>
          <w:tcPr>
            <w:tcW w:w="300" w:type="dxa"/>
            <w:vAlign w:val="bottom"/>
          </w:tcPr>
          <w:p>
            <w:pPr>
              <w:spacing w:after="0"/>
              <w:rPr>
                <w:sz w:val="17"/>
                <w:szCs w:val="17"/>
                <w:color w:val="auto"/>
              </w:rPr>
            </w:pPr>
          </w:p>
        </w:tc>
        <w:tc>
          <w:tcPr>
            <w:tcW w:w="15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7"/>
                <w:szCs w:val="17"/>
                <w:color w:val="auto"/>
              </w:rPr>
            </w:pPr>
          </w:p>
        </w:tc>
        <w:tc>
          <w:tcPr>
            <w:tcW w:w="17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7"/>
                <w:szCs w:val="17"/>
                <w:color w:val="auto"/>
              </w:rPr>
            </w:pPr>
          </w:p>
        </w:tc>
        <w:tc>
          <w:tcPr>
            <w:tcW w:w="164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5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3,355.4</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129.2</w:t>
            </w:r>
          </w:p>
        </w:tc>
      </w:tr>
      <w:tr>
        <w:trPr>
          <w:trHeight w:val="243"/>
        </w:trPr>
        <w:tc>
          <w:tcPr>
            <w:tcW w:w="20" w:type="dxa"/>
            <w:vAlign w:val="bottom"/>
          </w:tcPr>
          <w:p>
            <w:pPr>
              <w:spacing w:after="0"/>
              <w:rPr>
                <w:sz w:val="21"/>
                <w:szCs w:val="21"/>
                <w:color w:val="auto"/>
              </w:rPr>
            </w:pPr>
          </w:p>
        </w:tc>
        <w:tc>
          <w:tcPr>
            <w:tcW w:w="5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Sovereign bonds</w:t>
            </w: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w:t>
            </w:r>
          </w:p>
        </w:tc>
      </w:tr>
      <w:tr>
        <w:trPr>
          <w:trHeight w:val="243"/>
        </w:trPr>
        <w:tc>
          <w:tcPr>
            <w:tcW w:w="20" w:type="dxa"/>
            <w:vAlign w:val="bottom"/>
          </w:tcPr>
          <w:p>
            <w:pPr>
              <w:spacing w:after="0"/>
              <w:rPr>
                <w:sz w:val="21"/>
                <w:szCs w:val="21"/>
                <w:color w:val="auto"/>
              </w:rPr>
            </w:pPr>
          </w:p>
        </w:tc>
        <w:tc>
          <w:tcPr>
            <w:tcW w:w="5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69.4</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54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3,863.7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542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2018</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35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2,718.4</w:t>
            </w:r>
          </w:p>
        </w:tc>
      </w:tr>
      <w:tr>
        <w:trPr>
          <w:trHeight w:val="243"/>
        </w:trPr>
        <w:tc>
          <w:tcPr>
            <w:tcW w:w="20" w:type="dxa"/>
            <w:vAlign w:val="bottom"/>
          </w:tcPr>
          <w:p>
            <w:pPr>
              <w:spacing w:after="0"/>
              <w:rPr>
                <w:sz w:val="21"/>
                <w:szCs w:val="21"/>
                <w:color w:val="auto"/>
              </w:rPr>
            </w:pPr>
          </w:p>
        </w:tc>
        <w:tc>
          <w:tcPr>
            <w:tcW w:w="5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109.4</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Sovereign bonds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20" w:type="dxa"/>
            <w:vAlign w:val="bottom"/>
          </w:tcPr>
          <w:p>
            <w:pPr>
              <w:spacing w:after="0"/>
              <w:rPr>
                <w:sz w:val="21"/>
                <w:szCs w:val="21"/>
                <w:color w:val="auto"/>
              </w:rPr>
            </w:pPr>
          </w:p>
        </w:tc>
        <w:tc>
          <w:tcPr>
            <w:tcW w:w="5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20" w:type="dxa"/>
            <w:vAlign w:val="bottom"/>
          </w:tcPr>
          <w:p>
            <w:pPr>
              <w:spacing w:after="0"/>
              <w:rPr>
                <w:sz w:val="21"/>
                <w:szCs w:val="21"/>
                <w:color w:val="auto"/>
              </w:rPr>
            </w:pPr>
          </w:p>
        </w:tc>
        <w:tc>
          <w:tcPr>
            <w:tcW w:w="54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2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r>
      <w:tr>
        <w:trPr>
          <w:trHeight w:val="237"/>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3,097.2</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3,053.6</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months ended March 31, 2019 and 2018.</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held certain restricted equity securities as of March 31, 2019 which are subject to transfer restrictions until 2020.</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2019 and December 31, 2018, the Company had $45.5 million in equity investments that do not have a readily determinable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investments are recorded at cost within Other noncurrent assets.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We conduct certain of our research, development, and administrative activities at leased facilities. We also lease certain warehouses and vehicles. As described in Note 1, during the first quarter of 2019, we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determine if an arrangement is a lease considering whether there is an identified asset and the contract conveys the right to control its use. Leases with an initial term of 12 months or less are not recorded on the balance sheet. Our lease terms may include options to extend or terminate a lease when it is reasonably certain that we will exercise that option. We account for lease components (e.g., rental payments) separately from non-lease components (e.g., common area maintenance costs).</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Right-of-use assets and lease liabilities are recognized at lease commencement date based on the present value of lease payments over the lease term, unless there is a transfer of title or purchase option we are reasonably certain to exercise. For leases where an implicit rate is not readily determinable, we use our incremental borrowing rate based on information available at the lease commencement date to determine the present value of future lease payments. Lease expense for operating leases is recognized on a straight-line basis over the expected lease term.</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Amounts recognized in the financial statements associated with operating leases were not material as of, and for the three months ended, March 31, 2019 and 2018. Operating lease right-of-use assets are included within other noncurrent assets and lease liabilities are included in other current and other noncurrent liabilities on our Condensed Consolidated Balance Sheet.</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28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March 2017, we entered into a Participation Agreement with BA Leasing BSC, LLC, an affiliate of Banc of America Leasing &amp; Capital LLC ("BAL"), as lessor, and a syndicate of lenders (collectively, the "Participants"). In March 2017, we also entered into a Lease and Remedies Agreement with BAL, pursuant to which we have leased laboratory and office facilities in Tarrytown, New York (the "Facility") for a five-year term. The Participation Agreement, the Lease and Remedies Agreement, and certain other related agreements were amended and restated in May 2019, among other things, to revise certain covenants, representations and warranties, and events of default to be substantially similar to those set forth in the agreement governing the Company's revolving credit facility (as so amended and restated, the "Participation Agreement" and the "Lease," respectively). The Lease requires us to pay all maintenance, insurance, taxes, and other costs arising out of the use of the Facility. We are also required to make monthly payments of basic rent during the term of the Lease in an amount equal to a variable rate per annum based on the one-month LIBOR, plus an applicable margin that varies with our debt rating and total leverage ratio. The Participation Agreement and the Lease include an option for us to elect to extend the maturity date of the Participation Agreement and the term of the Lease for an additional five-year period, subject to the consent of all the Participants and certain other conditions. We also have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w:t>
      </w:r>
    </w:p>
    <w:p>
      <w:pPr>
        <w:sectPr>
          <w:pgSz w:w="11900" w:h="16838" w:orient="portrait"/>
          <w:cols w:equalWidth="0" w:num="1">
            <w:col w:w="11420"/>
          </w:cols>
          <w:pgMar w:left="240" w:top="126"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6" w:right="239" w:bottom="1440" w:gutter="0" w:footer="0" w:header="0"/>
          <w:type w:val="continuous"/>
        </w:sectPr>
      </w:pPr>
    </w:p>
    <w:bookmarkStart w:id="16" w:name="page17"/>
    <w:bookmarkEnd w:id="1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party on behalf of BAL. The advances under the Participation Agreement mature, and all amounts outstanding thereunder will become due and payable in full, at the end of the term of the Lease.</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Prior to January 1, 2019, for certain of the premises under the Lease we were deemed, in substance, to be the owner of the buildings (collectively, the "Build-to-Suit Buildings"). Upon the adoption of ASC 842, the classification of the Build-to-Suit Buildings, for which the construction period had been completed, was reassessed and, consequently, they were derecognized and recognized as a finance lease. These premises, along with the other premises under the Lease, are classified as a finance lease as we have the option to purchase the Facility under terms that make it reasonably assured to be exercised.</w:t>
      </w:r>
    </w:p>
    <w:p>
      <w:pPr>
        <w:spacing w:after="0" w:line="23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agreements governing the Lease financing contain financial and operating covenants, which are substantially similar to the covenants set forth in the Company's revolving credit facility. The Company was in compliance with all such covenants as of March 31, 2019.</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Amounts recognized in the Condensed Consolidated Balance Sheet related to the Facility are included in the table below. We had no leases accounted for as finance leases, other than the Facility, as of March 31, 2019.</w:t>
      </w:r>
    </w:p>
    <w:p>
      <w:pPr>
        <w:spacing w:after="0" w:line="374"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70"/>
        </w:trPr>
        <w:tc>
          <w:tcPr>
            <w:tcW w:w="3060" w:type="dxa"/>
            <w:vAlign w:val="bottom"/>
          </w:tcPr>
          <w:p>
            <w:pPr>
              <w:spacing w:after="0"/>
              <w:rPr>
                <w:sz w:val="23"/>
                <w:szCs w:val="23"/>
                <w:color w:val="auto"/>
              </w:rPr>
            </w:pPr>
          </w:p>
        </w:tc>
        <w:tc>
          <w:tcPr>
            <w:tcW w:w="35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20" w:type="dxa"/>
            <w:vAlign w:val="bottom"/>
          </w:tcPr>
          <w:p>
            <w:pPr>
              <w:spacing w:after="0"/>
              <w:rPr>
                <w:sz w:val="23"/>
                <w:szCs w:val="23"/>
                <w:color w:val="auto"/>
              </w:rPr>
            </w:pPr>
          </w:p>
        </w:tc>
        <w:tc>
          <w:tcPr>
            <w:tcW w:w="17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306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assets</w:t>
            </w:r>
          </w:p>
        </w:tc>
        <w:tc>
          <w:tcPr>
            <w:tcW w:w="3500" w:type="dxa"/>
            <w:vAlign w:val="bottom"/>
            <w:gridSpan w:val="2"/>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Property, plant, and equipment, net </w:t>
            </w:r>
            <w:r>
              <w:rPr>
                <w:rFonts w:ascii="Times New Roman" w:cs="Times New Roman" w:eastAsia="Times New Roman" w:hAnsi="Times New Roman"/>
                <w:sz w:val="25"/>
                <w:szCs w:val="25"/>
                <w:color w:val="auto"/>
                <w:vertAlign w:val="superscript"/>
              </w:rPr>
              <w:t>(a)</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r>
      <w:tr>
        <w:trPr>
          <w:trHeight w:val="243"/>
        </w:trPr>
        <w:tc>
          <w:tcPr>
            <w:tcW w:w="3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w:t>
            </w:r>
          </w:p>
        </w:tc>
      </w:tr>
    </w:tbl>
    <w:p>
      <w:pPr>
        <w:spacing w:after="0" w:line="156" w:lineRule="exact"/>
        <w:rPr>
          <w:sz w:val="20"/>
          <w:szCs w:val="20"/>
          <w:color w:val="auto"/>
        </w:rPr>
      </w:pPr>
    </w:p>
    <w:p>
      <w:pPr>
        <w:ind w:left="1780" w:hanging="185"/>
        <w:spacing w:after="0"/>
        <w:tabs>
          <w:tab w:leader="none" w:pos="178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Finance lease assets are recorded net of accumulated amortization of $65.3 million as of March 31, 2019.</w:t>
      </w:r>
    </w:p>
    <w:p>
      <w:pPr>
        <w:spacing w:after="0" w:line="27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As of December 31, 2018, property, plant, and equipment, at cost, included $723.9 million of leased property under the Company's capital and facility leases related to the Facility. Accumulated amortization related to these assets amounted to $61.7 million as of December 31, 2018.</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Finance lease costs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finance leases consist of the following:</w:t>
            </w: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286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70"/>
        </w:trPr>
        <w:tc>
          <w:tcPr>
            <w:tcW w:w="4060" w:type="dxa"/>
            <w:vAlign w:val="bottom"/>
          </w:tcPr>
          <w:p>
            <w:pPr>
              <w:spacing w:after="0"/>
              <w:rPr>
                <w:sz w:val="23"/>
                <w:szCs w:val="23"/>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40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16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2.93</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3.69%</w:t>
            </w:r>
          </w:p>
        </w:tc>
      </w:tr>
    </w:tbl>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Supplemental information</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Maturities of lease liabilities as of March 31, 2019 are as follows: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98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7"/>
        </w:trPr>
        <w:tc>
          <w:tcPr>
            <w:tcW w:w="404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BFE4FF"/>
            </w:tcBorders>
            <w:gridSpan w:val="2"/>
            <w:shd w:val="clear" w:color="auto" w:fill="BFE4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4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4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14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w:t>
            </w:r>
          </w:p>
        </w:tc>
      </w:tr>
      <w:tr>
        <w:trPr>
          <w:trHeight w:val="27"/>
        </w:trPr>
        <w:tc>
          <w:tcPr>
            <w:tcW w:w="404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BFE4FF"/>
            </w:tcBorders>
            <w:shd w:val="clear" w:color="auto" w:fill="BFE4FF"/>
          </w:tcPr>
          <w:p>
            <w:pPr>
              <w:ind w:left="160"/>
              <w:spacing w:after="0"/>
              <w:rPr>
                <w:sz w:val="20"/>
                <w:szCs w:val="20"/>
                <w:color w:val="auto"/>
              </w:rPr>
            </w:pPr>
            <w:r>
              <w:rPr>
                <w:rFonts w:ascii="Times New Roman" w:cs="Times New Roman" w:eastAsia="Times New Roman" w:hAnsi="Times New Roman"/>
                <w:sz w:val="18"/>
                <w:szCs w:val="18"/>
                <w:color w:val="auto"/>
              </w:rPr>
              <w:t>Imputed interest</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4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43"/>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financing costs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gridSpan w:val="2"/>
            <w:shd w:val="clear" w:color="auto" w:fill="BFE4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BFE4FF"/>
          </w:tcPr>
          <w:p>
            <w:pPr>
              <w:spacing w:after="0"/>
              <w:rPr>
                <w:sz w:val="22"/>
                <w:szCs w:val="22"/>
                <w:color w:val="auto"/>
              </w:rPr>
            </w:pPr>
          </w:p>
        </w:tc>
        <w:tc>
          <w:tcPr>
            <w:tcW w:w="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709.9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As of December 31, 2018, the estimated future minimum noncancelable lease commitments, excluding the purchase price we would be obligated to pay if we were to exercise our option to purchase the Facility, were as follows:</w:t>
      </w:r>
    </w:p>
    <w:p>
      <w:pPr>
        <w:spacing w:after="0" w:line="374"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Capital and Facility</w:t>
            </w:r>
          </w:p>
        </w:tc>
      </w:tr>
      <w:tr>
        <w:trPr>
          <w:trHeight w:val="238"/>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 Obligations</w:t>
            </w: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Company's effective tax rate was 15.6% and 18.3% for the three months ended March 31, 2019 and 2018, respectively. The Company's effective tax rate for the three months ended March 31, 2019 was positively impacted, compared to the U.S. federal statutory rate, primarily by the federal tax credit for research activities, stock-based compensation, the foreign-derived intangible income deduction, and income earned in foreign jurisdictions with tax rates lower than the U.S. federal statutory rate. The Company's effective tax rate for the three months ended March 31, 2018 was positively impacted, compared to the U.S. federal statutory rate, primarily by the foreign-derived intangible income deduction and the federal tax credit for research activities.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Statement of Cash Flows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 to the total of the same such amounts shown in the Condensed Consolidated Statement of Cash Flows: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20"/>
                <w:szCs w:val="20"/>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1,019.5</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1,721.0</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1,032.0</w:t>
            </w:r>
          </w:p>
        </w:tc>
        <w:tc>
          <w:tcPr>
            <w:tcW w:w="0" w:type="dxa"/>
            <w:vAlign w:val="bottom"/>
          </w:tcPr>
          <w:p>
            <w:pPr>
              <w:spacing w:after="0"/>
              <w:rPr>
                <w:sz w:val="1"/>
                <w:szCs w:val="1"/>
                <w:color w:val="auto"/>
              </w:rPr>
            </w:pPr>
          </w:p>
        </w:tc>
      </w:tr>
      <w:tr>
        <w:trPr>
          <w:trHeight w:val="241"/>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Statement of Cash Flows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Restricted cash consists of amounts held by financial institutions pursuant to contractual arrangements.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2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Included in accounts payable, accrued expenses, and other liabilities as of March 31, 2019 and December 31, 2018 were $54.4 million and $54.5 million, respectively, of accrued capital expenditures. Included in accounts payable, accrued expenses, and other liabilities as of March 31, 2018 and December 31, 2017 were $40.2 million and $41.8 million, respectively, of accrued capital expenditures.</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described in Note 3, during the three months ended March 31, 2019, we purchased (by issuing a credit towards the amount owed by Sanofi) 106,972 shares of our Common Stock from Sanofi to satisfy Sanofi's funding obligation related to Libtayo development costs, and recorded the cost of the shares received, or $44.0 million, as Treasury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Legal Matters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Unless otherwise noted below, the Company is unable to predict the outcome, or estimate a range of possible loss or possible gain, of the respective proceedings. If the Company were unable to prevail in any such proceedings, its consolidated financial position, results of operations, and future cash flows may be materially impacted.</w:t>
      </w:r>
    </w:p>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'287 Patent and '163 Patent</w:t>
      </w:r>
    </w:p>
    <w:p>
      <w:pPr>
        <w:spacing w:after="0" w:line="281"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The Company is a party to patent infringement litigation initiated by the Company involving its European Patent No. 1,360,287 (the "'287 Patent") and its European Patent No. 2,264,163 (the "'163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and the '163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'163 Patent (as applicable).</w:t>
      </w:r>
    </w:p>
    <w:p>
      <w:pPr>
        <w:spacing w:after="0" w:line="243"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On September 25, 2013, the Company commenced patent infringement litigation against Kymab Ltd in the English High Court of Justice, Chancery Division, Patents Court, in London, asserting the '287 Patent and '163 Patent. Following a trial to adjudicate the claims of infringement and counterclaims of invalidity of the '287 Patent and the '163 Patent, the court issued a final judgment on February 1, 2016, finding that the asserted claims of the '287 and '163 Patents are novel, not obvious, and infringed by Kymab's genetically engineered mice. However, the court invalidated the '287 and '163 Patents on the ground of insufficiency. On appeal, the Court of Appeal (Civil Division of England and Wales) reversed the English High Court's decision and held that the '287 Patent and '163 Patent are both valid and infringed by Kymab and subsequently issued a final order, which enjoins Kymab from infringing the '287 Patent and '163 Patent (subject to certain exceptions) and requires Kymab to destroy or deliver to a third party all products and antibodies and cells engineered to produce antibodies which infringe the '287 Patent and '163 Patent (subject to certain exceptions). Thereafter, the Supreme Court of the United Kingdom granted Kymab's application for permission to appeal the order made by the Court of Appeal and scheduled an oral hearing for February 11–12, 2020. The provisions of the final order of the Court of Appeal are stayed pending final determination of Kymab's appeal to the Supreme Court of the United Kingdom. The Company has also been awarded a portion of the legal fees incurred by it in connection with the proceedings in the English High Court of Justice and the Court of Appeal described above.</w:t>
      </w:r>
    </w:p>
    <w:p>
      <w:pPr>
        <w:sectPr>
          <w:pgSz w:w="11900" w:h="16838" w:orient="portrait"/>
          <w:cols w:equalWidth="0" w:num="1">
            <w:col w:w="11420"/>
          </w:cols>
          <w:pgMar w:left="240" w:top="126"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6" w:right="239" w:bottom="1440" w:gutter="0" w:footer="0" w:header="0"/>
          <w:type w:val="continuous"/>
        </w:sectPr>
      </w:pPr>
    </w:p>
    <w:bookmarkStart w:id="19" w:name="page20"/>
    <w:bookmarkEnd w:id="1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July 8 and July 13, 2016, notices of opposition against the '163 Patent were filed in the European Patent Office (the "EPO") by Merus N.V. and Kymab and Novo Nordisk A/S, respectively. The notices assert, as applicable, lack of novelty, lack of inventive step, and insufficiency. Following an oral hearing before the Opposition Division of the EPO on February 5–7, 2018, the Opposition Division upheld the '163 Patent without amendments. Kymab, Merus, and Novo Nordisk each filed a notice of appeal of the Opposition Division's decision on February 9, 2018, May 25, 2018, and June 26, 2018, respectively. On January 7, 2019, Merus withdrew its appeal of the '163 Patent in the EPO in connection with the previously announced global settlement.</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281"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As described in greater detail below, the Company is currently a party to patent infringement actions initiated by Amgen Inc. against the Company and Sanofi (and/or the Company's and Sanofi's respective affiliated entities) in a number of jurisdictions relating to Praluent, which the Company is jointly developing and commercializing with Sanofi.</w:t>
      </w:r>
    </w:p>
    <w:p>
      <w:pPr>
        <w:spacing w:after="0" w:line="230"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In the United States, Amgen has asserted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The first jury trial in this litigation (the "First Trial") was held in the United States District Court for the District of Delaware (the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247"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On January 3, 2019, the District Court held oral argument in the remanded proceedings on the Company and the Sanofi defendants' motion for judgment on the pleadings regarding Amgen's willful infringement claim. On January 18, 2019, the District Court entered an order (i) 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February 25, 2019, the District Court notified the parties that a remedies trial, if necessary, would be held following the resolution of any appeals from the jury verdict in the Second Trial on the validity of Amgen's asserted patents. The District Court's final judgment is expected to be issued following resolution of the parties' post-trial motions (including Amgen's motion for a permanent injunction discussed below). The Company and the Sanofi defendants plan to appeal any aspect of the final judgment that is adverse to the Company and the Sanofi defendants.</w:t>
      </w:r>
    </w:p>
    <w:p>
      <w:pPr>
        <w:spacing w:after="0" w:line="245"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On March 18, 2019, Amgen filed a motion for a permanent injunction to prohibit the Company and the Sanofi defendants from Commercializing Praluent in the United States (a "Permanent Injunction"), and an oral hearing on this motion has been scheduled for June 2019. Previously, the Federal Circuit stayed and then vacated a Permanent Injunction granted by the District Court in connection with the First Trial.</w:t>
      </w:r>
    </w:p>
    <w:p>
      <w:pPr>
        <w:spacing w:after="0" w:line="230"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38"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Also on July 25, 2016, Amgen filed a lawsuit for infringement of the '124 Patent against Regeneron, Sanofi-Aventis Groupe S.A., Sanofi Winthrop Industrie S.A., and Sanofi-Aventis Deutschland GmbH in the Regional Court of Düsseldorf, Germany (the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below). Following Amgen's request to reopen the proceedings in light of the issuance of the Preliminary Opinion (as defined below), the Düsseldorf Regional Court held an oral hearing on September 11, 2018 and ruled on December 10, 2018 that the infringement proceedings would be reopened. An oral hearing in the Düsseldorf Regional Court was held on April 30, 2019, at which the Düsseldorf Regional Court deferred ruling on Amgen's request for a permanent injunction until June 6, 2019.</w:t>
      </w:r>
    </w:p>
    <w:p>
      <w:pPr>
        <w:spacing w:after="0" w:line="10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July 12, 2018, Sanofi-Aventis Deutschland GmbH, Sanofi-Aventis Groupe S.A., and Sanofi Winthrop Industrie S.A. filed an action in the Federal Patents Court (the "FPC") in Munich, Germany, seeking a compulsory license from Amgen based on the '124 Patent for the continued commercializing of Praluent in Germany. This compulsory license action included a request for a provisional compulsory license. The FPC held an oral hearing on September 6, 2018 in the provisional compulsory license proceedings and denied Sanofi's request for the provisional compulsory license. On January 16, 2019, the Sanofi parties appealed the FPC's decision in the provisional compulsory license proceedings to the Federal Court of Justice of Germany and the oral hearing on the appeal has been scheduled for June 4, 2019. The compulsory license proceedings are continuing.</w:t>
      </w:r>
    </w:p>
    <w:p>
      <w:pPr>
        <w:spacing w:after="0" w:line="107"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On September 26, 2016, Amgen filed a lawsuit for infringement of the '124 Patent in the Tribunal de grande instance in Paris, France against Regeneron, Sanofi-Aventis Groupe S.A., Sanofi Winthrop Industrie S.A.,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(originally scheduled for February 12, 2019) has yet to be scheduled.</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'124 Patent is also subject to opposition proceedings in the EPO seeking to invalidate certain of its claims, which were initiated by 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An oral hearing on the oppositions against the '124 Patent was held on November 28–30, 2018, at which the Opposition Division upheld the validity of the '124 Patent's claims in amended form. The Company and Sanofi filed notices of appeal to the Technical Board of Appeal of the EPO on November 30, 2018.</w:t>
      </w:r>
    </w:p>
    <w:p>
      <w:pPr>
        <w:spacing w:after="0" w:line="1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recorded an accrual for loss contingencies associated with the '124 Patent proceedings discussed above. The ultimate resolution of these proceedings is not expected to have a material impact on the Company’s financial statements.</w:t>
      </w:r>
    </w:p>
    <w:p>
      <w:pPr>
        <w:spacing w:after="0" w:line="8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On May 19, 2017, Amgen filed a lawsuit for infringement of Amgen's Japanese Patent Nos. 5,906,333 (the "'333 Patent") and 5,705,288 (the "'288 Patent") in the Tokyo District Court Civil Division (the "Tokyo District Court")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 On January 17, 2019, the Tokyo District Court upheld the validity of the '333 Patent and '288 Patent and ordered a permanent injunction against Sanofi K.K. to stop manufacturing, selling or otherwise transferring, and offering to sell or otherwise transfer Praluent (alirocumab) in Japan (as well as importing Praluent (alirocumab) into Japan) and to dispose of all product. However, the Tokyo District Court stayed the enforcement of such injunction pending appeal to the Intellectual Property High Court of Japan (the "IPHC"). On January 30, 2019, Sanofi K.K. appealed the Tokyo District Court's decision in the infringement proceedings to the IPHC.</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Dupixent (dupilumab) Injection</w:t>
      </w:r>
    </w:p>
    <w:p>
      <w:pPr>
        <w:spacing w:after="0" w:line="281"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36"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 xml:space="preserve">On March 23, 2017, the Company, Sanofi-Aventis U.S. LLC, and Genzyme Corporation initiated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hearings on the Additional IPR Petitions before the PTAB were held on November 14, 2018. On February 14, 2019, the PTAB issued final written decisions on the Additional IPR Petitions, invalidating all 17 claims of the '487 Patent as obvious based on one of the Additional IPR Petitions while declining to hold the challenged claims of the '487 Patent invalid based on the other.</w:t>
      </w:r>
    </w:p>
    <w:p>
      <w:pPr>
        <w:spacing w:after="0" w:line="241"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the Company and the Sanofi parties' motion for summary judgment on the issue of indefiniteness of the '487 Patent claims was held on July 12, 2018. On August 24, 2018, the court issued an order denying this motion and construed the disputed claim terms as proposed by Amgen. On February 28, 2019, the court granted a joint stipulation by the parties to stay the litigation pending resolution of any appeal of the PTAB's final written decisions on the Additional IPR Petitions discussed above.</w:t>
      </w:r>
    </w:p>
    <w:p>
      <w:pPr>
        <w:spacing w:after="0" w:line="11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On September 20, 2017 and September 21, 2017, respectively, the Company and Sanofi initiated opposition proceedings in the EPO against Immunex's European Patent No. 2,990,420 (the "'420 Patent"), a divisional patent of the '665 Patent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patent that shares the same priority date, disclosure, and patent term of the parent '665 Patent but contains claims to a different invention). The oral hearing before the EPO on the oppositions occurred on February 14–15, 2019, at which the '420 Patent was revoked in its entirety. The original patent term of the Immunex patents is set to expire in 2021.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and ZALTRAP</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(ziv-aflibercept) Injection for Intravenous Infusion</w:t>
      </w:r>
    </w:p>
    <w:p>
      <w:pPr>
        <w:spacing w:after="0" w:line="20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On March 19, 2018, Novartis Vaccines and Diagnostics, Inc., Novartis Pharma AG, and Grifols Worldwide Operations Limited (collectively, the "Novartis Parties") filed a lawsuit against the Company in the United States District Court for the Southern District of New York, seeking a judgment of patent infringement of U.S. Patent No. 5,688,688 (the "'688 Patent") by the Company's manufacture of aflibercept (the active ingredient used in both EYLEA and ZALTRAP); monetary damages (together with interest) for a limited period prior to the '688 Patent expiration; an order of willful infringement of the '688 Patent (dismissed on October 24, 2018); costs and expenses of the lawsuit; and attorneys' fees. The '688 Patent expired on November 18, 2014. The Novartis Parties are not seeking an injunction in these proceedings. On March 20, 2019, the court issued its Opinion and Order on Claim Construction (the "Claim Construction Order") in the '688 Patent infringement litigation. Pursuant to the Claim Construction Order, on April 1, 2019, the court approved a joint stipulation and entered a partial judgment of noninfringement of the '688 Patent of nine asserted claims. As a result, only one claim for infringement of the '688 Patent remains pending.</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Department of Justice Investigation</w:t>
      </w:r>
    </w:p>
    <w:p>
      <w:pPr>
        <w:spacing w:after="0" w:line="281"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 and certain other related documents and communications. The Company is cooperating with this investigation.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Recently Issued Accounting Standards</w:t>
      </w:r>
    </w:p>
    <w:p>
      <w:pPr>
        <w:spacing w:after="0" w:line="281"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No. 2016-13, </w:t>
      </w:r>
      <w:r>
        <w:rPr>
          <w:rFonts w:ascii="Times New Roman" w:cs="Times New Roman" w:eastAsia="Times New Roman" w:hAnsi="Times New Roman"/>
          <w:sz w:val="18"/>
          <w:szCs w:val="18"/>
          <w:i w:val="1"/>
          <w:iCs w:val="1"/>
          <w:color w:val="auto"/>
        </w:rPr>
        <w:t>Financial Instruments - Credit Losses: 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 Financial Instruments </w:t>
      </w:r>
      <w:r>
        <w:rPr>
          <w:rFonts w:ascii="Times New Roman" w:cs="Times New Roman" w:eastAsia="Times New Roman" w:hAnsi="Times New Roman"/>
          <w:sz w:val="18"/>
          <w:szCs w:val="18"/>
          <w:color w:val="auto"/>
        </w:rPr>
        <w:t>("ASU 2016-13"). ASU 2016-13 requires an entity to measure and recognize expected credit losses for certain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including trade receivables, as an allowance that reflects the entity's current estimate of credit losses expected to be incurred. For available-for-sale debt securities with unrealized losses, the standard requires allowances to be recorded instead of reducing the amortized cost of the investment. The standard is effective for fiscal years, and interim periods within those fiscal years, beginning after December 15, 2019, with early adoption permitted. We are evaluating the impact that the new standard will have on our financial statements.</w:t>
      </w:r>
    </w:p>
    <w:p>
      <w:pPr>
        <w:spacing w:after="0" w:line="23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6" w:lineRule="exact"/>
        <w:rPr>
          <w:sz w:val="20"/>
          <w:szCs w:val="20"/>
          <w:color w:val="auto"/>
        </w:rPr>
      </w:pPr>
    </w:p>
    <w:p>
      <w:pPr>
        <w:jc w:val="both"/>
        <w:ind w:firstLine="243"/>
        <w:spacing w:after="0" w:line="24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(aflibercept) Injection, Dupixent</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(dupilumab) Injection, Praluent</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(alirocumab) Injection, Kevzara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(sarilumab) Injection, Libtayo</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(cemiplimab) Injection, fasinumab, and evinacumab; the likelihood and timing of achieving any of our anticipated clinical development milestones and the impact of the recent and any potential future U.S. government shutdowns on the anticipated timing of any U.S. Food and Drug Administration regulatory action referenced in this report;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Libtayo, fasinumab, and evinacumab;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Kevzara, and Libtayo),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candidates; the ability of our collaborators, suppliers, or other third parties (as applicable) to perform manufacturing,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EYLEA, Dupixent, and Praluent described further in Note 11 to our Condensed Consolidated Financial Statements included in this report, the ultimate outcome of any such proceedings,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musculoskeletal diseases, infectious diseases, and rare diseases.</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270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tc>
        <w:tc>
          <w:tcPr>
            <w:tcW w:w="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594"/>
        </w:trPr>
        <w:tc>
          <w:tcPr>
            <w:tcW w:w="2760" w:type="dxa"/>
            <w:vAlign w:val="bottom"/>
          </w:tcPr>
          <w:p>
            <w:pPr>
              <w:spacing w:after="0"/>
              <w:rPr>
                <w:sz w:val="24"/>
                <w:szCs w:val="24"/>
                <w:color w:val="auto"/>
              </w:rPr>
            </w:pPr>
          </w:p>
        </w:tc>
        <w:tc>
          <w:tcPr>
            <w:tcW w:w="9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currently have seven products that have received marketing approval:</w:t>
      </w:r>
    </w:p>
    <w:p>
      <w:pPr>
        <w:spacing w:after="0" w:line="200" w:lineRule="exact"/>
        <w:rPr>
          <w:sz w:val="20"/>
          <w:szCs w:val="20"/>
          <w:color w:val="auto"/>
        </w:rPr>
      </w:pP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40" w:type="dxa"/>
            <w:vAlign w:val="bottom"/>
          </w:tcPr>
          <w:p>
            <w:pPr>
              <w:spacing w:after="0"/>
              <w:rPr>
                <w:sz w:val="2"/>
                <w:szCs w:val="2"/>
                <w:color w:val="auto"/>
              </w:rPr>
            </w:pPr>
          </w:p>
        </w:tc>
        <w:tc>
          <w:tcPr>
            <w:tcW w:w="322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Disease Area</w:t>
            </w:r>
            <w:r>
              <w:rPr>
                <w:rFonts w:ascii="Times New Roman" w:cs="Times New Roman" w:eastAsia="Times New Roman" w:hAnsi="Times New Roman"/>
                <w:sz w:val="25"/>
                <w:szCs w:val="25"/>
                <w:b w:val="1"/>
                <w:bCs w:val="1"/>
                <w:color w:val="auto"/>
                <w:vertAlign w:val="superscript"/>
              </w:rPr>
              <w:t>(1)</w:t>
            </w: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Japan</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18"/>
                <w:szCs w:val="18"/>
                <w:b w:val="1"/>
                <w:bCs w:val="1"/>
                <w:color w:val="auto"/>
                <w:w w:val="93"/>
              </w:rPr>
              <w:t>ROW</w:t>
            </w:r>
            <w:r>
              <w:rPr>
                <w:rFonts w:ascii="Times New Roman" w:cs="Times New Roman" w:eastAsia="Times New Roman" w:hAnsi="Times New Roman"/>
                <w:sz w:val="25"/>
                <w:szCs w:val="25"/>
                <w:b w:val="1"/>
                <w:bCs w:val="1"/>
                <w:color w:val="auto"/>
                <w:w w:val="93"/>
                <w:vertAlign w:val="superscript"/>
              </w:rPr>
              <w:t>(6)</w:t>
            </w: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EYLEA (aflibercept) Injection</w:t>
            </w:r>
            <w:r>
              <w:rPr>
                <w:rFonts w:ascii="Times New Roman" w:cs="Times New Roman" w:eastAsia="Times New Roman" w:hAnsi="Times New Roman"/>
                <w:sz w:val="25"/>
                <w:szCs w:val="25"/>
                <w:color w:val="auto"/>
                <w:vertAlign w:val="superscript"/>
              </w:rPr>
              <w:t>(2)</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Neovascular age-related macular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154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degeneration (wet AMD)</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154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52"/>
        </w:trPr>
        <w:tc>
          <w:tcPr>
            <w:tcW w:w="3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Macular edema following retinal vein</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154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occlusion (RVO), which includes macular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edema following central retinal vein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occlusion (CRVO) and macular edema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following branch retinal vein occlusion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(BRVO)</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Myopic choroidal neovascularization</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154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(mCNV)</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retinopathy in patients with DME</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100" w:type="dxa"/>
            <w:vAlign w:val="bottom"/>
          </w:tcPr>
          <w:p>
            <w:pPr>
              <w:ind w:left="20"/>
              <w:spacing w:after="0" w:line="278" w:lineRule="exact"/>
              <w:rPr>
                <w:sz w:val="20"/>
                <w:szCs w:val="20"/>
                <w:color w:val="auto"/>
              </w:rPr>
            </w:pPr>
            <w:r>
              <w:rPr>
                <w:rFonts w:ascii="Times New Roman" w:cs="Times New Roman" w:eastAsia="Times New Roman" w:hAnsi="Times New Roman"/>
                <w:sz w:val="18"/>
                <w:szCs w:val="18"/>
                <w:color w:val="auto"/>
              </w:rPr>
              <w:t>Dupixent (dupilumab) Injection</w:t>
            </w:r>
            <w:r>
              <w:rPr>
                <w:rFonts w:ascii="Times New Roman" w:cs="Times New Roman" w:eastAsia="Times New Roman" w:hAnsi="Times New Roman"/>
                <w:sz w:val="25"/>
                <w:szCs w:val="25"/>
                <w:color w:val="auto"/>
                <w:vertAlign w:val="superscript"/>
              </w:rPr>
              <w:t>(3)</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Atopic dermatitis (in adults)</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2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154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Atopic dermatitis (in adolescents)</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Asthma (in adults and adolescents)</w:t>
            </w:r>
          </w:p>
        </w:tc>
        <w:tc>
          <w:tcPr>
            <w:tcW w:w="1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154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1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Praluent (alirocumab) Injection</w:t>
            </w:r>
            <w:r>
              <w:rPr>
                <w:rFonts w:ascii="Times New Roman" w:cs="Times New Roman" w:eastAsia="Times New Roman" w:hAnsi="Times New Roman"/>
                <w:sz w:val="25"/>
                <w:szCs w:val="25"/>
                <w:color w:val="auto"/>
                <w:vertAlign w:val="superscript"/>
              </w:rPr>
              <w:t>(3)</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LDL-lowering in heterozygous familial</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154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hypercholesterolemia (HeFH) or clinical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atherosclerotic cardiovascular disease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(ASCVD) (in adults)</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100" w:type="dxa"/>
            <w:vAlign w:val="bottom"/>
            <w:shd w:val="clear" w:color="auto" w:fill="CCEEFF"/>
          </w:tcPr>
          <w:p>
            <w:pPr>
              <w:spacing w:after="0"/>
              <w:rPr>
                <w:sz w:val="21"/>
                <w:szCs w:val="21"/>
                <w:color w:val="auto"/>
              </w:rPr>
            </w:pP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Cardiovascular risk reduction in patients</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established cardiovascular disease</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Kevzara (sarilumab) Solution for</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Rheumatoid arthritis (RA) (in adults)</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20" w:type="dxa"/>
            <w:vAlign w:val="bottom"/>
          </w:tcPr>
          <w:p>
            <w:pPr>
              <w:spacing w:after="0"/>
              <w:rPr>
                <w:sz w:val="19"/>
                <w:szCs w:val="19"/>
                <w:color w:val="auto"/>
              </w:rPr>
            </w:pPr>
          </w:p>
        </w:tc>
        <w:tc>
          <w:tcPr>
            <w:tcW w:w="98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154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61"/>
        </w:trPr>
        <w:tc>
          <w:tcPr>
            <w:tcW w:w="310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Subcutaneous Injection</w:t>
            </w:r>
            <w:r>
              <w:rPr>
                <w:rFonts w:ascii="Times New Roman" w:cs="Times New Roman" w:eastAsia="Times New Roman" w:hAnsi="Times New Roman"/>
                <w:sz w:val="25"/>
                <w:szCs w:val="25"/>
                <w:color w:val="auto"/>
                <w:vertAlign w:val="superscript"/>
              </w:rPr>
              <w:t>(3)</w:t>
            </w:r>
          </w:p>
        </w:tc>
        <w:tc>
          <w:tcPr>
            <w:tcW w:w="14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Libtayo (cemiplimab) Injection</w:t>
            </w:r>
            <w:r>
              <w:rPr>
                <w:rFonts w:ascii="Times New Roman" w:cs="Times New Roman" w:eastAsia="Times New Roman" w:hAnsi="Times New Roman"/>
                <w:sz w:val="25"/>
                <w:szCs w:val="25"/>
                <w:color w:val="auto"/>
                <w:vertAlign w:val="superscript"/>
              </w:rPr>
              <w:t>(3)(4)</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Metastatic or locally advanced cutaneous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squamous cell carcinoma (CSCC)</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color w:val="auto"/>
              </w:rPr>
              <w:t xml:space="preserve"> (rilonacept) Injection for</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Cryopyrin-Associated Periodic Syndromes</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Subcutaneous Use</w:t>
            </w:r>
          </w:p>
        </w:tc>
        <w:tc>
          <w:tcPr>
            <w:tcW w:w="14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(CAPS), including Familial Cold Auto-</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inflammatory Syndrome (FCAS) and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Muckle-Wells Syndrome (MWS)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460" w:type="dxa"/>
            <w:vAlign w:val="bottom"/>
            <w:gridSpan w:val="3"/>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ZALTRAP</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color w:val="auto"/>
              </w:rPr>
              <w:t xml:space="preserve"> (ziv-aflibercept) Injection for • Metastatic colorectal cancer (mCRC)</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154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61"/>
        </w:trPr>
        <w:tc>
          <w:tcPr>
            <w:tcW w:w="31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5"/>
                <w:szCs w:val="25"/>
                <w:color w:val="auto"/>
                <w:vertAlign w:val="superscript"/>
              </w:rPr>
              <w:t>(5)</w:t>
            </w:r>
          </w:p>
        </w:tc>
        <w:tc>
          <w:tcPr>
            <w:tcW w:w="14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720" w:hanging="199"/>
        <w:spacing w:after="0"/>
        <w:tabs>
          <w:tab w:leader="none" w:pos="72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Refer to label information in each territory for specific indication</w:t>
      </w:r>
    </w:p>
    <w:p>
      <w:pPr>
        <w:spacing w:after="0" w:line="55" w:lineRule="exact"/>
        <w:rPr>
          <w:rFonts w:ascii="Times New Roman" w:cs="Times New Roman" w:eastAsia="Times New Roman" w:hAnsi="Times New Roman"/>
          <w:sz w:val="25"/>
          <w:szCs w:val="25"/>
          <w:color w:val="auto"/>
          <w:vertAlign w:val="superscript"/>
        </w:rPr>
      </w:pPr>
    </w:p>
    <w:p>
      <w:pPr>
        <w:ind w:left="720" w:hanging="199"/>
        <w:spacing w:after="0" w:line="186" w:lineRule="auto"/>
        <w:tabs>
          <w:tab w:leader="none" w:pos="7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 collaboration with Bayer (outside the United States)</w:t>
      </w:r>
    </w:p>
    <w:p>
      <w:pPr>
        <w:spacing w:after="0" w:line="56" w:lineRule="exact"/>
        <w:rPr>
          <w:rFonts w:ascii="Times New Roman" w:cs="Times New Roman" w:eastAsia="Times New Roman" w:hAnsi="Times New Roman"/>
          <w:sz w:val="24"/>
          <w:szCs w:val="24"/>
          <w:color w:val="auto"/>
          <w:vertAlign w:val="superscript"/>
        </w:rPr>
      </w:pPr>
    </w:p>
    <w:p>
      <w:pPr>
        <w:ind w:left="720" w:hanging="199"/>
        <w:spacing w:after="0" w:line="186" w:lineRule="auto"/>
        <w:tabs>
          <w:tab w:leader="none" w:pos="7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 collaboration with Sanofi</w:t>
      </w:r>
    </w:p>
    <w:p>
      <w:pPr>
        <w:spacing w:after="0" w:line="56" w:lineRule="exact"/>
        <w:rPr>
          <w:rFonts w:ascii="Times New Roman" w:cs="Times New Roman" w:eastAsia="Times New Roman" w:hAnsi="Times New Roman"/>
          <w:sz w:val="24"/>
          <w:szCs w:val="24"/>
          <w:color w:val="auto"/>
          <w:vertAlign w:val="superscript"/>
        </w:rPr>
      </w:pPr>
    </w:p>
    <w:p>
      <w:pPr>
        <w:ind w:left="700" w:hanging="179"/>
        <w:spacing w:after="0" w:line="194" w:lineRule="auto"/>
        <w:tabs>
          <w:tab w:leader="none" w:pos="70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Marketed as Libtayo (cemiplimab-rwlc) Injection in the United States</w:t>
      </w:r>
    </w:p>
    <w:p>
      <w:pPr>
        <w:spacing w:after="0" w:line="56" w:lineRule="exact"/>
        <w:rPr>
          <w:rFonts w:ascii="Times New Roman" w:cs="Times New Roman" w:eastAsia="Times New Roman" w:hAnsi="Times New Roman"/>
          <w:sz w:val="23"/>
          <w:szCs w:val="23"/>
          <w:color w:val="auto"/>
          <w:vertAlign w:val="superscript"/>
        </w:rPr>
      </w:pPr>
    </w:p>
    <w:p>
      <w:pPr>
        <w:ind w:left="520" w:right="540" w:firstLine="1"/>
        <w:spacing w:after="0" w:line="236" w:lineRule="auto"/>
        <w:tabs>
          <w:tab w:leader="none" w:pos="69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Pursuant to a 2015 amended and restated ZALTRAP agreement, Sanofi is solely responsible for the development and commercialization of ZALTRAP, and Sanofi pays us a percentage of aggregate net sales of ZALTRAP</w:t>
      </w:r>
    </w:p>
    <w:p>
      <w:pPr>
        <w:spacing w:after="0" w:line="36" w:lineRule="exact"/>
        <w:rPr>
          <w:rFonts w:ascii="Times New Roman" w:cs="Times New Roman" w:eastAsia="Times New Roman" w:hAnsi="Times New Roman"/>
          <w:sz w:val="22"/>
          <w:szCs w:val="22"/>
          <w:color w:val="auto"/>
          <w:vertAlign w:val="superscript"/>
        </w:rPr>
      </w:pPr>
    </w:p>
    <w:p>
      <w:pPr>
        <w:ind w:left="520" w:right="120" w:firstLine="1"/>
        <w:spacing w:after="0" w:line="229" w:lineRule="auto"/>
        <w:tabs>
          <w:tab w:leader="none" w:pos="712"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Rest of world. Checkmark in this column indicates that the product has received marketing approval in at least one country outside of the United States, EU, or Japan</w:t>
      </w:r>
    </w:p>
    <w:p>
      <w:pPr>
        <w:sectPr>
          <w:pgSz w:w="11900" w:h="16838" w:orient="portrait"/>
          <w:cols w:equalWidth="0" w:num="1">
            <w:col w:w="11260"/>
          </w:cols>
          <w:pgMar w:left="240" w:top="1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60"/>
          </w:cols>
          <w:pgMar w:left="240" w:top="126" w:right="399" w:bottom="1440" w:gutter="0" w:footer="0" w:header="0"/>
          <w:type w:val="continuous"/>
        </w:sectPr>
      </w:pPr>
    </w:p>
    <w:bookmarkStart w:id="25" w:name="page26"/>
    <w:bookmarkEnd w:id="2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Marketed Products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80" w:type="dxa"/>
            <w:vAlign w:val="bottom"/>
          </w:tcPr>
          <w:p>
            <w:pPr>
              <w:spacing w:after="0"/>
              <w:rPr>
                <w:sz w:val="24"/>
                <w:szCs w:val="24"/>
                <w:color w:val="auto"/>
              </w:rPr>
            </w:pPr>
          </w:p>
        </w:tc>
        <w:tc>
          <w:tcPr>
            <w:tcW w:w="2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Net Product Sales of Regeneron-</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5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Discovered Products</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8"/>
              </w:rPr>
              <w:t>(1)</w:t>
            </w:r>
          </w:p>
        </w:tc>
        <w:tc>
          <w:tcPr>
            <w:tcW w:w="164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vMerge w:val="restart"/>
          </w:tcPr>
          <w:p>
            <w:pPr>
              <w:jc w:val="right"/>
              <w:ind w:right="570"/>
              <w:spacing w:after="0" w:line="196"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780" w:type="dxa"/>
            <w:vAlign w:val="bottom"/>
          </w:tcPr>
          <w:p>
            <w:pPr>
              <w:spacing w:after="0"/>
              <w:rPr>
                <w:sz w:val="2"/>
                <w:szCs w:val="2"/>
                <w:color w:val="auto"/>
              </w:rPr>
            </w:pPr>
          </w:p>
        </w:tc>
        <w:tc>
          <w:tcPr>
            <w:tcW w:w="158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780" w:type="dxa"/>
            <w:vAlign w:val="bottom"/>
          </w:tcPr>
          <w:p>
            <w:pPr>
              <w:spacing w:after="0"/>
              <w:rPr>
                <w:sz w:val="4"/>
                <w:szCs w:val="4"/>
                <w:color w:val="auto"/>
              </w:rPr>
            </w:pPr>
          </w:p>
        </w:tc>
        <w:tc>
          <w:tcPr>
            <w:tcW w:w="33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336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 w:type="dxa"/>
            <w:vAlign w:val="bottom"/>
            <w:tcBorders>
              <w:right w:val="single" w:sz="8" w:color="CCEEFF"/>
            </w:tcBorders>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ROW</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ROW</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4"/>
        </w:trPr>
        <w:tc>
          <w:tcPr>
            <w:tcW w:w="780" w:type="dxa"/>
            <w:vAlign w:val="bottom"/>
          </w:tcPr>
          <w:p>
            <w:pPr>
              <w:spacing w:after="0"/>
              <w:rPr>
                <w:sz w:val="22"/>
                <w:szCs w:val="22"/>
                <w:color w:val="auto"/>
              </w:rPr>
            </w:pPr>
          </w:p>
        </w:tc>
        <w:tc>
          <w:tcPr>
            <w:tcW w:w="3360" w:type="dxa"/>
            <w:vAlign w:val="bottom"/>
            <w:gridSpan w:val="4"/>
          </w:tcPr>
          <w:p>
            <w:pPr>
              <w:spacing w:after="0" w:line="264"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5"/>
                <w:szCs w:val="25"/>
                <w:color w:val="auto"/>
                <w:vertAlign w:val="superscript"/>
              </w:rPr>
              <w:t>(1)</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1,074.1</w:t>
            </w:r>
          </w:p>
        </w:tc>
        <w:tc>
          <w:tcPr>
            <w:tcW w:w="10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669.4</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1,743.5</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984.0</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624.0</w:t>
            </w: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1,608.0</w:t>
            </w:r>
          </w:p>
        </w:tc>
        <w:tc>
          <w:tcPr>
            <w:tcW w:w="0" w:type="dxa"/>
            <w:vAlign w:val="bottom"/>
          </w:tcPr>
          <w:p>
            <w:pPr>
              <w:spacing w:after="0"/>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Libtayo</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ARCALYST</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Borders>
              <w:right w:val="single" w:sz="8" w:color="CCEEFF"/>
            </w:tcBorders>
          </w:tcPr>
          <w:p>
            <w:pPr>
              <w:spacing w:after="0"/>
              <w:rPr>
                <w:sz w:val="22"/>
                <w:szCs w:val="22"/>
                <w:color w:val="auto"/>
              </w:rPr>
            </w:pPr>
          </w:p>
        </w:tc>
        <w:tc>
          <w:tcPr>
            <w:tcW w:w="33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product sales recorded by Regeneron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Borders>
              <w:right w:val="single" w:sz="8" w:color="CCEEFF"/>
            </w:tcBorders>
          </w:tcPr>
          <w:p>
            <w:pPr>
              <w:spacing w:after="0"/>
              <w:rPr>
                <w:sz w:val="23"/>
                <w:szCs w:val="23"/>
                <w:color w:val="auto"/>
              </w:rPr>
            </w:pPr>
          </w:p>
        </w:tc>
        <w:tc>
          <w:tcPr>
            <w:tcW w:w="3360" w:type="dxa"/>
            <w:vAlign w:val="bottom"/>
            <w:gridSpan w:val="4"/>
            <w:shd w:val="clear" w:color="auto" w:fill="CCEEFF"/>
          </w:tcPr>
          <w:p>
            <w:pPr>
              <w:spacing w:after="0" w:line="270" w:lineRule="exact"/>
              <w:rPr>
                <w:sz w:val="20"/>
                <w:szCs w:val="20"/>
                <w:color w:val="auto"/>
              </w:rPr>
            </w:pPr>
            <w:r>
              <w:rPr>
                <w:rFonts w:ascii="Times New Roman" w:cs="Times New Roman" w:eastAsia="Times New Roman" w:hAnsi="Times New Roman"/>
                <w:sz w:val="18"/>
                <w:szCs w:val="18"/>
                <w:i w:val="1"/>
                <w:iCs w:val="1"/>
                <w:color w:val="auto"/>
              </w:rPr>
              <w:t>Net product sales recorded by Sanofi</w:t>
            </w:r>
            <w:r>
              <w:rPr>
                <w:rFonts w:ascii="Times New Roman" w:cs="Times New Roman" w:eastAsia="Times New Roman" w:hAnsi="Times New Roman"/>
                <w:sz w:val="25"/>
                <w:szCs w:val="25"/>
                <w:i w:val="1"/>
                <w:iCs w:val="1"/>
                <w:color w:val="auto"/>
                <w:vertAlign w:val="superscript"/>
              </w:rPr>
              <w:t>(1)</w:t>
            </w:r>
            <w:r>
              <w:rPr>
                <w:rFonts w:ascii="Times New Roman" w:cs="Times New Roman" w:eastAsia="Times New Roman" w:hAnsi="Times New Roman"/>
                <w:sz w:val="18"/>
                <w:szCs w:val="18"/>
                <w:i w:val="1"/>
                <w:iCs w:val="1"/>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Dupixent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Praluent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Kevzara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0" w:type="dxa"/>
            <w:vAlign w:val="bottom"/>
            <w:tcBorders>
              <w:right w:val="single" w:sz="8" w:color="CCEEFF"/>
            </w:tcBorders>
          </w:tcPr>
          <w:p>
            <w:pPr>
              <w:spacing w:after="0"/>
              <w:rPr>
                <w:sz w:val="21"/>
                <w:szCs w:val="21"/>
                <w:color w:val="auto"/>
              </w:rPr>
            </w:pPr>
          </w:p>
        </w:tc>
        <w:tc>
          <w:tcPr>
            <w:tcW w:w="3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ZALTRAP</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7"/>
        </w:trPr>
        <w:tc>
          <w:tcPr>
            <w:tcW w:w="780" w:type="dxa"/>
            <w:vAlign w:val="bottom"/>
            <w:tcBorders>
              <w:right w:val="single" w:sz="8" w:color="CCEEFF"/>
            </w:tcBorders>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020" w:right="1180" w:firstLine="8"/>
        <w:spacing w:after="0" w:line="235" w:lineRule="auto"/>
        <w:tabs>
          <w:tab w:leader="none" w:pos="1212"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Bayer records net product sales of EYLEA outside the United States and Sanofi records global net product sales of Dupixent, Praluent, Kevzara, and ZALTRAP. Refer to "Overview" above and "Collaboration Agreements" below for further details.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Programs in Clinical Development</w:t>
      </w:r>
    </w:p>
    <w:p>
      <w:pPr>
        <w:spacing w:after="0" w:line="283" w:lineRule="exact"/>
        <w:rPr>
          <w:sz w:val="20"/>
          <w:szCs w:val="20"/>
          <w:color w:val="auto"/>
        </w:rPr>
      </w:pPr>
    </w:p>
    <w:p>
      <w:pPr>
        <w:jc w:val="both"/>
        <w:ind w:firstLine="230"/>
        <w:spacing w:after="0" w:line="238" w:lineRule="auto"/>
        <w:rPr>
          <w:sz w:val="20"/>
          <w:szCs w:val="20"/>
          <w:color w:val="auto"/>
        </w:rPr>
      </w:pPr>
      <w:r>
        <w:rPr>
          <w:rFonts w:ascii="Times New Roman" w:cs="Times New Roman" w:eastAsia="Times New Roman" w:hAnsi="Times New Roman"/>
          <w:sz w:val="18"/>
          <w:szCs w:val="18"/>
          <w:color w:val="auto"/>
        </w:rPr>
        <w:t xml:space="preserve">All 20 of our product candidates in clinical development, including the five FDA-approved products which we are investigating in additional indications, were discovered in our research laboratories and are summarized below. We used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technology to generate each of the antibodies in the table below. 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and changes in the competitive landscape affecting a product candidate. Refer to Part II, Item 1A. "Risk Factors" for a description of these and other risks and uncertainties that may affect our clinical programs.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8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80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w w:val="95"/>
              </w:rPr>
              <w:t>Phase 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EYLEA</w:t>
            </w:r>
          </w:p>
        </w:tc>
        <w:tc>
          <w:tcPr>
            <w:tcW w:w="1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860" w:type="dxa"/>
            <w:vAlign w:val="bottom"/>
            <w:shd w:val="clear" w:color="auto" w:fill="CCEEFF"/>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40"/>
              <w:spacing w:after="0" w:line="222" w:lineRule="exact"/>
              <w:rPr>
                <w:sz w:val="20"/>
                <w:szCs w:val="20"/>
                <w:color w:val="auto"/>
              </w:rPr>
            </w:pPr>
            <w:r>
              <w:rPr>
                <w:rFonts w:ascii="Times New Roman" w:cs="Times New Roman" w:eastAsia="Times New Roman" w:hAnsi="Times New Roman"/>
                <w:sz w:val="18"/>
                <w:szCs w:val="18"/>
                <w:b w:val="1"/>
                <w:bCs w:val="1"/>
                <w:color w:val="auto"/>
              </w:rPr>
              <w:t>Dupixent (dupilumab)</w:t>
            </w:r>
            <w:r>
              <w:rPr>
                <w:rFonts w:ascii="Times New Roman" w:cs="Times New Roman" w:eastAsia="Times New Roman" w:hAnsi="Times New Roman"/>
                <w:sz w:val="25"/>
                <w:szCs w:val="25"/>
                <w:b w:val="1"/>
                <w:bCs w:val="1"/>
                <w:color w:val="auto"/>
                <w:vertAlign w:val="superscript"/>
              </w:rPr>
              <w:t>(a)</w:t>
            </w:r>
          </w:p>
        </w:tc>
        <w:tc>
          <w:tcPr>
            <w:tcW w:w="1800" w:type="dxa"/>
            <w:vAlign w:val="bottom"/>
          </w:tcPr>
          <w:p>
            <w:pPr>
              <w:spacing w:after="0"/>
              <w:rPr>
                <w:sz w:val="19"/>
                <w:szCs w:val="19"/>
                <w:color w:val="auto"/>
              </w:rPr>
            </w:pPr>
          </w:p>
        </w:tc>
        <w:tc>
          <w:tcPr>
            <w:tcW w:w="1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Grass allergy</w:t>
            </w:r>
          </w:p>
        </w:tc>
        <w:tc>
          <w:tcPr>
            <w:tcW w:w="0" w:type="dxa"/>
            <w:vAlign w:val="bottom"/>
          </w:tcPr>
          <w:p>
            <w:pPr>
              <w:spacing w:after="0"/>
              <w:rPr>
                <w:sz w:val="1"/>
                <w:szCs w:val="1"/>
                <w:color w:val="auto"/>
              </w:rPr>
            </w:pPr>
          </w:p>
        </w:tc>
      </w:tr>
      <w:tr>
        <w:trPr>
          <w:trHeight w:val="236"/>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Antibody to IL-4R alpha subunit</w:t>
            </w:r>
          </w:p>
        </w:tc>
        <w:tc>
          <w:tcPr>
            <w:tcW w:w="1800" w:type="dxa"/>
            <w:vAlign w:val="bottom"/>
          </w:tcPr>
          <w:p>
            <w:pPr>
              <w:spacing w:after="0"/>
              <w:rPr>
                <w:sz w:val="20"/>
                <w:szCs w:val="20"/>
                <w:color w:val="auto"/>
              </w:rPr>
            </w:pP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 Peanut allergy</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-865505</wp:posOffset>
            </wp:positionV>
            <wp:extent cx="463931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39310"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Phase 3</w:t>
      </w:r>
    </w:p>
    <w:p>
      <w:pPr>
        <w:spacing w:after="0" w:line="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Non-proliferative diabetic</w:t>
      </w:r>
    </w:p>
    <w:p>
      <w:pPr>
        <w:spacing w:after="0" w:line="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retinopathy (NPDR) in</w:t>
      </w:r>
    </w:p>
    <w:p>
      <w:pPr>
        <w:spacing w:after="0"/>
        <w:rPr>
          <w:sz w:val="20"/>
          <w:szCs w:val="20"/>
          <w:color w:val="auto"/>
        </w:rPr>
      </w:pPr>
      <w:r>
        <w:rPr>
          <w:sz w:val="1"/>
          <w:szCs w:val="1"/>
          <w:color w:val="auto"/>
        </w:rPr>
        <w:drawing>
          <wp:inline distT="0" distB="0" distL="0" distR="0">
            <wp:extent cx="542290" cy="1619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2290" cy="16192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patients without DME</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Atopic dermatitis in</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adolescents and pediatrics</w:t>
      </w:r>
    </w:p>
    <w:p>
      <w:pPr>
        <w:spacing w:after="0" w:line="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(6–11 years of age)</w:t>
      </w:r>
      <w:r>
        <w:rPr>
          <w:rFonts w:ascii="Times New Roman" w:cs="Times New Roman" w:eastAsia="Times New Roman" w:hAnsi="Times New Roman"/>
          <w:sz w:val="25"/>
          <w:szCs w:val="25"/>
          <w:color w:val="auto"/>
          <w:vertAlign w:val="superscript"/>
        </w:rPr>
        <w:t>(d)</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266"/>
        <w:spacing w:after="0"/>
        <w:rPr>
          <w:sz w:val="20"/>
          <w:szCs w:val="20"/>
          <w:color w:val="auto"/>
        </w:rPr>
      </w:pPr>
      <w:r>
        <w:rPr>
          <w:rFonts w:ascii="Times New Roman" w:cs="Times New Roman" w:eastAsia="Times New Roman" w:hAnsi="Times New Roman"/>
          <w:sz w:val="17"/>
          <w:szCs w:val="17"/>
          <w:b w:val="1"/>
          <w:bCs w:val="1"/>
          <w:color w:val="auto"/>
        </w:rPr>
        <w:t>Regulatory Review</w:t>
      </w:r>
      <w:r>
        <w:rPr>
          <w:rFonts w:ascii="Times New Roman" w:cs="Times New Roman" w:eastAsia="Times New Roman" w:hAnsi="Times New Roman"/>
          <w:sz w:val="24"/>
          <w:szCs w:val="24"/>
          <w:b w:val="1"/>
          <w:bCs w:val="1"/>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-6350</wp:posOffset>
            </wp:positionV>
            <wp:extent cx="2607310"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7310" cy="488950"/>
                    </a:xfrm>
                    <a:prstGeom prst="rect">
                      <a:avLst/>
                    </a:prstGeom>
                    <a:noFill/>
                  </pic:spPr>
                </pic:pic>
              </a:graphicData>
            </a:graphic>
          </wp:anchor>
        </w:drawing>
      </w:r>
    </w:p>
    <w:p>
      <w:pPr>
        <w:ind w:left="126" w:right="420" w:hanging="126"/>
        <w:spacing w:after="0" w:line="274" w:lineRule="auto"/>
        <w:tabs>
          <w:tab w:leader="none" w:pos="1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Diabetic retinopathy (U.S.)</w:t>
      </w:r>
    </w:p>
    <w:p>
      <w:pPr>
        <w:spacing w:after="0" w:line="7" w:lineRule="exact"/>
        <w:rPr>
          <w:rFonts w:ascii="Times New Roman" w:cs="Times New Roman" w:eastAsia="Times New Roman" w:hAnsi="Times New Roman"/>
          <w:sz w:val="18"/>
          <w:szCs w:val="18"/>
          <w:color w:val="auto"/>
        </w:rPr>
      </w:pPr>
    </w:p>
    <w:p>
      <w:pPr>
        <w:ind w:left="126" w:hanging="126"/>
        <w:spacing w:after="0"/>
        <w:tabs>
          <w:tab w:leader="none" w:pos="12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Pre-filled syringe (U.S.)</w:t>
      </w:r>
    </w:p>
    <w:p>
      <w:pPr>
        <w:spacing w:after="0" w:line="74" w:lineRule="exact"/>
        <w:rPr>
          <w:rFonts w:ascii="Times New Roman" w:cs="Times New Roman" w:eastAsia="Times New Roman" w:hAnsi="Times New Roman"/>
          <w:sz w:val="17"/>
          <w:szCs w:val="17"/>
          <w:color w:val="auto"/>
        </w:rPr>
      </w:pPr>
    </w:p>
    <w:p>
      <w:pPr>
        <w:ind w:left="126" w:right="380" w:hanging="126"/>
        <w:spacing w:after="0" w:line="313" w:lineRule="auto"/>
        <w:tabs>
          <w:tab w:leader="none" w:pos="12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Asthma in adults and adolescents (EU)</w:t>
      </w:r>
    </w:p>
    <w:p>
      <w:pPr>
        <w:spacing w:after="0" w:line="213" w:lineRule="exact"/>
        <w:rPr>
          <w:sz w:val="20"/>
          <w:szCs w:val="20"/>
          <w:color w:val="auto"/>
        </w:rPr>
      </w:pPr>
    </w:p>
    <w:p>
      <w:pPr>
        <w:sectPr>
          <w:pgSz w:w="11900" w:h="16838" w:orient="portrait"/>
          <w:cols w:equalWidth="0" w:num="3">
            <w:col w:w="6460" w:space="0"/>
            <w:col w:w="2760" w:space="174"/>
            <w:col w:w="2026"/>
          </w:cols>
          <w:pgMar w:left="240" w:top="126" w:right="239" w:bottom="1440" w:gutter="0" w:footer="0" w:header="0"/>
          <w:type w:val="continuous"/>
        </w:sectPr>
      </w:pPr>
    </w:p>
    <w:p>
      <w:pPr>
        <w:ind w:left="7340" w:right="60" w:hanging="120"/>
        <w:spacing w:after="0" w:line="252" w:lineRule="auto"/>
        <w:tabs>
          <w:tab w:leader="none" w:pos="7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Atopic dermatitis in pediatrics (6 months–5 years of age) (Phase 2/3)</w:t>
      </w:r>
      <w:r>
        <w:rPr>
          <w:rFonts w:ascii="Times New Roman" w:cs="Times New Roman" w:eastAsia="Times New Roman" w:hAnsi="Times New Roman"/>
          <w:sz w:val="24"/>
          <w:szCs w:val="24"/>
          <w:color w:val="auto"/>
          <w:vertAlign w:val="superscript"/>
        </w:rPr>
        <w:t>(d)</w:t>
      </w:r>
    </w:p>
    <w:p>
      <w:pPr>
        <w:spacing w:after="0" w:line="1" w:lineRule="exact"/>
        <w:rPr>
          <w:rFonts w:ascii="Times New Roman" w:cs="Times New Roman" w:eastAsia="Times New Roman" w:hAnsi="Times New Roman"/>
          <w:sz w:val="17"/>
          <w:szCs w:val="17"/>
          <w:color w:val="auto"/>
        </w:rPr>
      </w:pPr>
    </w:p>
    <w:p>
      <w:pPr>
        <w:ind w:left="7340" w:right="60" w:hanging="120"/>
        <w:spacing w:after="0" w:line="259" w:lineRule="auto"/>
        <w:tabs>
          <w:tab w:leader="none" w:pos="7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Asthma in pediatrics (6–11 years of age)</w:t>
      </w:r>
    </w:p>
    <w:p>
      <w:pPr>
        <w:spacing w:after="0" w:line="19" w:lineRule="exact"/>
        <w:rPr>
          <w:rFonts w:ascii="Times New Roman" w:cs="Times New Roman" w:eastAsia="Times New Roman" w:hAnsi="Times New Roman"/>
          <w:sz w:val="18"/>
          <w:szCs w:val="18"/>
          <w:color w:val="auto"/>
        </w:rPr>
      </w:pPr>
    </w:p>
    <w:p>
      <w:pPr>
        <w:ind w:left="7340" w:right="240" w:hanging="120"/>
        <w:spacing w:after="0" w:line="257" w:lineRule="auto"/>
        <w:tabs>
          <w:tab w:leader="none" w:pos="7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Eosinophilic esophagitis (EOE) (Phase 2/3)</w:t>
      </w:r>
      <w:r>
        <w:rPr>
          <w:rFonts w:ascii="Times New Roman" w:cs="Times New Roman" w:eastAsia="Times New Roman" w:hAnsi="Times New Roman"/>
          <w:sz w:val="24"/>
          <w:szCs w:val="24"/>
          <w:color w:val="auto"/>
          <w:vertAlign w:val="superscript"/>
        </w:rPr>
        <w:t>(c)</w:t>
      </w:r>
    </w:p>
    <w:p>
      <w:pPr>
        <w:spacing w:after="0" w:line="1" w:lineRule="exact"/>
        <w:rPr>
          <w:rFonts w:ascii="Times New Roman" w:cs="Times New Roman" w:eastAsia="Times New Roman" w:hAnsi="Times New Roman"/>
          <w:sz w:val="17"/>
          <w:szCs w:val="17"/>
          <w:color w:val="auto"/>
        </w:rPr>
      </w:pPr>
    </w:p>
    <w:p>
      <w:pPr>
        <w:ind w:left="7340" w:hanging="120"/>
        <w:spacing w:after="0" w:line="259" w:lineRule="auto"/>
        <w:tabs>
          <w:tab w:leader="none" w:pos="7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obstructive pulmonary disease (COPD)</w:t>
      </w:r>
    </w:p>
    <w:p>
      <w:pPr>
        <w:spacing w:after="0" w:line="20" w:lineRule="exact"/>
        <w:rPr>
          <w:sz w:val="20"/>
          <w:szCs w:val="20"/>
          <w:color w:val="auto"/>
        </w:rPr>
      </w:pPr>
      <w:r>
        <w:rPr>
          <w:sz w:val="20"/>
          <w:szCs w:val="20"/>
          <w:color w:val="auto"/>
        </w:rPr>
        <w:br w:type="column"/>
      </w:r>
    </w:p>
    <w:p>
      <w:pPr>
        <w:ind w:left="126" w:right="100" w:hanging="126"/>
        <w:spacing w:after="0" w:line="254" w:lineRule="auto"/>
        <w:tabs>
          <w:tab w:leader="none" w:pos="1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in adolescents (12–17 years of age) (EU)</w:t>
      </w:r>
    </w:p>
    <w:p>
      <w:pPr>
        <w:spacing w:after="0" w:line="25" w:lineRule="exact"/>
        <w:rPr>
          <w:rFonts w:ascii="Times New Roman" w:cs="Times New Roman" w:eastAsia="Times New Roman" w:hAnsi="Times New Roman"/>
          <w:sz w:val="18"/>
          <w:szCs w:val="18"/>
          <w:color w:val="auto"/>
        </w:rPr>
      </w:pPr>
    </w:p>
    <w:p>
      <w:pPr>
        <w:ind w:left="126" w:right="80" w:hanging="126"/>
        <w:spacing w:after="0" w:line="281" w:lineRule="auto"/>
        <w:tabs>
          <w:tab w:leader="none" w:pos="1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Auto-injector for 200 mg dose (U.S. and EU)</w:t>
      </w:r>
    </w:p>
    <w:p>
      <w:pPr>
        <w:spacing w:after="0" w:line="1" w:lineRule="exact"/>
        <w:rPr>
          <w:rFonts w:ascii="Times New Roman" w:cs="Times New Roman" w:eastAsia="Times New Roman" w:hAnsi="Times New Roman"/>
          <w:sz w:val="18"/>
          <w:szCs w:val="18"/>
          <w:color w:val="auto"/>
        </w:rPr>
      </w:pPr>
    </w:p>
    <w:p>
      <w:pPr>
        <w:ind w:left="126" w:right="280" w:hanging="126"/>
        <w:spacing w:after="0" w:line="261" w:lineRule="auto"/>
        <w:tabs>
          <w:tab w:leader="none" w:pos="1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rhinosinusitis with nasal polyposis (CRSwNP) (U.S., EU, and Japan)</w:t>
      </w:r>
    </w:p>
    <w:p>
      <w:pPr>
        <w:spacing w:after="0" w:line="252" w:lineRule="exact"/>
        <w:rPr>
          <w:sz w:val="20"/>
          <w:szCs w:val="20"/>
          <w:color w:val="auto"/>
        </w:rPr>
      </w:pPr>
    </w:p>
    <w:p>
      <w:pPr>
        <w:sectPr>
          <w:pgSz w:w="11900" w:h="16838" w:orient="portrait"/>
          <w:cols w:equalWidth="0" w:num="2">
            <w:col w:w="9340" w:space="54"/>
            <w:col w:w="2026"/>
          </w:cols>
          <w:pgMar w:left="240" w:top="126" w:right="239" w:bottom="1440" w:gutter="0" w:footer="0" w:header="0"/>
          <w:type w:val="continuous"/>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6" w:right="239" w:bottom="1440" w:gutter="0" w:footer="0" w:header="0"/>
          <w:type w:val="continuous"/>
        </w:sectPr>
      </w:pPr>
    </w:p>
    <w:bookmarkStart w:id="26" w:name="page27"/>
    <w:bookmarkEnd w:id="2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Clinical Program </w:t>
            </w:r>
            <w:r>
              <w:rPr>
                <w:rFonts w:ascii="Times New Roman" w:cs="Times New Roman" w:eastAsia="Times New Roman" w:hAnsi="Times New Roman"/>
                <w:sz w:val="18"/>
                <w:szCs w:val="18"/>
                <w:b w:val="1"/>
                <w:bCs w:val="1"/>
                <w:i w:val="1"/>
                <w:iCs w:val="1"/>
                <w:color w:val="auto"/>
              </w:rPr>
              <w:t>(continued)</w:t>
            </w:r>
          </w:p>
        </w:tc>
        <w:tc>
          <w:tcPr>
            <w:tcW w:w="12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2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Regulatory Review</w:t>
            </w:r>
            <w:r>
              <w:rPr>
                <w:rFonts w:ascii="Times New Roman" w:cs="Times New Roman" w:eastAsia="Times New Roman" w:hAnsi="Times New Roman"/>
                <w:sz w:val="25"/>
                <w:szCs w:val="25"/>
                <w:b w:val="1"/>
                <w:bCs w:val="1"/>
                <w:color w:val="auto"/>
                <w:vertAlign w:val="superscript"/>
              </w:rPr>
              <w:t>(i)</w:t>
            </w:r>
          </w:p>
        </w:tc>
      </w:tr>
      <w:tr>
        <w:trPr>
          <w:trHeight w:val="216"/>
        </w:trPr>
        <w:tc>
          <w:tcPr>
            <w:tcW w:w="284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8"/>
                <w:szCs w:val="18"/>
                <w:b w:val="1"/>
                <w:bCs w:val="1"/>
                <w:color w:val="auto"/>
              </w:rPr>
              <w:t>Praluent (alirocumab)</w:t>
            </w:r>
            <w:r>
              <w:rPr>
                <w:rFonts w:ascii="Times New Roman" w:cs="Times New Roman" w:eastAsia="Times New Roman" w:hAnsi="Times New Roman"/>
                <w:sz w:val="25"/>
                <w:szCs w:val="25"/>
                <w:b w:val="1"/>
                <w:bCs w:val="1"/>
                <w:color w:val="auto"/>
                <w:vertAlign w:val="superscript"/>
              </w:rPr>
              <w:t>(a)</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Homozygous familial</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8"/>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Antibody to PCSK9</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hypercholesterolemia</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(HoFH)</w:t>
            </w:r>
            <w:r>
              <w:rPr>
                <w:rFonts w:ascii="Times New Roman" w:cs="Times New Roman" w:eastAsia="Times New Roman" w:hAnsi="Times New Roman"/>
                <w:sz w:val="25"/>
                <w:szCs w:val="25"/>
                <w:color w:val="auto"/>
                <w:vertAlign w:val="superscript"/>
              </w:rPr>
              <w:t>(c)</w:t>
            </w:r>
            <w:r>
              <w:rPr>
                <w:rFonts w:ascii="Times New Roman" w:cs="Times New Roman" w:eastAsia="Times New Roman" w:hAnsi="Times New Roman"/>
                <w:sz w:val="18"/>
                <w:szCs w:val="18"/>
                <w:color w:val="auto"/>
              </w:rPr>
              <w:t xml:space="preserve"> in adults and</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4"/>
        </w:trPr>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pediatrics</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77"/>
        </w:trPr>
        <w:tc>
          <w:tcPr>
            <w:tcW w:w="2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HeFH in pediatrics</w:t>
            </w:r>
          </w:p>
        </w:tc>
        <w:tc>
          <w:tcPr>
            <w:tcW w:w="12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r>
      <w:tr>
        <w:trPr>
          <w:trHeight w:val="223"/>
        </w:trPr>
        <w:tc>
          <w:tcPr>
            <w:tcW w:w="2840" w:type="dxa"/>
            <w:vAlign w:val="bottom"/>
          </w:tcPr>
          <w:p>
            <w:pPr>
              <w:ind w:left="40"/>
              <w:spacing w:after="0" w:line="222" w:lineRule="exact"/>
              <w:rPr>
                <w:sz w:val="20"/>
                <w:szCs w:val="20"/>
                <w:color w:val="auto"/>
              </w:rPr>
            </w:pPr>
            <w:r>
              <w:rPr>
                <w:rFonts w:ascii="Times New Roman" w:cs="Times New Roman" w:eastAsia="Times New Roman" w:hAnsi="Times New Roman"/>
                <w:sz w:val="18"/>
                <w:szCs w:val="18"/>
                <w:b w:val="1"/>
                <w:bCs w:val="1"/>
                <w:color w:val="auto"/>
              </w:rPr>
              <w:t>Kevzara (sarilumab)</w:t>
            </w:r>
            <w:r>
              <w:rPr>
                <w:rFonts w:ascii="Times New Roman" w:cs="Times New Roman" w:eastAsia="Times New Roman" w:hAnsi="Times New Roman"/>
                <w:sz w:val="25"/>
                <w:szCs w:val="25"/>
                <w:b w:val="1"/>
                <w:bCs w:val="1"/>
                <w:color w:val="auto"/>
                <w:vertAlign w:val="superscript"/>
              </w:rPr>
              <w:t>(a)</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Polyarticular-course</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Polymyalgia rheumatica</w:t>
            </w: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8"/>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Antibody to IL-6R</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juvenile idiopathic arthritis</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(pcJIA)</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2"/>
        </w:trPr>
        <w:tc>
          <w:tcPr>
            <w:tcW w:w="2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Systemic juvenile</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Giant cell arteritis</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34"/>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idiopathic arthritis (sJIA)</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284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3"/>
        </w:trPr>
        <w:tc>
          <w:tcPr>
            <w:tcW w:w="2840" w:type="dxa"/>
            <w:vAlign w:val="bottom"/>
            <w:shd w:val="clear" w:color="auto" w:fill="CCEEFF"/>
          </w:tcPr>
          <w:p>
            <w:pPr>
              <w:ind w:left="40"/>
              <w:spacing w:after="0" w:line="222" w:lineRule="exact"/>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5"/>
                <w:szCs w:val="25"/>
                <w:b w:val="1"/>
                <w:bCs w:val="1"/>
                <w:color w:val="auto"/>
                <w:vertAlign w:val="superscript"/>
              </w:rPr>
              <w:t>(a)</w:t>
            </w:r>
          </w:p>
        </w:tc>
        <w:tc>
          <w:tcPr>
            <w:tcW w:w="2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Solid tumors and advanced</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Metastatic or locally</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First-line non-small cell</w:t>
            </w:r>
          </w:p>
        </w:tc>
        <w:tc>
          <w:tcPr>
            <w:tcW w:w="2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Metastatic or locally</w:t>
            </w:r>
          </w:p>
        </w:tc>
      </w:tr>
      <w:tr>
        <w:trPr>
          <w:trHeight w:val="263"/>
        </w:trPr>
        <w:tc>
          <w:tcPr>
            <w:tcW w:w="2840" w:type="dxa"/>
            <w:vAlign w:val="bottom"/>
            <w:shd w:val="clear" w:color="auto" w:fill="CCEEFF"/>
          </w:tcPr>
          <w:p>
            <w:pPr>
              <w:ind w:left="40"/>
              <w:spacing w:after="0" w:line="263" w:lineRule="exact"/>
              <w:rPr>
                <w:sz w:val="20"/>
                <w:szCs w:val="20"/>
                <w:color w:val="auto"/>
              </w:rPr>
            </w:pPr>
            <w:r>
              <w:rPr>
                <w:rFonts w:ascii="Times New Roman" w:cs="Times New Roman" w:eastAsia="Times New Roman" w:hAnsi="Times New Roman"/>
                <w:sz w:val="18"/>
                <w:szCs w:val="18"/>
                <w:i w:val="1"/>
                <w:iCs w:val="1"/>
                <w:color w:val="auto"/>
              </w:rPr>
              <w:t>Antibody to PD-1</w:t>
            </w:r>
            <w:r>
              <w:rPr>
                <w:rFonts w:ascii="Times New Roman" w:cs="Times New Roman" w:eastAsia="Times New Roman" w:hAnsi="Times New Roman"/>
                <w:sz w:val="25"/>
                <w:szCs w:val="25"/>
                <w:i w:val="1"/>
                <w:iCs w:val="1"/>
                <w:color w:val="auto"/>
                <w:vertAlign w:val="superscript"/>
              </w:rPr>
              <w:t>(h)</w:t>
            </w:r>
          </w:p>
        </w:tc>
        <w:tc>
          <w:tcPr>
            <w:tcW w:w="120" w:type="dxa"/>
            <w:vAlign w:val="bottom"/>
            <w:shd w:val="clear" w:color="auto" w:fill="CCEEFF"/>
          </w:tcPr>
          <w:p>
            <w:pPr>
              <w:spacing w:after="0"/>
              <w:rPr>
                <w:sz w:val="22"/>
                <w:szCs w:val="22"/>
                <w:color w:val="auto"/>
              </w:rPr>
            </w:pPr>
          </w:p>
        </w:tc>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hematologic malignancies</w:t>
            </w:r>
          </w:p>
        </w:tc>
        <w:tc>
          <w:tcPr>
            <w:tcW w:w="120" w:type="dxa"/>
            <w:vAlign w:val="bottom"/>
            <w:shd w:val="clear" w:color="auto" w:fill="CCEEFF"/>
          </w:tcPr>
          <w:p>
            <w:pPr>
              <w:spacing w:after="0"/>
              <w:rPr>
                <w:sz w:val="22"/>
                <w:szCs w:val="22"/>
                <w:color w:val="auto"/>
              </w:rPr>
            </w:pPr>
          </w:p>
        </w:tc>
        <w:tc>
          <w:tcPr>
            <w:tcW w:w="206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advanced CSCC</w:t>
            </w:r>
            <w:r>
              <w:rPr>
                <w:rFonts w:ascii="Times New Roman" w:cs="Times New Roman" w:eastAsia="Times New Roman" w:hAnsi="Times New Roman"/>
                <w:sz w:val="25"/>
                <w:szCs w:val="25"/>
                <w:color w:val="auto"/>
                <w:vertAlign w:val="superscript"/>
              </w:rPr>
              <w:t>(d)</w:t>
            </w: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lung cancer (NSCLC)</w:t>
            </w:r>
          </w:p>
        </w:tc>
        <w:tc>
          <w:tcPr>
            <w:tcW w:w="120" w:type="dxa"/>
            <w:vAlign w:val="bottom"/>
            <w:shd w:val="clear" w:color="auto" w:fill="CCEEFF"/>
          </w:tcPr>
          <w:p>
            <w:pPr>
              <w:spacing w:after="0"/>
              <w:rPr>
                <w:sz w:val="22"/>
                <w:szCs w:val="22"/>
                <w:color w:val="auto"/>
              </w:rPr>
            </w:pPr>
          </w:p>
        </w:tc>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advanced CSCC (EU)</w:t>
            </w:r>
          </w:p>
        </w:tc>
      </w:tr>
      <w:tr>
        <w:trPr>
          <w:trHeight w:val="225"/>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Basal cell carcinoma</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Second-line cervical cancer</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(BCC) (potentially pivotal</w:t>
            </w: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41"/>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23"/>
        </w:trPr>
        <w:tc>
          <w:tcPr>
            <w:tcW w:w="2840" w:type="dxa"/>
            <w:vAlign w:val="bottom"/>
          </w:tcPr>
          <w:p>
            <w:pPr>
              <w:ind w:left="40"/>
              <w:spacing w:after="0" w:line="222" w:lineRule="exact"/>
              <w:rPr>
                <w:sz w:val="20"/>
                <w:szCs w:val="20"/>
                <w:color w:val="auto"/>
              </w:rPr>
            </w:pPr>
            <w:r>
              <w:rPr>
                <w:rFonts w:ascii="Times New Roman" w:cs="Times New Roman" w:eastAsia="Times New Roman" w:hAnsi="Times New Roman"/>
                <w:sz w:val="18"/>
                <w:szCs w:val="18"/>
                <w:b w:val="1"/>
                <w:bCs w:val="1"/>
                <w:color w:val="auto"/>
              </w:rPr>
              <w:t>Fasinumab</w:t>
            </w:r>
            <w:r>
              <w:rPr>
                <w:rFonts w:ascii="Times New Roman" w:cs="Times New Roman" w:eastAsia="Times New Roman" w:hAnsi="Times New Roman"/>
                <w:sz w:val="25"/>
                <w:szCs w:val="25"/>
                <w:b w:val="1"/>
                <w:bCs w:val="1"/>
                <w:color w:val="auto"/>
                <w:vertAlign w:val="superscript"/>
              </w:rPr>
              <w:t>(b)(f)</w:t>
            </w:r>
            <w:r>
              <w:rPr>
                <w:rFonts w:ascii="Times New Roman" w:cs="Times New Roman" w:eastAsia="Times New Roman" w:hAnsi="Times New Roman"/>
                <w:sz w:val="18"/>
                <w:szCs w:val="18"/>
                <w:b w:val="1"/>
                <w:bCs w:val="1"/>
                <w:color w:val="auto"/>
              </w:rPr>
              <w:t xml:space="preserve"> (REGN475)</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Osteoarthritis of knee and</w:t>
            </w: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63"/>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Antibody to NGF</w:t>
            </w: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ind w:left="20"/>
              <w:spacing w:after="0" w:line="263" w:lineRule="exact"/>
              <w:rPr>
                <w:sz w:val="20"/>
                <w:szCs w:val="20"/>
                <w:color w:val="auto"/>
              </w:rPr>
            </w:pPr>
            <w:r>
              <w:rPr>
                <w:rFonts w:ascii="Times New Roman" w:cs="Times New Roman" w:eastAsia="Times New Roman" w:hAnsi="Times New Roman"/>
                <w:sz w:val="18"/>
                <w:szCs w:val="18"/>
                <w:color w:val="auto"/>
              </w:rPr>
              <w:t>hip</w:t>
            </w:r>
            <w:r>
              <w:rPr>
                <w:rFonts w:ascii="Times New Roman" w:cs="Times New Roman" w:eastAsia="Times New Roman" w:hAnsi="Times New Roman"/>
                <w:sz w:val="25"/>
                <w:szCs w:val="25"/>
                <w:color w:val="auto"/>
                <w:vertAlign w:val="superscript"/>
              </w:rPr>
              <w:t>(e)</w:t>
            </w: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3"/>
        </w:trPr>
        <w:tc>
          <w:tcPr>
            <w:tcW w:w="2840" w:type="dxa"/>
            <w:vAlign w:val="bottom"/>
            <w:shd w:val="clear" w:color="auto" w:fill="CCEEFF"/>
          </w:tcPr>
          <w:p>
            <w:pPr>
              <w:ind w:left="40"/>
              <w:spacing w:after="0" w:line="222" w:lineRule="exact"/>
              <w:rPr>
                <w:sz w:val="20"/>
                <w:szCs w:val="20"/>
                <w:color w:val="auto"/>
              </w:rPr>
            </w:pPr>
            <w:r>
              <w:rPr>
                <w:rFonts w:ascii="Times New Roman" w:cs="Times New Roman" w:eastAsia="Times New Roman" w:hAnsi="Times New Roman"/>
                <w:sz w:val="18"/>
                <w:szCs w:val="18"/>
                <w:b w:val="1"/>
                <w:bCs w:val="1"/>
                <w:color w:val="auto"/>
              </w:rPr>
              <w:t>Evinacumab</w:t>
            </w:r>
            <w:r>
              <w:rPr>
                <w:rFonts w:ascii="Times New Roman" w:cs="Times New Roman" w:eastAsia="Times New Roman" w:hAnsi="Times New Roman"/>
                <w:sz w:val="25"/>
                <w:szCs w:val="25"/>
                <w:b w:val="1"/>
                <w:bCs w:val="1"/>
                <w:color w:val="auto"/>
                <w:vertAlign w:val="superscript"/>
              </w:rPr>
              <w:t>(f)</w:t>
            </w:r>
            <w:r>
              <w:rPr>
                <w:rFonts w:ascii="Times New Roman" w:cs="Times New Roman" w:eastAsia="Times New Roman" w:hAnsi="Times New Roman"/>
                <w:sz w:val="18"/>
                <w:szCs w:val="18"/>
                <w:b w:val="1"/>
                <w:bCs w:val="1"/>
                <w:color w:val="auto"/>
              </w:rPr>
              <w:t xml:space="preserve"> (REGN1500)</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Refractory</w:t>
            </w:r>
          </w:p>
        </w:tc>
        <w:tc>
          <w:tcPr>
            <w:tcW w:w="216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 HoFH</w:t>
            </w:r>
            <w:r>
              <w:rPr>
                <w:rFonts w:ascii="Times New Roman" w:cs="Times New Roman" w:eastAsia="Times New Roman" w:hAnsi="Times New Roman"/>
                <w:sz w:val="11"/>
                <w:szCs w:val="11"/>
                <w:color w:val="auto"/>
              </w:rPr>
              <w:t>(c)(d)</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8"/>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Antibody to ANGPTL3</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hypercholesterolemia (both</w:t>
            </w: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4"/>
        </w:trPr>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HeFH and non-FH)</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52"/>
        </w:trPr>
        <w:tc>
          <w:tcPr>
            <w:tcW w:w="2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Severe</w:t>
            </w: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41"/>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hypertriglyceridemia</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23"/>
        </w:trPr>
        <w:tc>
          <w:tcPr>
            <w:tcW w:w="2840" w:type="dxa"/>
            <w:vAlign w:val="bottom"/>
          </w:tcPr>
          <w:p>
            <w:pPr>
              <w:ind w:left="40"/>
              <w:spacing w:after="0" w:line="222" w:lineRule="exact"/>
              <w:rPr>
                <w:sz w:val="20"/>
                <w:szCs w:val="20"/>
                <w:color w:val="auto"/>
              </w:rPr>
            </w:pPr>
            <w:r>
              <w:rPr>
                <w:rFonts w:ascii="Times New Roman" w:cs="Times New Roman" w:eastAsia="Times New Roman" w:hAnsi="Times New Roman"/>
                <w:sz w:val="18"/>
                <w:szCs w:val="18"/>
                <w:b w:val="1"/>
                <w:bCs w:val="1"/>
                <w:color w:val="auto"/>
              </w:rPr>
              <w:t>Garetosmab</w:t>
            </w:r>
            <w:r>
              <w:rPr>
                <w:rFonts w:ascii="Times New Roman" w:cs="Times New Roman" w:eastAsia="Times New Roman" w:hAnsi="Times New Roman"/>
                <w:sz w:val="25"/>
                <w:szCs w:val="25"/>
                <w:b w:val="1"/>
                <w:bCs w:val="1"/>
                <w:color w:val="auto"/>
                <w:vertAlign w:val="superscript"/>
              </w:rPr>
              <w:t>(f)</w:t>
            </w:r>
            <w:r>
              <w:rPr>
                <w:rFonts w:ascii="Times New Roman" w:cs="Times New Roman" w:eastAsia="Times New Roman" w:hAnsi="Times New Roman"/>
                <w:sz w:val="18"/>
                <w:szCs w:val="18"/>
                <w:b w:val="1"/>
                <w:bCs w:val="1"/>
                <w:color w:val="auto"/>
              </w:rPr>
              <w:t xml:space="preserve"> (REGN2477)</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Fibrodysplasia ossificans</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8"/>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Antibody to Activin A</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color w:val="auto"/>
              </w:rPr>
              <w:t>progressiva (FOP)</w:t>
            </w:r>
            <w:r>
              <w:rPr>
                <w:rFonts w:ascii="Times New Roman" w:cs="Times New Roman" w:eastAsia="Times New Roman" w:hAnsi="Times New Roman"/>
                <w:sz w:val="25"/>
                <w:szCs w:val="25"/>
                <w:color w:val="auto"/>
                <w:vertAlign w:val="superscript"/>
              </w:rPr>
              <w:t>(c)(e)</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(potentially pivotal study)</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82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ind w:left="40"/>
        <w:spacing w:after="0" w:line="226" w:lineRule="auto"/>
        <w:rPr>
          <w:sz w:val="20"/>
          <w:szCs w:val="20"/>
          <w:color w:val="auto"/>
        </w:rPr>
      </w:pPr>
      <w:r>
        <w:rPr>
          <w:rFonts w:ascii="Times New Roman" w:cs="Times New Roman" w:eastAsia="Times New Roman" w:hAnsi="Times New Roman"/>
          <w:sz w:val="18"/>
          <w:szCs w:val="18"/>
          <w:b w:val="1"/>
          <w:bCs w:val="1"/>
          <w:color w:val="auto"/>
        </w:rPr>
        <w:t>REGN3500</w:t>
      </w:r>
      <w:r>
        <w:rPr>
          <w:rFonts w:ascii="Times New Roman" w:cs="Times New Roman" w:eastAsia="Times New Roman" w:hAnsi="Times New Roman"/>
          <w:sz w:val="25"/>
          <w:szCs w:val="25"/>
          <w:b w:val="1"/>
          <w:bCs w:val="1"/>
          <w:color w:val="auto"/>
          <w:vertAlign w:val="superscript"/>
        </w:rPr>
        <w:t>(a)</w:t>
      </w:r>
    </w:p>
    <w:p>
      <w:pPr>
        <w:spacing w:after="0" w:line="1" w:lineRule="exact"/>
        <w:rPr>
          <w:sz w:val="20"/>
          <w:szCs w:val="20"/>
          <w:color w:val="auto"/>
        </w:rPr>
      </w:pPr>
    </w:p>
    <w:p>
      <w:pPr>
        <w:ind w:left="40" w:right="1545"/>
        <w:spacing w:after="0" w:line="254" w:lineRule="auto"/>
        <w:rPr>
          <w:sz w:val="20"/>
          <w:szCs w:val="20"/>
          <w:color w:val="auto"/>
        </w:rPr>
      </w:pPr>
      <w:r>
        <w:rPr>
          <w:rFonts w:ascii="Times New Roman" w:cs="Times New Roman" w:eastAsia="Times New Roman" w:hAnsi="Times New Roman"/>
          <w:sz w:val="18"/>
          <w:szCs w:val="18"/>
          <w:i w:val="1"/>
          <w:iCs w:val="1"/>
          <w:color w:val="auto"/>
        </w:rPr>
        <w:t>Antibody to IL-33. Studied as monotherapy and in combination with Dupixent.</w:t>
      </w:r>
    </w:p>
    <w:p>
      <w:pPr>
        <w:ind w:left="40"/>
        <w:spacing w:after="0" w:line="218" w:lineRule="auto"/>
        <w:rPr>
          <w:sz w:val="20"/>
          <w:szCs w:val="20"/>
          <w:color w:val="auto"/>
        </w:rPr>
      </w:pPr>
      <w:r>
        <w:rPr>
          <w:rFonts w:ascii="Times New Roman" w:cs="Times New Roman" w:eastAsia="Times New Roman" w:hAnsi="Times New Roman"/>
          <w:sz w:val="18"/>
          <w:szCs w:val="18"/>
          <w:b w:val="1"/>
          <w:bCs w:val="1"/>
          <w:color w:val="auto"/>
        </w:rPr>
        <w:t>REGN1908-1909</w:t>
      </w:r>
      <w:r>
        <w:rPr>
          <w:rFonts w:ascii="Times New Roman" w:cs="Times New Roman" w:eastAsia="Times New Roman" w:hAnsi="Times New Roman"/>
          <w:sz w:val="25"/>
          <w:szCs w:val="25"/>
          <w:b w:val="1"/>
          <w:bCs w:val="1"/>
          <w:color w:val="auto"/>
          <w:vertAlign w:val="superscript"/>
        </w:rPr>
        <w:t>(f)</w:t>
      </w:r>
    </w:p>
    <w:p>
      <w:pPr>
        <w:ind w:left="40"/>
        <w:spacing w:after="0"/>
        <w:rPr>
          <w:sz w:val="20"/>
          <w:szCs w:val="20"/>
          <w:color w:val="auto"/>
        </w:rPr>
      </w:pPr>
      <w:r>
        <w:rPr>
          <w:rFonts w:ascii="Times New Roman" w:cs="Times New Roman" w:eastAsia="Times New Roman" w:hAnsi="Times New Roman"/>
          <w:sz w:val="18"/>
          <w:szCs w:val="18"/>
          <w:i w:val="1"/>
          <w:iCs w:val="1"/>
          <w:color w:val="auto"/>
        </w:rPr>
        <w:t>Multi-antibody therapy to Feld1</w:t>
      </w:r>
    </w:p>
    <w:p>
      <w:pPr>
        <w:spacing w:after="0" w:line="39"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REGN1979</w:t>
      </w:r>
      <w:r>
        <w:rPr>
          <w:sz w:val="20"/>
          <w:szCs w:val="20"/>
          <w:color w:val="auto"/>
        </w:rPr>
        <w:tab/>
      </w:r>
      <w:r>
        <w:rPr>
          <w:rFonts w:ascii="Times New Roman" w:cs="Times New Roman" w:eastAsia="Times New Roman" w:hAnsi="Times New Roman"/>
          <w:sz w:val="18"/>
          <w:szCs w:val="18"/>
          <w:color w:val="auto"/>
        </w:rPr>
        <w:t>• Certain B-cell</w:t>
      </w:r>
    </w:p>
    <w:p>
      <w:pPr>
        <w:ind w:left="40"/>
        <w:spacing w:after="0" w:line="226" w:lineRule="auto"/>
        <w:tabs>
          <w:tab w:leader="none" w:pos="2980" w:val="left"/>
        </w:tabs>
        <w:rPr>
          <w:sz w:val="20"/>
          <w:szCs w:val="20"/>
          <w:color w:val="auto"/>
        </w:rPr>
      </w:pPr>
      <w:r>
        <w:rPr>
          <w:rFonts w:ascii="Times New Roman" w:cs="Times New Roman" w:eastAsia="Times New Roman" w:hAnsi="Times New Roman"/>
          <w:sz w:val="18"/>
          <w:szCs w:val="18"/>
          <w:i w:val="1"/>
          <w:iCs w:val="1"/>
          <w:color w:val="auto"/>
        </w:rPr>
        <w:t>Bispecific antibody targeting CD20</w:t>
      </w:r>
      <w:r>
        <w:rPr>
          <w:sz w:val="20"/>
          <w:szCs w:val="20"/>
          <w:color w:val="auto"/>
        </w:rPr>
        <w:tab/>
      </w:r>
      <w:r>
        <w:rPr>
          <w:rFonts w:ascii="Times New Roman" w:cs="Times New Roman" w:eastAsia="Times New Roman" w:hAnsi="Times New Roman"/>
          <w:sz w:val="17"/>
          <w:szCs w:val="17"/>
          <w:color w:val="auto"/>
        </w:rPr>
        <w:t>malignancies</w:t>
      </w:r>
      <w:r>
        <w:rPr>
          <w:rFonts w:ascii="Times New Roman" w:cs="Times New Roman" w:eastAsia="Times New Roman" w:hAnsi="Times New Roman"/>
          <w:sz w:val="23"/>
          <w:szCs w:val="23"/>
          <w:color w:val="auto"/>
          <w:vertAlign w:val="superscript"/>
        </w:rPr>
        <w:t>(c)</w:t>
      </w:r>
    </w:p>
    <w:p>
      <w:pPr>
        <w:ind w:left="40"/>
        <w:spacing w:after="0"/>
        <w:rPr>
          <w:sz w:val="20"/>
          <w:szCs w:val="20"/>
          <w:color w:val="auto"/>
        </w:rPr>
      </w:pPr>
      <w:r>
        <w:rPr>
          <w:rFonts w:ascii="Times New Roman" w:cs="Times New Roman" w:eastAsia="Times New Roman" w:hAnsi="Times New Roman"/>
          <w:sz w:val="18"/>
          <w:szCs w:val="18"/>
          <w:i w:val="1"/>
          <w:iCs w:val="1"/>
          <w:color w:val="auto"/>
        </w:rPr>
        <w:t>and CD3</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15" w:hanging="115"/>
        <w:spacing w:after="0"/>
        <w:tabs>
          <w:tab w:leader="none" w:pos="1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Asthma</w:t>
      </w:r>
    </w:p>
    <w:p>
      <w:pPr>
        <w:spacing w:after="0" w:line="90" w:lineRule="exact"/>
        <w:rPr>
          <w:rFonts w:ascii="Times New Roman" w:cs="Times New Roman" w:eastAsia="Times New Roman" w:hAnsi="Times New Roman"/>
          <w:sz w:val="18"/>
          <w:szCs w:val="18"/>
          <w:color w:val="auto"/>
        </w:rPr>
      </w:pPr>
    </w:p>
    <w:p>
      <w:pPr>
        <w:ind w:left="115" w:hanging="115"/>
        <w:spacing w:after="0"/>
        <w:tabs>
          <w:tab w:leader="none" w:pos="1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COPD</w:t>
      </w:r>
    </w:p>
    <w:p>
      <w:pPr>
        <w:spacing w:after="0" w:line="103" w:lineRule="exact"/>
        <w:rPr>
          <w:rFonts w:ascii="Times New Roman" w:cs="Times New Roman" w:eastAsia="Times New Roman" w:hAnsi="Times New Roman"/>
          <w:sz w:val="18"/>
          <w:szCs w:val="18"/>
          <w:color w:val="auto"/>
        </w:rPr>
      </w:pPr>
    </w:p>
    <w:p>
      <w:pPr>
        <w:ind w:left="115" w:hanging="115"/>
        <w:spacing w:after="0"/>
        <w:tabs>
          <w:tab w:leader="none" w:pos="1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w:t>
      </w:r>
    </w:p>
    <w:p>
      <w:pPr>
        <w:spacing w:after="0" w:line="103" w:lineRule="exact"/>
        <w:rPr>
          <w:rFonts w:ascii="Times New Roman" w:cs="Times New Roman" w:eastAsia="Times New Roman" w:hAnsi="Times New Roman"/>
          <w:sz w:val="18"/>
          <w:szCs w:val="18"/>
          <w:color w:val="auto"/>
        </w:rPr>
      </w:pPr>
    </w:p>
    <w:p>
      <w:pPr>
        <w:ind w:left="115" w:hanging="115"/>
        <w:spacing w:after="0"/>
        <w:tabs>
          <w:tab w:leader="none" w:pos="1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 allergy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172085</wp:posOffset>
            </wp:positionV>
            <wp:extent cx="724662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939" w:lineRule="exact"/>
        <w:rPr>
          <w:sz w:val="20"/>
          <w:szCs w:val="20"/>
          <w:color w:val="auto"/>
        </w:rPr>
      </w:pPr>
    </w:p>
    <w:p>
      <w:pPr>
        <w:sectPr>
          <w:pgSz w:w="11900" w:h="16838" w:orient="portrait"/>
          <w:cols w:equalWidth="0" w:num="2">
            <w:col w:w="4325" w:space="720"/>
            <w:col w:w="6375"/>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284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b w:val="1"/>
                <w:bCs w:val="1"/>
                <w:color w:val="auto"/>
              </w:rPr>
              <w:t>REGN-EB3</w:t>
            </w:r>
            <w:r>
              <w:rPr>
                <w:rFonts w:ascii="Times New Roman" w:cs="Times New Roman" w:eastAsia="Times New Roman" w:hAnsi="Times New Roman"/>
                <w:sz w:val="25"/>
                <w:szCs w:val="25"/>
                <w:b w:val="1"/>
                <w:bCs w:val="1"/>
                <w:color w:val="auto"/>
                <w:vertAlign w:val="superscript"/>
              </w:rPr>
              <w:t>(g)</w:t>
            </w:r>
            <w:r>
              <w:rPr>
                <w:rFonts w:ascii="Times New Roman" w:cs="Times New Roman" w:eastAsia="Times New Roman" w:hAnsi="Times New Roman"/>
                <w:sz w:val="18"/>
                <w:szCs w:val="18"/>
                <w:b w:val="1"/>
                <w:bCs w:val="1"/>
                <w:color w:val="auto"/>
              </w:rPr>
              <w:t xml:space="preserve"> (REGN3470-3471-</w:t>
            </w:r>
          </w:p>
        </w:tc>
        <w:tc>
          <w:tcPr>
            <w:tcW w:w="858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 Ebola virus infection</w:t>
            </w:r>
          </w:p>
        </w:tc>
      </w:tr>
      <w:tr>
        <w:trPr>
          <w:trHeight w:val="218"/>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3479)</w:t>
            </w:r>
          </w:p>
        </w:tc>
        <w:tc>
          <w:tcPr>
            <w:tcW w:w="8580" w:type="dxa"/>
            <w:vAlign w:val="bottom"/>
          </w:tcPr>
          <w:p>
            <w:pPr>
              <w:ind w:left="4500"/>
              <w:spacing w:after="0" w:line="219" w:lineRule="exact"/>
              <w:rPr>
                <w:sz w:val="20"/>
                <w:szCs w:val="20"/>
                <w:color w:val="auto"/>
              </w:rPr>
            </w:pPr>
            <w:r>
              <w:rPr>
                <w:rFonts w:ascii="Times New Roman" w:cs="Times New Roman" w:eastAsia="Times New Roman" w:hAnsi="Times New Roman"/>
                <w:sz w:val="18"/>
                <w:szCs w:val="18"/>
                <w:color w:val="auto"/>
              </w:rPr>
              <w:t>(Phase 2/3)</w:t>
            </w:r>
            <w:r>
              <w:rPr>
                <w:rFonts w:ascii="Times New Roman" w:cs="Times New Roman" w:eastAsia="Times New Roman" w:hAnsi="Times New Roman"/>
                <w:sz w:val="25"/>
                <w:szCs w:val="25"/>
                <w:color w:val="auto"/>
                <w:vertAlign w:val="superscript"/>
              </w:rPr>
              <w:t>(c)(j)</w:t>
            </w:r>
          </w:p>
        </w:tc>
      </w:tr>
      <w:tr>
        <w:trPr>
          <w:trHeight w:val="236"/>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Multi-antibody therapy to Ebola virus</w:t>
            </w:r>
          </w:p>
        </w:tc>
        <w:tc>
          <w:tcPr>
            <w:tcW w:w="8580" w:type="dxa"/>
            <w:vAlign w:val="bottom"/>
          </w:tcPr>
          <w:p>
            <w:pPr>
              <w:spacing w:after="0"/>
              <w:rPr>
                <w:sz w:val="20"/>
                <w:szCs w:val="20"/>
                <w:color w:val="auto"/>
              </w:rPr>
            </w:pPr>
          </w:p>
        </w:tc>
      </w:tr>
      <w:tr>
        <w:trPr>
          <w:trHeight w:val="27"/>
        </w:trPr>
        <w:tc>
          <w:tcPr>
            <w:tcW w:w="284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3"/>
        </w:trPr>
        <w:tc>
          <w:tcPr>
            <w:tcW w:w="2840" w:type="dxa"/>
            <w:vAlign w:val="bottom"/>
            <w:shd w:val="clear" w:color="auto" w:fill="CCEEFF"/>
          </w:tcPr>
          <w:p>
            <w:pPr>
              <w:ind w:left="40"/>
              <w:spacing w:after="0" w:line="222" w:lineRule="exact"/>
              <w:rPr>
                <w:sz w:val="20"/>
                <w:szCs w:val="20"/>
                <w:color w:val="auto"/>
              </w:rPr>
            </w:pPr>
            <w:r>
              <w:rPr>
                <w:rFonts w:ascii="Times New Roman" w:cs="Times New Roman" w:eastAsia="Times New Roman" w:hAnsi="Times New Roman"/>
                <w:sz w:val="18"/>
                <w:szCs w:val="18"/>
                <w:b w:val="1"/>
                <w:bCs w:val="1"/>
                <w:color w:val="auto"/>
              </w:rPr>
              <w:t>REGN3048-3051</w:t>
            </w:r>
            <w:r>
              <w:rPr>
                <w:rFonts w:ascii="Times New Roman" w:cs="Times New Roman" w:eastAsia="Times New Roman" w:hAnsi="Times New Roman"/>
                <w:sz w:val="25"/>
                <w:szCs w:val="25"/>
                <w:b w:val="1"/>
                <w:bCs w:val="1"/>
                <w:color w:val="auto"/>
                <w:vertAlign w:val="superscript"/>
              </w:rPr>
              <w:t>(g)</w:t>
            </w:r>
          </w:p>
        </w:tc>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MERS virus infection</w:t>
            </w:r>
          </w:p>
        </w:tc>
      </w:tr>
      <w:tr>
        <w:trPr>
          <w:trHeight w:val="216"/>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w w:val="99"/>
              </w:rPr>
              <w:t>Multi-antibody therapy to Middle East</w:t>
            </w:r>
          </w:p>
        </w:tc>
        <w:tc>
          <w:tcPr>
            <w:tcW w:w="8580" w:type="dxa"/>
            <w:vAlign w:val="bottom"/>
            <w:shd w:val="clear" w:color="auto" w:fill="CCEEFF"/>
          </w:tcPr>
          <w:p>
            <w:pPr>
              <w:spacing w:after="0"/>
              <w:rPr>
                <w:sz w:val="18"/>
                <w:szCs w:val="18"/>
                <w:color w:val="auto"/>
              </w:rPr>
            </w:pPr>
          </w:p>
        </w:tc>
      </w:tr>
      <w:tr>
        <w:trPr>
          <w:trHeight w:val="243"/>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Respiratory Syndrome (MERS) virus</w:t>
            </w:r>
          </w:p>
        </w:tc>
        <w:tc>
          <w:tcPr>
            <w:tcW w:w="8580" w:type="dxa"/>
            <w:vAlign w:val="bottom"/>
            <w:tcBorders>
              <w:bottom w:val="single" w:sz="8" w:color="CCEEFF"/>
            </w:tcBorders>
            <w:shd w:val="clear" w:color="auto" w:fill="CCEEFF"/>
          </w:tcPr>
          <w:p>
            <w:pPr>
              <w:spacing w:after="0"/>
              <w:rPr>
                <w:sz w:val="21"/>
                <w:szCs w:val="21"/>
                <w:color w:val="auto"/>
              </w:rPr>
            </w:pPr>
          </w:p>
        </w:tc>
      </w:tr>
      <w:tr>
        <w:trPr>
          <w:trHeight w:val="223"/>
        </w:trPr>
        <w:tc>
          <w:tcPr>
            <w:tcW w:w="2840" w:type="dxa"/>
            <w:vAlign w:val="bottom"/>
          </w:tcPr>
          <w:p>
            <w:pPr>
              <w:ind w:left="40"/>
              <w:spacing w:after="0" w:line="222" w:lineRule="exact"/>
              <w:rPr>
                <w:sz w:val="20"/>
                <w:szCs w:val="20"/>
                <w:color w:val="auto"/>
              </w:rPr>
            </w:pPr>
            <w:r>
              <w:rPr>
                <w:rFonts w:ascii="Times New Roman" w:cs="Times New Roman" w:eastAsia="Times New Roman" w:hAnsi="Times New Roman"/>
                <w:sz w:val="18"/>
                <w:szCs w:val="18"/>
                <w:b w:val="1"/>
                <w:bCs w:val="1"/>
                <w:color w:val="auto"/>
              </w:rPr>
              <w:t>REGN3767</w:t>
            </w:r>
            <w:r>
              <w:rPr>
                <w:rFonts w:ascii="Times New Roman" w:cs="Times New Roman" w:eastAsia="Times New Roman" w:hAnsi="Times New Roman"/>
                <w:sz w:val="25"/>
                <w:szCs w:val="25"/>
                <w:b w:val="1"/>
                <w:bCs w:val="1"/>
                <w:color w:val="auto"/>
                <w:vertAlign w:val="superscript"/>
              </w:rPr>
              <w:t>(f)</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Advanced cancers</w:t>
            </w:r>
          </w:p>
        </w:tc>
      </w:tr>
      <w:tr>
        <w:trPr>
          <w:trHeight w:val="236"/>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Antibody to LAG-3</w:t>
            </w:r>
          </w:p>
        </w:tc>
        <w:tc>
          <w:tcPr>
            <w:tcW w:w="8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6" w:right="239" w:bottom="1440" w:gutter="0" w:footer="0" w:header="0"/>
          <w:type w:val="continuous"/>
        </w:sectPr>
      </w:pPr>
    </w:p>
    <w:bookmarkStart w:id="27" w:name="page28"/>
    <w:bookmarkEnd w:id="2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8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Clinical Program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4"/>
                <w:szCs w:val="24"/>
                <w:color w:val="auto"/>
              </w:rPr>
            </w:pPr>
          </w:p>
        </w:tc>
        <w:tc>
          <w:tcPr>
            <w:tcW w:w="21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21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21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Regulatory Review</w:t>
            </w:r>
            <w:r>
              <w:rPr>
                <w:rFonts w:ascii="Times New Roman" w:cs="Times New Roman" w:eastAsia="Times New Roman" w:hAnsi="Times New Roman"/>
                <w:sz w:val="25"/>
                <w:szCs w:val="25"/>
                <w:b w:val="1"/>
                <w:bCs w:val="1"/>
                <w:color w:val="auto"/>
                <w:vertAlign w:val="superscript"/>
              </w:rPr>
              <w:t>(i)</w:t>
            </w:r>
          </w:p>
        </w:tc>
      </w:tr>
      <w:tr>
        <w:trPr>
          <w:trHeight w:val="216"/>
        </w:trPr>
        <w:tc>
          <w:tcPr>
            <w:tcW w:w="2880" w:type="dxa"/>
            <w:vAlign w:val="bottom"/>
            <w:tcBorders>
              <w:top w:val="single" w:sz="8" w:color="auto"/>
            </w:tcBorders>
            <w:shd w:val="clear" w:color="auto" w:fill="CCEEFF"/>
          </w:tcPr>
          <w:p>
            <w:pPr>
              <w:ind w:left="40"/>
              <w:spacing w:after="0" w:line="216" w:lineRule="exact"/>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5"/>
                <w:szCs w:val="25"/>
                <w:b w:val="1"/>
                <w:bCs w:val="1"/>
                <w:color w:val="auto"/>
                <w:vertAlign w:val="superscript"/>
              </w:rPr>
              <w:t>(f)</w:t>
            </w:r>
            <w:r>
              <w:rPr>
                <w:rFonts w:ascii="Times New Roman" w:cs="Times New Roman" w:eastAsia="Times New Roman" w:hAnsi="Times New Roman"/>
                <w:sz w:val="18"/>
                <w:szCs w:val="18"/>
                <w:b w:val="1"/>
                <w:bCs w:val="1"/>
                <w:color w:val="auto"/>
              </w:rPr>
              <w:t xml:space="preserve"> (REGN3918)</w:t>
            </w:r>
          </w:p>
        </w:tc>
        <w:tc>
          <w:tcPr>
            <w:tcW w:w="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Paroxysmal nocturnal</w:t>
            </w: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43"/>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Antibody to C5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hemoglobinuria (PNH)</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2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REGN4461</w:t>
            </w: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Lipodystrophy and obesity</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6"/>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Agonist antibody to leptin receptor</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6"/>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(LEPR)</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3"/>
        </w:trPr>
        <w:tc>
          <w:tcPr>
            <w:tcW w:w="2880" w:type="dxa"/>
            <w:vAlign w:val="bottom"/>
            <w:shd w:val="clear" w:color="auto" w:fill="CCEEFF"/>
          </w:tcPr>
          <w:p>
            <w:pPr>
              <w:ind w:left="40"/>
              <w:spacing w:after="0" w:line="222" w:lineRule="exact"/>
              <w:rPr>
                <w:sz w:val="20"/>
                <w:szCs w:val="20"/>
                <w:color w:val="auto"/>
              </w:rPr>
            </w:pPr>
            <w:r>
              <w:rPr>
                <w:rFonts w:ascii="Times New Roman" w:cs="Times New Roman" w:eastAsia="Times New Roman" w:hAnsi="Times New Roman"/>
                <w:sz w:val="18"/>
                <w:szCs w:val="18"/>
                <w:b w:val="1"/>
                <w:bCs w:val="1"/>
                <w:color w:val="auto"/>
              </w:rPr>
              <w:t>REGN4018</w:t>
            </w:r>
            <w:r>
              <w:rPr>
                <w:rFonts w:ascii="Times New Roman" w:cs="Times New Roman" w:eastAsia="Times New Roman" w:hAnsi="Times New Roman"/>
                <w:sz w:val="25"/>
                <w:szCs w:val="25"/>
                <w:b w:val="1"/>
                <w:bCs w:val="1"/>
                <w:color w:val="auto"/>
                <w:vertAlign w:val="superscript"/>
              </w:rPr>
              <w:t>(a)</w:t>
            </w:r>
          </w:p>
        </w:tc>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Platinum-resistant ovarian</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6"/>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Bispecific antibody targeting MUC16</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cancer</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43"/>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and CD3</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23"/>
        </w:trPr>
        <w:tc>
          <w:tcPr>
            <w:tcW w:w="2880" w:type="dxa"/>
            <w:vAlign w:val="bottom"/>
          </w:tcPr>
          <w:p>
            <w:pPr>
              <w:ind w:left="40"/>
              <w:spacing w:after="0" w:line="222" w:lineRule="exact"/>
              <w:rPr>
                <w:sz w:val="20"/>
                <w:szCs w:val="20"/>
                <w:color w:val="auto"/>
              </w:rPr>
            </w:pPr>
            <w:r>
              <w:rPr>
                <w:rFonts w:ascii="Times New Roman" w:cs="Times New Roman" w:eastAsia="Times New Roman" w:hAnsi="Times New Roman"/>
                <w:sz w:val="18"/>
                <w:szCs w:val="18"/>
                <w:b w:val="1"/>
                <w:bCs w:val="1"/>
                <w:color w:val="auto"/>
              </w:rPr>
              <w:t>REGN4659</w:t>
            </w:r>
            <w:r>
              <w:rPr>
                <w:rFonts w:ascii="Times New Roman" w:cs="Times New Roman" w:eastAsia="Times New Roman" w:hAnsi="Times New Roman"/>
                <w:sz w:val="25"/>
                <w:szCs w:val="25"/>
                <w:b w:val="1"/>
                <w:bCs w:val="1"/>
                <w:color w:val="auto"/>
                <w:vertAlign w:val="superscript"/>
              </w:rPr>
              <w:t>(f)</w:t>
            </w: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Advanced NSCLC</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6"/>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Antibody to CTLA4</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3"/>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REGN5069</w:t>
            </w:r>
          </w:p>
        </w:tc>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Pain</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43"/>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Antibody to GFRα3</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23"/>
        </w:trPr>
        <w:tc>
          <w:tcPr>
            <w:tcW w:w="2880" w:type="dxa"/>
            <w:vAlign w:val="bottom"/>
          </w:tcPr>
          <w:p>
            <w:pPr>
              <w:ind w:left="40"/>
              <w:spacing w:after="0" w:line="222" w:lineRule="exact"/>
              <w:rPr>
                <w:sz w:val="20"/>
                <w:szCs w:val="20"/>
                <w:color w:val="auto"/>
              </w:rPr>
            </w:pPr>
            <w:r>
              <w:rPr>
                <w:rFonts w:ascii="Times New Roman" w:cs="Times New Roman" w:eastAsia="Times New Roman" w:hAnsi="Times New Roman"/>
                <w:sz w:val="18"/>
                <w:szCs w:val="18"/>
                <w:b w:val="1"/>
                <w:bCs w:val="1"/>
                <w:color w:val="auto"/>
              </w:rPr>
              <w:t>REGN5458</w:t>
            </w:r>
            <w:r>
              <w:rPr>
                <w:rFonts w:ascii="Times New Roman" w:cs="Times New Roman" w:eastAsia="Times New Roman" w:hAnsi="Times New Roman"/>
                <w:sz w:val="25"/>
                <w:szCs w:val="25"/>
                <w:b w:val="1"/>
                <w:bCs w:val="1"/>
                <w:color w:val="auto"/>
                <w:vertAlign w:val="superscript"/>
              </w:rPr>
              <w:t>(a)</w:t>
            </w: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Multiple myeloma</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6"/>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Bispecific antibody targeting BCMA</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6"/>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and CD3</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line="369" w:lineRule="exact"/>
        <w:rPr>
          <w:sz w:val="20"/>
          <w:szCs w:val="20"/>
          <w:color w:val="auto"/>
        </w:rPr>
      </w:pPr>
    </w:p>
    <w:p>
      <w:pPr>
        <w:ind w:left="420" w:hanging="128"/>
        <w:spacing w:after="0"/>
        <w:tabs>
          <w:tab w:leader="none" w:pos="42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collaboration with Sanofi</w:t>
      </w:r>
    </w:p>
    <w:p>
      <w:pPr>
        <w:spacing w:after="0" w:line="41" w:lineRule="exact"/>
        <w:rPr>
          <w:rFonts w:ascii="Times New Roman" w:cs="Times New Roman" w:eastAsia="Times New Roman" w:hAnsi="Times New Roman"/>
          <w:sz w:val="9"/>
          <w:szCs w:val="9"/>
          <w:color w:val="auto"/>
        </w:rPr>
      </w:pPr>
    </w:p>
    <w:p>
      <w:pPr>
        <w:ind w:left="420" w:hanging="128"/>
        <w:spacing w:after="0"/>
        <w:tabs>
          <w:tab w:leader="none" w:pos="42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collaboration with Teva and Mitsubishi Tanabe Pharma</w:t>
      </w:r>
    </w:p>
    <w:p>
      <w:pPr>
        <w:spacing w:after="0" w:line="41" w:lineRule="exact"/>
        <w:rPr>
          <w:rFonts w:ascii="Times New Roman" w:cs="Times New Roman" w:eastAsia="Times New Roman" w:hAnsi="Times New Roman"/>
          <w:sz w:val="9"/>
          <w:szCs w:val="9"/>
          <w:color w:val="auto"/>
        </w:rPr>
      </w:pPr>
    </w:p>
    <w:p>
      <w:pPr>
        <w:ind w:left="420" w:hanging="128"/>
        <w:spacing w:after="0"/>
        <w:tabs>
          <w:tab w:leader="none" w:pos="42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U.S. Food and Drug Administration (FDA) granted orphan drug designation</w:t>
      </w:r>
    </w:p>
    <w:p>
      <w:pPr>
        <w:spacing w:after="0" w:line="41" w:lineRule="exact"/>
        <w:rPr>
          <w:rFonts w:ascii="Times New Roman" w:cs="Times New Roman" w:eastAsia="Times New Roman" w:hAnsi="Times New Roman"/>
          <w:sz w:val="9"/>
          <w:szCs w:val="9"/>
          <w:color w:val="auto"/>
        </w:rPr>
      </w:pPr>
    </w:p>
    <w:p>
      <w:pPr>
        <w:ind w:left="420" w:hanging="128"/>
        <w:spacing w:after="0"/>
        <w:tabs>
          <w:tab w:leader="none" w:pos="42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FDA granted Breakthrough Therapy designation</w:t>
      </w:r>
    </w:p>
    <w:p>
      <w:pPr>
        <w:spacing w:after="0" w:line="41" w:lineRule="exact"/>
        <w:rPr>
          <w:rFonts w:ascii="Times New Roman" w:cs="Times New Roman" w:eastAsia="Times New Roman" w:hAnsi="Times New Roman"/>
          <w:sz w:val="9"/>
          <w:szCs w:val="9"/>
          <w:color w:val="auto"/>
        </w:rPr>
      </w:pPr>
    </w:p>
    <w:p>
      <w:pPr>
        <w:ind w:left="420" w:hanging="128"/>
        <w:spacing w:after="0"/>
        <w:tabs>
          <w:tab w:leader="none" w:pos="42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FDA granted Fast Track designation</w:t>
      </w:r>
    </w:p>
    <w:p>
      <w:pPr>
        <w:spacing w:after="0" w:line="41" w:lineRule="exact"/>
        <w:rPr>
          <w:rFonts w:ascii="Times New Roman" w:cs="Times New Roman" w:eastAsia="Times New Roman" w:hAnsi="Times New Roman"/>
          <w:sz w:val="9"/>
          <w:szCs w:val="9"/>
          <w:color w:val="auto"/>
        </w:rPr>
      </w:pPr>
    </w:p>
    <w:p>
      <w:pPr>
        <w:ind w:left="300" w:right="200" w:hanging="8"/>
        <w:spacing w:after="0" w:line="261" w:lineRule="auto"/>
        <w:tabs>
          <w:tab w:leader="none" w:pos="426"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Sanofi did not opt-in to or elected not to continue to co-develop the product candidate. Under the terms of our agreement, Sanofi is entitled to receive royalties on any future global sales of the product candidate.</w:t>
      </w:r>
    </w:p>
    <w:p>
      <w:pPr>
        <w:ind w:left="300" w:right="200" w:hanging="8"/>
        <w:spacing w:after="0" w:line="241" w:lineRule="auto"/>
        <w:tabs>
          <w:tab w:leader="none" w:pos="441"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Sanofi did not opt-in to the product candidate. Under the terms of our agreement, Sanofi is entitled to receive royalties on any future sales of the product candidate. We and the Biomedical Advanced Research Development Authority (BARDA) of the U.S. Department of Health and Human Services (HHS) are parties to agreements whereby HHS provides certain funding to support research, development, and manufacturing of these antibodies.</w:t>
      </w:r>
    </w:p>
    <w:p>
      <w:pPr>
        <w:spacing w:after="0" w:line="14" w:lineRule="exact"/>
        <w:rPr>
          <w:rFonts w:ascii="Times New Roman" w:cs="Times New Roman" w:eastAsia="Times New Roman" w:hAnsi="Times New Roman"/>
          <w:sz w:val="9"/>
          <w:szCs w:val="9"/>
          <w:color w:val="auto"/>
        </w:rPr>
      </w:pPr>
    </w:p>
    <w:p>
      <w:pPr>
        <w:ind w:left="440" w:hanging="148"/>
        <w:spacing w:after="0"/>
        <w:tabs>
          <w:tab w:leader="none" w:pos="44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Studied as monotherapy and in combination with other antibodies and treatments</w:t>
      </w:r>
    </w:p>
    <w:p>
      <w:pPr>
        <w:spacing w:after="0" w:line="41" w:lineRule="exact"/>
        <w:rPr>
          <w:rFonts w:ascii="Times New Roman" w:cs="Times New Roman" w:eastAsia="Times New Roman" w:hAnsi="Times New Roman"/>
          <w:sz w:val="9"/>
          <w:szCs w:val="9"/>
          <w:color w:val="auto"/>
        </w:rPr>
      </w:pPr>
    </w:p>
    <w:p>
      <w:pPr>
        <w:ind w:left="420" w:hanging="128"/>
        <w:spacing w:after="0"/>
        <w:tabs>
          <w:tab w:leader="none" w:pos="42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Regulatory application submitted. Information in this column relates to U.S., European Union (EU), and Japan submissions only.</w:t>
      </w:r>
    </w:p>
    <w:p>
      <w:pPr>
        <w:spacing w:after="0" w:line="41" w:lineRule="exact"/>
        <w:rPr>
          <w:rFonts w:ascii="Times New Roman" w:cs="Times New Roman" w:eastAsia="Times New Roman" w:hAnsi="Times New Roman"/>
          <w:sz w:val="9"/>
          <w:szCs w:val="9"/>
          <w:color w:val="auto"/>
        </w:rPr>
      </w:pPr>
    </w:p>
    <w:p>
      <w:pPr>
        <w:ind w:left="420" w:hanging="128"/>
        <w:spacing w:after="0"/>
        <w:tabs>
          <w:tab w:leader="none" w:pos="42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randomized controlled trial run by World Health Organization</w:t>
      </w:r>
    </w:p>
    <w:p>
      <w:pPr>
        <w:spacing w:after="0" w:line="2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Trevogrumab, an antibody to myostatin (GDF8), which was previously being studied in Phase 1 in combination with garetosmab in muscle-wasting diseases, is no longer in clinical development.</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228" w:lineRule="exact"/>
        <w:rPr>
          <w:sz w:val="20"/>
          <w:szCs w:val="20"/>
          <w:color w:val="auto"/>
        </w:rPr>
      </w:pPr>
    </w:p>
    <w:p>
      <w:pPr>
        <w:jc w:val="both"/>
        <w:ind w:firstLine="243"/>
        <w:spacing w:after="0" w:line="217" w:lineRule="auto"/>
        <w:rPr>
          <w:sz w:val="20"/>
          <w:szCs w:val="20"/>
          <w:color w:val="auto"/>
        </w:rPr>
      </w:pPr>
      <w:r>
        <w:rPr>
          <w:rFonts w:ascii="Times New Roman" w:cs="Times New Roman" w:eastAsia="Times New Roman" w:hAnsi="Times New Roman"/>
          <w:sz w:val="18"/>
          <w:szCs w:val="18"/>
          <w:color w:val="auto"/>
        </w:rPr>
        <w:t xml:space="preserve">We believe that our ability to develop product candidates is enhanced by the application of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to understand the role of these proteins in normal physiology, as well as in models of disease. Our human antibody technology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and cell line expression technologies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We continue to invest in the development of enabling technologies to assist in our efforts to identify, develop, manufacture, and commercialize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product candidates.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EYLEA, Dupixent, Praluent, Kevzara, and Libtayo.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4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planning, execution, and results of our clinical programs are significant factors that can affect our operating and financial results. In our clinical programs, key events in 2019 to date were, and select milestones for the next twelve months are, as follows: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0" w:type="dxa"/>
            <w:vAlign w:val="bottom"/>
          </w:tcPr>
          <w:p>
            <w:pPr>
              <w:spacing w:after="0"/>
              <w:rPr>
                <w:sz w:val="20"/>
                <w:szCs w:val="20"/>
                <w:color w:val="auto"/>
              </w:rPr>
            </w:pPr>
          </w:p>
        </w:tc>
        <w:tc>
          <w:tcPr>
            <w:tcW w:w="37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2019 Events to Date</w:t>
            </w:r>
          </w:p>
        </w:tc>
      </w:tr>
      <w:tr>
        <w:trPr>
          <w:trHeight w:val="27"/>
        </w:trPr>
        <w:tc>
          <w:tcPr>
            <w:tcW w:w="366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r>
      <w:tr>
        <w:trPr>
          <w:trHeight w:val="237"/>
        </w:trPr>
        <w:tc>
          <w:tcPr>
            <w:tcW w:w="36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EYLEA</w:t>
            </w: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w:t>
            </w:r>
          </w:p>
        </w:tc>
        <w:tc>
          <w:tcPr>
            <w:tcW w:w="3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Resubmitted sBLA for pre-filled syringe</w:t>
            </w:r>
          </w:p>
        </w:tc>
      </w:tr>
      <w:tr>
        <w:trPr>
          <w:trHeight w:val="459"/>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760" w:type="dxa"/>
            <w:vAlign w:val="bottom"/>
          </w:tcPr>
          <w:p>
            <w:pPr>
              <w:spacing w:after="0"/>
              <w:rPr>
                <w:sz w:val="24"/>
                <w:szCs w:val="24"/>
                <w:color w:val="auto"/>
              </w:rPr>
            </w:pPr>
          </w:p>
        </w:tc>
      </w:tr>
      <w:tr>
        <w:trPr>
          <w:trHeight w:val="1242"/>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76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-1242695</wp:posOffset>
            </wp:positionV>
            <wp:extent cx="4922520" cy="454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2520" cy="454660"/>
                    </a:xfrm>
                    <a:prstGeom prst="rect">
                      <a:avLst/>
                    </a:prstGeom>
                    <a:noFill/>
                  </pic:spPr>
                </pic:pic>
              </a:graphicData>
            </a:graphic>
          </wp:anchor>
        </w:drawing>
      </w:r>
    </w:p>
    <w:p>
      <w:pPr>
        <w:ind w:left="40"/>
        <w:spacing w:after="0"/>
        <w:tabs>
          <w:tab w:leader="none" w:pos="3680" w:val="left"/>
        </w:tabs>
        <w:rPr>
          <w:sz w:val="20"/>
          <w:szCs w:val="20"/>
          <w:color w:val="auto"/>
        </w:rPr>
      </w:pPr>
      <w:r>
        <w:rPr>
          <w:rFonts w:ascii="Times New Roman" w:cs="Times New Roman" w:eastAsia="Times New Roman" w:hAnsi="Times New Roman"/>
          <w:sz w:val="18"/>
          <w:szCs w:val="18"/>
          <w:b w:val="1"/>
          <w:bCs w:val="1"/>
          <w:i w:val="1"/>
          <w:iCs w:val="1"/>
          <w:color w:val="auto"/>
        </w:rPr>
        <w:t>Dupixent (dupilumab; IL-4R Antibody)</w:t>
      </w:r>
      <w:r>
        <w:rPr>
          <w:sz w:val="20"/>
          <w:szCs w:val="20"/>
          <w:color w:val="auto"/>
        </w:rPr>
        <w:tab/>
      </w:r>
      <w:r>
        <w:rPr>
          <w:rFonts w:ascii="Times New Roman" w:cs="Times New Roman" w:eastAsia="Times New Roman" w:hAnsi="Times New Roman"/>
          <w:sz w:val="18"/>
          <w:szCs w:val="18"/>
          <w:color w:val="auto"/>
        </w:rPr>
        <w:t>• Approved by FDA for expanded atopic dermatitis</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indication in adolescent patients (12–17 years of</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age)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86"/>
        <w:spacing w:after="0"/>
        <w:rPr>
          <w:sz w:val="20"/>
          <w:szCs w:val="20"/>
          <w:color w:val="auto"/>
        </w:rPr>
      </w:pPr>
      <w:r>
        <w:rPr>
          <w:rFonts w:ascii="Times New Roman" w:cs="Times New Roman" w:eastAsia="Times New Roman" w:hAnsi="Times New Roman"/>
          <w:sz w:val="18"/>
          <w:szCs w:val="18"/>
          <w:b w:val="1"/>
          <w:bCs w:val="1"/>
          <w:color w:val="auto"/>
        </w:rPr>
        <w:t>Select 2019–2020 Milestones</w:t>
      </w:r>
    </w:p>
    <w:p>
      <w:pPr>
        <w:spacing w:after="0" w:line="31" w:lineRule="exact"/>
        <w:rPr>
          <w:sz w:val="20"/>
          <w:szCs w:val="20"/>
          <w:color w:val="auto"/>
        </w:rPr>
      </w:pPr>
    </w:p>
    <w:p>
      <w:pPr>
        <w:jc w:val="center"/>
        <w:ind w:right="-86"/>
        <w:spacing w:after="0"/>
        <w:rPr>
          <w:sz w:val="20"/>
          <w:szCs w:val="20"/>
          <w:color w:val="auto"/>
        </w:rPr>
      </w:pPr>
      <w:r>
        <w:rPr>
          <w:rFonts w:ascii="Times New Roman" w:cs="Times New Roman" w:eastAsia="Times New Roman" w:hAnsi="Times New Roman"/>
          <w:sz w:val="18"/>
          <w:szCs w:val="18"/>
          <w:b w:val="1"/>
          <w:bCs w:val="1"/>
          <w:color w:val="auto"/>
        </w:rPr>
        <w:t>(next 12 months)</w:t>
      </w:r>
    </w:p>
    <w:p>
      <w:pPr>
        <w:spacing w:after="0" w:line="58" w:lineRule="exact"/>
        <w:rPr>
          <w:sz w:val="20"/>
          <w:szCs w:val="20"/>
          <w:color w:val="auto"/>
        </w:rPr>
      </w:pPr>
    </w:p>
    <w:p>
      <w:pPr>
        <w:ind w:left="127" w:right="120" w:hanging="127"/>
        <w:spacing w:after="0" w:line="266" w:lineRule="auto"/>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decision on sBLA for the treatment of diabetic retinopathy (target action date of May 13, 2019)</w:t>
      </w:r>
    </w:p>
    <w:p>
      <w:pPr>
        <w:spacing w:after="0" w:line="14"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decision on sBLA for pre-filled syringe</w:t>
      </w:r>
    </w:p>
    <w:p>
      <w:pPr>
        <w:spacing w:after="0" w:line="63" w:lineRule="exact"/>
        <w:rPr>
          <w:rFonts w:ascii="Times New Roman" w:cs="Times New Roman" w:eastAsia="Times New Roman" w:hAnsi="Times New Roman"/>
          <w:sz w:val="18"/>
          <w:szCs w:val="18"/>
          <w:color w:val="auto"/>
        </w:rPr>
      </w:pPr>
    </w:p>
    <w:p>
      <w:pPr>
        <w:ind w:left="127" w:right="500" w:hanging="127"/>
        <w:spacing w:after="0" w:line="281" w:lineRule="auto"/>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 study of a high dose formulation of aflibercept</w:t>
      </w:r>
    </w:p>
    <w:p>
      <w:pPr>
        <w:spacing w:after="0" w:line="1" w:lineRule="exact"/>
        <w:rPr>
          <w:rFonts w:ascii="Times New Roman" w:cs="Times New Roman" w:eastAsia="Times New Roman" w:hAnsi="Times New Roman"/>
          <w:sz w:val="18"/>
          <w:szCs w:val="18"/>
          <w:color w:val="auto"/>
        </w:rPr>
      </w:pPr>
    </w:p>
    <w:p>
      <w:pPr>
        <w:ind w:left="127" w:right="720" w:hanging="127"/>
        <w:spacing w:after="0" w:line="281" w:lineRule="auto"/>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Phase 3 program in retinopathy of prematurity (ROP)</w:t>
      </w:r>
    </w:p>
    <w:p>
      <w:pPr>
        <w:spacing w:after="0" w:line="1" w:lineRule="exact"/>
        <w:rPr>
          <w:rFonts w:ascii="Times New Roman" w:cs="Times New Roman" w:eastAsia="Times New Roman" w:hAnsi="Times New Roman"/>
          <w:sz w:val="18"/>
          <w:szCs w:val="18"/>
          <w:color w:val="auto"/>
        </w:rPr>
      </w:pPr>
    </w:p>
    <w:p>
      <w:pPr>
        <w:ind w:left="127" w:right="120" w:hanging="127"/>
        <w:spacing w:after="0" w:line="313" w:lineRule="auto"/>
        <w:tabs>
          <w:tab w:leader="none" w:pos="12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results from Phase 3 study in pediatric patients (6–11 years of age) with atopic dermatitis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-1117600</wp:posOffset>
            </wp:positionV>
            <wp:extent cx="4845050" cy="788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45050" cy="788670"/>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7540" w:space="33"/>
            <w:col w:w="3847"/>
          </w:cols>
          <w:pgMar w:left="240" w:top="126" w:right="239" w:bottom="1440" w:gutter="0" w:footer="0" w:header="0"/>
          <w:type w:val="continuous"/>
        </w:sectPr>
      </w:pPr>
    </w:p>
    <w:p>
      <w:pPr>
        <w:ind w:left="3820" w:hanging="123"/>
        <w:spacing w:after="0" w:line="266" w:lineRule="auto"/>
        <w:tabs>
          <w:tab w:leader="none" w:pos="3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Medicines Agency's (EMA) Committee for Medicinal Products for Human Use (CHMP) recommended approval for asthma</w:t>
      </w:r>
    </w:p>
    <w:p>
      <w:pPr>
        <w:spacing w:after="0" w:line="14" w:lineRule="exact"/>
        <w:rPr>
          <w:rFonts w:ascii="Times New Roman" w:cs="Times New Roman" w:eastAsia="Times New Roman" w:hAnsi="Times New Roman"/>
          <w:sz w:val="18"/>
          <w:szCs w:val="18"/>
          <w:color w:val="auto"/>
        </w:rPr>
      </w:pPr>
    </w:p>
    <w:p>
      <w:pPr>
        <w:ind w:left="3820" w:right="460" w:hanging="123"/>
        <w:spacing w:after="0" w:line="281" w:lineRule="auto"/>
        <w:tabs>
          <w:tab w:leader="none" w:pos="3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accepted for priority review sBLA for CRSwNP</w:t>
      </w:r>
    </w:p>
    <w:p>
      <w:pPr>
        <w:spacing w:after="0" w:line="20" w:lineRule="exact"/>
        <w:rPr>
          <w:sz w:val="20"/>
          <w:szCs w:val="20"/>
          <w:color w:val="auto"/>
        </w:rPr>
      </w:pPr>
      <w:r>
        <w:rPr>
          <w:sz w:val="20"/>
          <w:szCs w:val="20"/>
          <w:color w:val="auto"/>
        </w:rPr>
        <w:br w:type="column"/>
      </w:r>
    </w:p>
    <w:p>
      <w:pPr>
        <w:ind w:left="127" w:right="40" w:hanging="127"/>
        <w:spacing w:after="0" w:line="266" w:lineRule="auto"/>
        <w:tabs>
          <w:tab w:leader="none" w:pos="1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decision on regulatory application for expanded atopic dermatitis indication in adolescent patients (12–17 years of age)</w:t>
      </w:r>
    </w:p>
    <w:p>
      <w:pPr>
        <w:spacing w:after="0" w:line="14"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asthma in the EU</w:t>
      </w:r>
    </w:p>
    <w:p>
      <w:pPr>
        <w:spacing w:after="0" w:line="279" w:lineRule="exact"/>
        <w:rPr>
          <w:sz w:val="20"/>
          <w:szCs w:val="20"/>
          <w:color w:val="auto"/>
        </w:rPr>
      </w:pPr>
    </w:p>
    <w:p>
      <w:pPr>
        <w:sectPr>
          <w:pgSz w:w="11900" w:h="16838" w:orient="portrait"/>
          <w:cols w:equalWidth="0" w:num="2">
            <w:col w:w="7420" w:space="153"/>
            <w:col w:w="3847"/>
          </w:cols>
          <w:pgMar w:left="240" w:top="126" w:right="239" w:bottom="1440" w:gutter="0" w:footer="0" w:header="0"/>
          <w:type w:val="continuous"/>
        </w:sectPr>
      </w:pPr>
    </w:p>
    <w:p>
      <w:pPr>
        <w:ind w:left="3820" w:hanging="123"/>
        <w:spacing w:after="0" w:line="281" w:lineRule="auto"/>
        <w:tabs>
          <w:tab w:leader="none" w:pos="3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regulatory applications in EU and Japan for CRSwNP</w:t>
      </w:r>
    </w:p>
    <w:p>
      <w:pPr>
        <w:spacing w:after="0" w:line="1" w:lineRule="exact"/>
        <w:rPr>
          <w:rFonts w:ascii="Times New Roman" w:cs="Times New Roman" w:eastAsia="Times New Roman" w:hAnsi="Times New Roman"/>
          <w:sz w:val="18"/>
          <w:szCs w:val="18"/>
          <w:color w:val="auto"/>
        </w:rPr>
      </w:pPr>
    </w:p>
    <w:p>
      <w:pPr>
        <w:ind w:left="3820" w:hanging="123"/>
        <w:spacing w:after="0"/>
        <w:tabs>
          <w:tab w:leader="none" w:pos="3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Phase 3 study in COPD</w:t>
      </w:r>
    </w:p>
    <w:p>
      <w:pPr>
        <w:spacing w:after="0" w:line="20" w:lineRule="exact"/>
        <w:rPr>
          <w:sz w:val="20"/>
          <w:szCs w:val="20"/>
          <w:color w:val="auto"/>
        </w:rPr>
      </w:pPr>
      <w:r>
        <w:rPr>
          <w:sz w:val="20"/>
          <w:szCs w:val="20"/>
          <w:color w:val="auto"/>
        </w:rPr>
        <w:br w:type="column"/>
      </w:r>
    </w:p>
    <w:p>
      <w:pPr>
        <w:ind w:left="127" w:right="140" w:hanging="127"/>
        <w:spacing w:after="0" w:line="281" w:lineRule="auto"/>
        <w:tabs>
          <w:tab w:leader="none" w:pos="1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(target action date of June 26, 2019) and EU decisions on applications for CRSwNP</w:t>
      </w:r>
    </w:p>
    <w:p>
      <w:pPr>
        <w:spacing w:after="0" w:line="1" w:lineRule="exact"/>
        <w:rPr>
          <w:rFonts w:ascii="Times New Roman" w:cs="Times New Roman" w:eastAsia="Times New Roman" w:hAnsi="Times New Roman"/>
          <w:sz w:val="18"/>
          <w:szCs w:val="18"/>
          <w:color w:val="auto"/>
        </w:rPr>
      </w:pPr>
    </w:p>
    <w:p>
      <w:pPr>
        <w:jc w:val="both"/>
        <w:ind w:left="127" w:right="100" w:hanging="127"/>
        <w:spacing w:after="0" w:line="298" w:lineRule="auto"/>
        <w:tabs>
          <w:tab w:leader="none" w:pos="12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(target action date of July 11, 2019) and EU decisions on applications for 200 mg auto-injector</w:t>
      </w:r>
    </w:p>
    <w:p>
      <w:pPr>
        <w:ind w:left="127" w:right="480" w:hanging="127"/>
        <w:spacing w:after="0" w:line="313" w:lineRule="auto"/>
        <w:tabs>
          <w:tab w:leader="none" w:pos="12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 sBLA and Marketing Authorization Application (MAA) for 300 mg auto-injector</w:t>
      </w:r>
    </w:p>
    <w:p>
      <w:pPr>
        <w:spacing w:after="0" w:line="200" w:lineRule="exact"/>
        <w:rPr>
          <w:sz w:val="20"/>
          <w:szCs w:val="20"/>
          <w:color w:val="auto"/>
        </w:rPr>
      </w:pPr>
    </w:p>
    <w:p>
      <w:pPr>
        <w:sectPr>
          <w:pgSz w:w="11900" w:h="16838" w:orient="portrait"/>
          <w:cols w:equalWidth="0" w:num="2">
            <w:col w:w="7480" w:space="93"/>
            <w:col w:w="3847"/>
          </w:cols>
          <w:pgMar w:left="240" w:top="12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6" w:right="239" w:bottom="1440" w:gutter="0" w:footer="0" w:header="0"/>
          <w:type w:val="continuous"/>
        </w:sectPr>
      </w:pPr>
    </w:p>
    <w:bookmarkStart w:id="29" w:name="page30"/>
    <w:bookmarkEnd w:id="2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2019–2020 Milestones</w:t>
            </w:r>
          </w:p>
        </w:tc>
      </w:tr>
      <w:tr>
        <w:trPr>
          <w:trHeight w:val="238"/>
        </w:trPr>
        <w:tc>
          <w:tcPr>
            <w:tcW w:w="36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 xml:space="preserve">Clinical Program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0"/>
                <w:szCs w:val="20"/>
                <w:color w:val="auto"/>
              </w:rPr>
            </w:pPr>
          </w:p>
        </w:tc>
        <w:tc>
          <w:tcPr>
            <w:tcW w:w="38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 Events to Date</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(next 12 months)</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r>
      <w:tr>
        <w:trPr>
          <w:trHeight w:val="237"/>
        </w:trPr>
        <w:tc>
          <w:tcPr>
            <w:tcW w:w="3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Praluent (alirocumab; PCSK9 Antibody)</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w:t>
            </w: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European Commission granted marketing approval</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w:t>
            </w:r>
          </w:p>
        </w:tc>
        <w:tc>
          <w:tcPr>
            <w:tcW w:w="3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 results from Phase 3 study in HoFH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620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20520"/>
                    </a:xfrm>
                    <a:prstGeom prst="rect">
                      <a:avLst/>
                    </a:prstGeom>
                    <a:noFill/>
                  </pic:spPr>
                </pic:pic>
              </a:graphicData>
            </a:graphic>
          </wp:anchor>
        </w:drawing>
      </w:r>
    </w:p>
    <w:p>
      <w:pPr>
        <w:ind w:left="3820"/>
        <w:spacing w:after="0"/>
        <w:rPr>
          <w:sz w:val="20"/>
          <w:szCs w:val="20"/>
          <w:color w:val="auto"/>
        </w:rPr>
      </w:pPr>
      <w:r>
        <w:rPr>
          <w:rFonts w:ascii="Times New Roman" w:cs="Times New Roman" w:eastAsia="Times New Roman" w:hAnsi="Times New Roman"/>
          <w:sz w:val="18"/>
          <w:szCs w:val="18"/>
          <w:color w:val="auto"/>
        </w:rPr>
        <w:t>for a new indication to reduce cardiovascular risk</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in adults with established ASCVD</w:t>
      </w:r>
    </w:p>
    <w:p>
      <w:pPr>
        <w:spacing w:after="0" w:line="4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 Approved by FDA for a new indication to reduce</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the risk of heart attack, stroke and unstable angina</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requiring hospitalization in adults with established</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CV disease</w:t>
      </w:r>
    </w:p>
    <w:p>
      <w:pPr>
        <w:sectPr>
          <w:pgSz w:w="11900" w:h="16838" w:orient="portrait"/>
          <w:cols w:equalWidth="0" w:num="1">
            <w:col w:w="11420"/>
          </w:cols>
          <w:pgMar w:left="240" w:top="126" w:right="239" w:bottom="1440" w:gutter="0" w:footer="0" w:header="0"/>
        </w:sectPr>
      </w:pP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1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 Approved by FDA for the treatment of adults with</w:t>
            </w:r>
          </w:p>
        </w:tc>
      </w:tr>
      <w:tr>
        <w:trPr>
          <w:trHeight w:val="216"/>
        </w:trPr>
        <w:tc>
          <w:tcPr>
            <w:tcW w:w="322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primary hyperlipidemia (including HeFH) to</w:t>
            </w:r>
          </w:p>
        </w:tc>
      </w:tr>
      <w:tr>
        <w:trPr>
          <w:trHeight w:val="216"/>
        </w:trPr>
        <w:tc>
          <w:tcPr>
            <w:tcW w:w="322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reduce low-density lipoprotein cholesterol (LDL-</w:t>
            </w:r>
          </w:p>
        </w:tc>
      </w:tr>
      <w:tr>
        <w:trPr>
          <w:trHeight w:val="234"/>
        </w:trPr>
        <w:tc>
          <w:tcPr>
            <w:tcW w:w="322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w:t>
            </w:r>
          </w:p>
        </w:tc>
      </w:tr>
      <w:tr>
        <w:trPr>
          <w:trHeight w:val="252"/>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Libtayo (cemiplimab; PD-1 Antibody)</w:t>
            </w:r>
          </w:p>
        </w:tc>
        <w:tc>
          <w:tcPr>
            <w:tcW w:w="4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EMA's CHMP recommended approval for</w:t>
            </w:r>
          </w:p>
        </w:tc>
      </w:tr>
      <w:tr>
        <w:trPr>
          <w:trHeight w:val="234"/>
        </w:trPr>
        <w:tc>
          <w:tcPr>
            <w:tcW w:w="322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advanced CSCC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Fasinumab (NGF Antibody)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7" w:hanging="127"/>
        <w:spacing w:after="0"/>
        <w:tabs>
          <w:tab w:leader="none" w:pos="1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advanced CSCC in the EU</w:t>
      </w:r>
    </w:p>
    <w:p>
      <w:pPr>
        <w:spacing w:after="0" w:line="279" w:lineRule="exact"/>
        <w:rPr>
          <w:rFonts w:ascii="Times New Roman" w:cs="Times New Roman" w:eastAsia="Times New Roman" w:hAnsi="Times New Roman"/>
          <w:sz w:val="18"/>
          <w:szCs w:val="18"/>
          <w:color w:val="auto"/>
        </w:rPr>
      </w:pPr>
    </w:p>
    <w:p>
      <w:pPr>
        <w:ind w:left="127" w:right="600" w:hanging="127"/>
        <w:spacing w:after="0" w:line="281" w:lineRule="auto"/>
        <w:tabs>
          <w:tab w:leader="none" w:pos="1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patient enrollment in NSCLC and various other studies</w:t>
      </w:r>
    </w:p>
    <w:p>
      <w:pPr>
        <w:spacing w:after="0" w:line="1"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 adjuvant and neoadjuvant studies in CSCC</w:t>
      </w:r>
    </w:p>
    <w:p>
      <w:pPr>
        <w:spacing w:after="0" w:line="74" w:lineRule="exact"/>
        <w:rPr>
          <w:rFonts w:ascii="Times New Roman" w:cs="Times New Roman" w:eastAsia="Times New Roman" w:hAnsi="Times New Roman"/>
          <w:sz w:val="17"/>
          <w:szCs w:val="17"/>
          <w:color w:val="auto"/>
        </w:rPr>
      </w:pPr>
    </w:p>
    <w:p>
      <w:pPr>
        <w:ind w:left="127" w:right="120" w:hanging="127"/>
        <w:spacing w:after="0" w:line="266" w:lineRule="auto"/>
        <w:tabs>
          <w:tab w:leader="none" w:pos="1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patient enrollment in Phase 3 long-term safety study and Phase 3 efficacy studies in osteoarthritis</w:t>
      </w:r>
    </w:p>
    <w:p>
      <w:pPr>
        <w:spacing w:after="0" w:line="10" w:lineRule="exact"/>
        <w:rPr>
          <w:sz w:val="20"/>
          <w:szCs w:val="20"/>
          <w:color w:val="auto"/>
        </w:rPr>
      </w:pPr>
    </w:p>
    <w:p>
      <w:pPr>
        <w:sectPr>
          <w:pgSz w:w="11900" w:h="16838" w:orient="portrait"/>
          <w:cols w:equalWidth="0" w:num="2">
            <w:col w:w="7440" w:space="133"/>
            <w:col w:w="3847"/>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Evinacumab (ANGPTL3 Antibody)</w:t>
            </w:r>
          </w:p>
        </w:tc>
        <w:tc>
          <w:tcPr>
            <w:tcW w:w="776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 Report results from Phase 3 study in HoFH</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Garetosmab (Activin A Antibody)</w:t>
            </w:r>
          </w:p>
        </w:tc>
        <w:tc>
          <w:tcPr>
            <w:tcW w:w="7760" w:type="dxa"/>
            <w:vAlign w:val="bottom"/>
            <w:tcBorders>
              <w:bottom w:val="single" w:sz="8" w:color="CCEEFF"/>
            </w:tcBorders>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 Report results from Phase 2 study in FOP</w:t>
            </w: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REGN3500 (IL-33 Antibody)</w:t>
            </w:r>
          </w:p>
        </w:tc>
        <w:tc>
          <w:tcPr>
            <w:tcW w:w="776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 Report results from Phase 2 study in asthma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5"/>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REGN1908-1909 (Feld1 Antibody)</w:t>
            </w: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Initiated Phase 2 study in cat allergic asthmatics   • Report results from Phase 2 study in cat allergic</w:t>
            </w:r>
          </w:p>
        </w:tc>
      </w:tr>
      <w:tr>
        <w:trPr>
          <w:trHeight w:val="241"/>
        </w:trPr>
        <w:tc>
          <w:tcPr>
            <w:tcW w:w="366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asthmatics</w:t>
            </w:r>
          </w:p>
        </w:tc>
      </w:tr>
      <w:tr>
        <w:trPr>
          <w:trHeight w:val="225"/>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REGN1979 (CD20 and CD3 Antibody)</w:t>
            </w:r>
          </w:p>
        </w:tc>
        <w:tc>
          <w:tcPr>
            <w:tcW w:w="776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 Initiate potentially pivotal Phase 2 study in</w:t>
            </w:r>
          </w:p>
        </w:tc>
      </w:tr>
      <w:tr>
        <w:trPr>
          <w:trHeight w:val="234"/>
        </w:trPr>
        <w:tc>
          <w:tcPr>
            <w:tcW w:w="3660" w:type="dxa"/>
            <w:vAlign w:val="bottom"/>
          </w:tcPr>
          <w:p>
            <w:pPr>
              <w:spacing w:after="0"/>
              <w:rPr>
                <w:sz w:val="20"/>
                <w:szCs w:val="20"/>
                <w:color w:val="auto"/>
              </w:rPr>
            </w:pPr>
          </w:p>
        </w:tc>
        <w:tc>
          <w:tcPr>
            <w:tcW w:w="77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follicular lymphoma (FL)</w:t>
            </w:r>
          </w:p>
        </w:tc>
      </w:tr>
      <w:tr>
        <w:trPr>
          <w:trHeight w:val="252"/>
        </w:trPr>
        <w:tc>
          <w:tcPr>
            <w:tcW w:w="3660" w:type="dxa"/>
            <w:vAlign w:val="bottom"/>
          </w:tcPr>
          <w:p>
            <w:pPr>
              <w:spacing w:after="0"/>
              <w:rPr>
                <w:sz w:val="21"/>
                <w:szCs w:val="21"/>
                <w:color w:val="auto"/>
              </w:rPr>
            </w:pPr>
          </w:p>
        </w:tc>
        <w:tc>
          <w:tcPr>
            <w:tcW w:w="776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 Initiate potentially pivotal Phase 2 study in diffuse</w:t>
            </w:r>
          </w:p>
        </w:tc>
      </w:tr>
      <w:tr>
        <w:trPr>
          <w:trHeight w:val="234"/>
        </w:trPr>
        <w:tc>
          <w:tcPr>
            <w:tcW w:w="3660" w:type="dxa"/>
            <w:vAlign w:val="bottom"/>
          </w:tcPr>
          <w:p>
            <w:pPr>
              <w:spacing w:after="0"/>
              <w:rPr>
                <w:sz w:val="20"/>
                <w:szCs w:val="20"/>
                <w:color w:val="auto"/>
              </w:rPr>
            </w:pPr>
          </w:p>
        </w:tc>
        <w:tc>
          <w:tcPr>
            <w:tcW w:w="77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large B-cell lymphoma (DLBCL)</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1"/>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REGN-EB3 (Multi-antibody therapy to Ebola</w:t>
            </w: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Included in randomized controlled trial run by</w:t>
            </w:r>
          </w:p>
        </w:tc>
      </w:tr>
      <w:tr>
        <w:trPr>
          <w:trHeight w:val="24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virus)</w:t>
            </w:r>
          </w:p>
        </w:tc>
        <w:tc>
          <w:tcPr>
            <w:tcW w:w="7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World Health Organization</w:t>
            </w:r>
          </w:p>
        </w:tc>
      </w:tr>
      <w:tr>
        <w:trPr>
          <w:trHeight w:val="221"/>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REGN3048-3051 (Multiple-antibody therapy to</w:t>
            </w:r>
          </w:p>
        </w:tc>
        <w:tc>
          <w:tcPr>
            <w:tcW w:w="776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 Complete Phase 1 study in healthy volunteers</w:t>
            </w:r>
          </w:p>
        </w:tc>
      </w:tr>
      <w:tr>
        <w:trPr>
          <w:trHeight w:val="238"/>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MERS)</w:t>
            </w:r>
          </w:p>
        </w:tc>
        <w:tc>
          <w:tcPr>
            <w:tcW w:w="776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Pozelimab (C5 Antibody)</w:t>
            </w:r>
          </w:p>
        </w:tc>
        <w:tc>
          <w:tcPr>
            <w:tcW w:w="7760" w:type="dxa"/>
            <w:vAlign w:val="bottom"/>
            <w:tcBorders>
              <w:bottom w:val="single" w:sz="8" w:color="CCEEFF"/>
            </w:tcBorders>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 Initiate Phase 2 study in PNH</w:t>
            </w: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REGN4461 (LEPR Agonist Antibody)</w:t>
            </w:r>
          </w:p>
        </w:tc>
        <w:tc>
          <w:tcPr>
            <w:tcW w:w="776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 Initiate Phase 2 study in generalized lipodystrophy</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REGN5069 (GFRα3 Antibody)</w:t>
            </w:r>
          </w:p>
        </w:tc>
        <w:tc>
          <w:tcPr>
            <w:tcW w:w="776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 Complete Phase 1 study in healthy volunteers</w:t>
            </w:r>
          </w:p>
        </w:tc>
      </w:tr>
      <w:tr>
        <w:trPr>
          <w:trHeight w:val="277"/>
        </w:trPr>
        <w:tc>
          <w:tcPr>
            <w:tcW w:w="3660" w:type="dxa"/>
            <w:vAlign w:val="bottom"/>
            <w:tcBorders>
              <w:bottom w:val="single" w:sz="8" w:color="CCEEFF"/>
            </w:tcBorders>
            <w:shd w:val="clear" w:color="auto" w:fill="CCEEFF"/>
          </w:tcPr>
          <w:p>
            <w:pPr>
              <w:spacing w:after="0"/>
              <w:rPr>
                <w:sz w:val="24"/>
                <w:szCs w:val="24"/>
                <w:color w:val="auto"/>
              </w:rPr>
            </w:pPr>
          </w:p>
        </w:tc>
        <w:tc>
          <w:tcPr>
            <w:tcW w:w="7760" w:type="dxa"/>
            <w:vAlign w:val="bottom"/>
            <w:tcBorders>
              <w:bottom w:val="single" w:sz="8" w:color="CCEEFF"/>
            </w:tcBorders>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 Initiate Phase 2 study in osteoarthritis</w:t>
            </w: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REGN5458 (BCMA and CD3 Antibody)</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Initiated Phase 1 study in multiple myeloma</w:t>
            </w:r>
          </w:p>
        </w:tc>
      </w:tr>
      <w:tr>
        <w:trPr>
          <w:trHeight w:val="621"/>
        </w:trPr>
        <w:tc>
          <w:tcPr>
            <w:tcW w:w="3660" w:type="dxa"/>
            <w:vAlign w:val="bottom"/>
          </w:tcPr>
          <w:p>
            <w:pPr>
              <w:spacing w:after="0"/>
              <w:rPr>
                <w:sz w:val="24"/>
                <w:szCs w:val="24"/>
                <w:color w:val="auto"/>
              </w:rPr>
            </w:pPr>
          </w:p>
        </w:tc>
        <w:tc>
          <w:tcPr>
            <w:tcW w:w="7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1420"/>
          </w:cols>
          <w:pgMar w:left="240" w:top="126" w:right="239" w:bottom="1440" w:gutter="0" w:footer="0" w:header="0"/>
          <w:type w:val="continuous"/>
        </w:sectPr>
      </w:pPr>
    </w:p>
    <w:bookmarkStart w:id="30" w:name="page31"/>
    <w:bookmarkEnd w:id="3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Collaborations with Sanofi</w:t>
      </w:r>
    </w:p>
    <w:p>
      <w:pPr>
        <w:spacing w:after="0" w:line="279"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Antibody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collaborating with Sanofi on the global development and commercialization of various antibodies and antibody product candidates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(Dupixent, Praluent, Kevzara, and REGN3500) (the Antibody Collaboration). Under the terms of the Antibody License and Collaboration Agreement (LCA), following receipt of the first positive Phase 3 trial results for a co-developed drug candidate, subsequent Phase 3 trial-related costs for that drug candidate are shared 80% by Sanofi and 20% by us. All other agreed-upon development costs incurred by both companies are funded 100% by Sanofi. We are generally responsible for reimbursing Sanofi for half of the total development costs for all collaboration antibody products from our share of profits from commercialization of collaboration products to the extent they are sufficient for this purpose.</w:t>
      </w:r>
    </w:p>
    <w:p>
      <w:pPr>
        <w:spacing w:after="0" w:line="24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Effective January 7, 2018, we and Sanofi entered into a letter agreement (Letter Agreement) amending the LCA in connection with, among other matters, the allocation of additional funds to certain proposed activities relating to dupilumab and REGN3500 (collectively, the Dupilumab/REGN3500 Eligible Investments). Pursuant to the Letter Agreement, we have agreed to allow Sanofi to satisfy in whole or in part its funding obligations with respect to the Dupilumab/REGN3500 Eligible Investments for the quarterly periods commencing on January 1, 2018 and ending on September 30, 2020 by selling up to an aggregate of 600,000 shares (of which 565,091 currently remains available) of our Common Stock directly or indirectly owned by Sanofi. Refer to the </w:t>
      </w:r>
      <w:r>
        <w:rPr>
          <w:rFonts w:ascii="Times New Roman" w:cs="Times New Roman" w:eastAsia="Times New Roman" w:hAnsi="Times New Roman"/>
          <w:sz w:val="18"/>
          <w:szCs w:val="18"/>
          <w:i w:val="1"/>
          <w:iCs w:val="1"/>
          <w:color w:val="auto"/>
        </w:rPr>
        <w:t xml:space="preserve">"Immuno-Oncology" </w:t>
      </w:r>
      <w:r>
        <w:rPr>
          <w:rFonts w:ascii="Times New Roman" w:cs="Times New Roman" w:eastAsia="Times New Roman" w:hAnsi="Times New Roman"/>
          <w:sz w:val="18"/>
          <w:szCs w:val="18"/>
          <w:color w:val="auto"/>
        </w:rPr>
        <w:t>section below for further details regarding the Letter Agreement.</w:t>
      </w:r>
    </w:p>
    <w:p>
      <w:pPr>
        <w:spacing w:after="0" w:line="24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co-promote such products on a country-by-country basis. We have exercised our option to co-promote Dupixent, Praluent, and Kevzara in the United States. We have thus far not exercised any of our options to co-promote these antibodies outside the United States.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up to $250.0 million in sales milestone payments, with milestone payments commencing after aggregate annual sales of antibodies (subject to this agreement) outside the United States exceed $1.0 billion on a rolling twelve-month basis.</w:t>
      </w:r>
    </w:p>
    <w:p>
      <w:pPr>
        <w:spacing w:after="0" w:line="23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Immuno-Oncology. </w:t>
      </w:r>
      <w:r>
        <w:rPr>
          <w:rFonts w:ascii="Times New Roman" w:cs="Times New Roman" w:eastAsia="Times New Roman" w:hAnsi="Times New Roman"/>
          <w:sz w:val="18"/>
          <w:szCs w:val="18"/>
          <w:color w:val="auto"/>
        </w:rPr>
        <w:t>In 2015, we and Sanofi entered into a collaboration to discover, develop, and commercialize antibody-based cancer treatments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 In connection with the execution of the original Immuno-oncology Discovery and Development Agreement in 2015 (2015 IO Discovery Agreement), which has been replaced by the Amended IO Discovery Agreement (as discussed below), Sanofi made a $265.0 million non-refundable up-front payment to us. Pursuant to the 2015 IO Discovery Agreement, we were to spend up to $1,090.0 million (IO Discovery Budget) to identify and validate potential immuno-oncology targets and develop therapeutic antibodies against such targets through clinical proof-of-concept, and Sanofi was to reimburse us for up to $825.0 million (IO Discovery Funding) of these costs, subject to certain annual limits. The original term of the 2015 IO Discovery Agreement was to continue through the later of five years from the effective date of the IO Collaboration or the date the IO Discovery Budget was exhausted, subject to Sanofi's option to extend it for up to an additional three years for the continued development (and funding) of selected ongoing programs.</w:t>
      </w:r>
    </w:p>
    <w:p>
      <w:pPr>
        <w:spacing w:after="0" w:line="24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Effective December 31, 2018, the Company and Sanofi entered into the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 (y) the prepayment for certain IO Development Activities regarding the BCMAxCD3 Program and the MUC16xCD3 Program, and (z) the reimbursement of costs incurred by the Company under the 2015 IO Discovery Agreement during the fourth quarter of 2018.</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the terms of the Amended IO Discovery Agreement, the Company is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 provided that under certain circumstances, Sanofi will have the option to increase the MUC16xCD3 Program Costs Cap to $70.0 million by making a payment to the Company in the amount of $20.0 million.</w:t>
      </w:r>
    </w:p>
    <w:p>
      <w:pPr>
        <w:spacing w:after="0" w:line="23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Pursuant to the Amended IO Discovery Agreement, we are primarily responsible for conducting the IO Development Activities, other than certain clinical trials that may be funded separately by Sanofi, including antibody development, preclinical activities,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toxicology studies, manufacture of clinical supplies, filing of Investigational New Drug Applications (INDs), and clinical development through proof-of-concept. We are obligated to reimburse Sanofi for half of the development costs they funded that are attributable to clinical development of antibody product candidates under the IO Discovery Agreement from our share of future profits, if any, from commercialized IO Collaboration products to the extent they are sufficient for this purpose. As the scope of the IO Development Activities has been limited, the exclusivity obligations of the parties under the Amended IO Discovery Agreement have been narrowed.</w:t>
      </w:r>
    </w:p>
    <w:p>
      <w:pPr>
        <w:spacing w:after="0" w:line="23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With regard to the BCMAxCD3 Program and the MUC16xCD3 Program, when clinical proof-of-concept is established, the applicable Program Costs Cap is reached, or in certain other limited circumstances, Sanofi will have the option to license rights to the product candidate and other antibodies targeting the same targets for, with regard to BCMAxCD3, immuno-oncology indications, and with regard to MUC16xCD3, all indications, pursuant to the IO License and Collaboration Agreement, as amended. If Sanofi does not exercise its option to license rights to a product candidate, we will retain the exclusive right to develop and commercialize such product candidate and Sanofi will receive a royalty on sales. Pursuant to the Amended IO Discovery Agreement, the parties agreed that (i) if Sanofi exercises its option with respect to a BCMAxCD3 Program antibody, Sanofi will lead the development and global commercialization of such BCMAxCD3 Program antibody; and (ii) if Sanofi exercises its option with respect to a MUC16xCD3 Program antibody, (x) we will lead the development of such MUC16xCD3 Program antibody and commercialization of such MUC16xCD3 Program antibody within the United States and (y) Sanofi will lead the commercialization of such MUC16xCD3 Program antibody outside of the United States.</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Amended IO Discovery Agreement provides that Regeneron retains exclusive rights to all other immuno-oncology programs that were part of the 2015 IO Discovery Agreement, provided that Sanofi will receive a royalty on global sales of two product candidates currently in clinical development, REGN3767 and REGN4659. The Amended IO Discovery Agreement will terminate as of the earlier of (a) Sanofi having elected to exercise or not exercise its options with respect to the BCMAxCD3 Program and the MUC16xCD3 Program in accordance with the terms of the Amended IO Discovery Agreement and (b) December 31, 2022.</w:t>
      </w:r>
    </w:p>
    <w:p>
      <w:pPr>
        <w:spacing w:after="0" w:line="23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connection with the IO License and Collaboration Agreement, Sanofi made a $375.0 million non-refundable up-front payment to us. If Sanofi exercises its option to license rights to a BCMAxCD3 Program antibody or MUC16xCD3 Program antibody thereunder, it will co-develop these drug candidates with us through product approval under the terms of the IO License and Collaboration Agreement.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 Each party will have the right to co-promote licensed products in countries where it is not the lead commercialization party. The parties will share equally in profits and losses in connection with the commercialization of collaboration products. We are obligated to use commercially reasonable efforts to supply clinical requirements of each drug candidate under the IO License and Collaboration Agreement until commercial supplies of that immuno-oncology drug candidate are being manufactured.</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are also co-developing Libtayo (cemiplimab), an antibody targeting PD-1. We have principal control over the development of Libtayo, and the parties share equally, on an ongoing basis, agreed-upon development expenses for Libtayo. Under the Letter Agreement, we have agreed to allow Sanofi to satisfy in whole or in part its funding obligation with respect to Libtayo development costs for the quarterly periods commencing on October 1, 2017 and ending on September 30, 2020 by selling up to an aggregate of 800,000 shares (of which 477,641 currently remains available) of our Common Stock directly or indirectly owned by Sanofi.</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If Sanofi desires to sell shares of our Common Stock during the term of the Letter Agreement to satisfy a portion or all of its funding obligations for the Libtayo development and/or, as noted above,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23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With regard to Libtayo, we lead commercialization activities in the United States, while Sanofi will lead commercialization activities outside of the United States and the parties will equally share profits from worldwide sales. Sanofi has exercised its option to co-promote Libtayo in the United States. We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 with Bayer</w:t>
      </w:r>
    </w:p>
    <w:p>
      <w:pPr>
        <w:spacing w:after="0" w:line="279" w:lineRule="exact"/>
        <w:rPr>
          <w:sz w:val="20"/>
          <w:szCs w:val="20"/>
          <w:color w:val="auto"/>
        </w:rPr>
      </w:pPr>
    </w:p>
    <w:p>
      <w:pPr>
        <w:jc w:val="both"/>
        <w:ind w:firstLine="24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EYLEA outside the United States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2006, we and Bayer have been parties to a license and collaboration agreement for the global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w:t>
      </w:r>
    </w:p>
    <w:p>
      <w:pPr>
        <w:sectPr>
          <w:pgSz w:w="11900" w:h="16838" w:orient="portrait"/>
          <w:cols w:equalWidth="0" w:num="1">
            <w:col w:w="11420"/>
          </w:cols>
          <w:pgMar w:left="240" w:top="126"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6" w:right="239" w:bottom="1440" w:gutter="0" w:footer="0" w:header="0"/>
          <w:type w:val="continuous"/>
        </w:sectPr>
      </w:pPr>
    </w:p>
    <w:bookmarkStart w:id="32" w:name="page33"/>
    <w:bookmarkEnd w:id="3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a portion of our share of EYLEA profits outside the United States will continue to be used to reimburse Bayer for this repayment obligation.</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to EYLEA and are entitled to all profits from such sales.</w:t>
      </w:r>
    </w:p>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 with Teva</w:t>
      </w:r>
    </w:p>
    <w:p>
      <w:pPr>
        <w:spacing w:after="0" w:line="279"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Fasinumab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2016, we entered into a collaboration agreement with Teva to develop and commercialize fasinumab globally, excluding certain Asian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countries that are subject to our collaboration agreement with Mitsubishi Tanabe Pharma Corporation (MTPC). In connection with the agreement, Teva made a $250.0 million non-refundable up-front payment in 2016. We lead global development activities, and the parties will share equally, on an ongoing basis, development costs under a global development plan. As of March 31, 2019, we had earned an aggregate of $120.0 million of development milestones from Teva and we are entitled to receive up to an aggregate of $340.0 million in additional development milestones and up to an aggregate of $1,890.0 million in contingent payments upon achievement of specified annual net sales amounts. We are responsible for the manufacture and supply of fasinumab globally.</w:t>
      </w:r>
    </w:p>
    <w:p>
      <w:pPr>
        <w:spacing w:after="0" w:line="241"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 with Alnylam</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April 2019, we and Alnylam Pharmaceuticals, Inc. entered into a global, strategic collaboration to discover, develop, and commercialize RNA interference (RNAi) therapeutics for a broad range of diseases by addressing therapeutic disease targets expressed in the eye and central nervous system (CNS), in addition to a select number of targets expressed in the liver. The collaboration is governed by a Master Collaboration Agreement (the Master Agreement) (including the form of a License Agreement and a Co-Commercialization Collaboration Agreement). Under the terms of the Master Agreement, we are obligated to make an up-front payment of $400.0 million to Alnylam. For each program, we will provide Alnylam with a specified amount of funding at program initiation and at lead candidate designation, and Alnylam is eligible to receive up to $200.0 million in clinical proof-of-principle milestones for eye or CNS programs.</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INDs (or their equivalent in certain other countries) for programs in the eye and CNS.</w:t>
      </w:r>
    </w:p>
    <w:p>
      <w:pPr>
        <w:spacing w:after="0" w:line="24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At the stage of designation of a lead candidate for CNS programs and liver programs, the parties have alternating rights to be a lead party for collaboration products. At the stage of designation of a lead candidate for eye programs, we have the sole right to take the product forward as a licensee. The lead party is required to take the program forward under the License Agreement structure unless the other party exercises its rights to opt-in to a Co-Commercialization Collaboration Agreement, in which case the lead party is required to take the program forward under the Co-Commercialization Collaboration Agreement structure. Alnylam does not have rights to opt-in to a Co-Commercialization Collaboration Agreement for eye programs.</w:t>
      </w:r>
    </w:p>
    <w:p>
      <w:pPr>
        <w:spacing w:after="0" w:line="23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Under a License Agreement, the lead party is designated as the licensee and has the right to develop and commercialize the collaboration product under such program. The licensee will be responsible for its own costs and expenses incurred in connection with the development and commercialization of the collaboration products under the License Agreement. The licensee will pay to the licensor certain development and/or commercialization milestone payments totaling up to $150.0 million for each collaboration product. In addition, following the first commercial sale of the applicable collaboration product under a License Agreement, the licensee is required to make certain tiered royalty payments, ranging from low double-digits up to 20%, to the licensor based on the aggregate annual net sales of the collaboration product, subject to customary reductions.</w:t>
      </w:r>
    </w:p>
    <w:p>
      <w:pPr>
        <w:spacing w:after="0" w:line="24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CNS programs and liver programs, as soon as a party is designated as a lead party, the other company has rights to opt-in to a Co-Commercialization Collaboration Agreement as a participating party. Under a Co-Commercialization Collaboration Agreement, the party designated as the lead party has operational responsibility and final decision-making authority on development and commercialization of the program and the parties will split profits and share costs equally, subject to certain co-funding opt-outs at</w:t>
      </w:r>
    </w:p>
    <w:p>
      <w:pPr>
        <w:sectPr>
          <w:pgSz w:w="11900" w:h="16838" w:orient="portrait"/>
          <w:cols w:equalWidth="0" w:num="1">
            <w:col w:w="11420"/>
          </w:cols>
          <w:pgMar w:left="240" w:top="126"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6" w:right="239" w:bottom="1440" w:gutter="0" w:footer="0" w:header="0"/>
          <w:type w:val="continuous"/>
        </w:sectPr>
      </w:pPr>
    </w:p>
    <w:bookmarkStart w:id="33" w:name="page34"/>
    <w:bookmarkEnd w:id="3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specified clinical trial phases or under other conditions. If a party exercises its co-funding opt-out right, following the first commercial sale of the applicable collaboration product under a Co-Commercialization Collaboration Agreement, the lead party will be required to make certain tiered royalty payments, ranging from low double-digits up to 20%, to the other party based on the aggregate annual net sales of the collaboration product and the timing of the exercise of the co-funding opt-out right, subject to customary reductions. If the non-lead party does not initially opt-in to a Co-Commercialization Collaboration Agreement, the lead party has the right to take the program forward under a License Agreement structure.</w:t>
      </w:r>
    </w:p>
    <w:p>
      <w:pPr>
        <w:spacing w:after="0" w:line="23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Under the collaboration, when we are the licensee under a License Agreement or the lead party under a Co-Commercialization Collaboration Agreement, Alnylam will be responsible for the manufacture and supply of the product to us for Phase 1 and Phase 2 clinical trials.</w:t>
      </w:r>
    </w:p>
    <w:p>
      <w:pPr>
        <w:spacing w:after="0" w:line="21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connection with the collaboration, we and Alnylam also entered into a Stock Purchase Agreement. Pursuant to the terms of the Stock Purchase Agreement, we have agreed to purchase 4,444,445 shares of Alnylam common stock for aggregate cash consideration of approximately $400.0 million.</w:t>
      </w:r>
    </w:p>
    <w:p>
      <w:pPr>
        <w:spacing w:after="0" w:line="21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Within three months of the closing of the equity purchase described above, the parties plan to negotiate and enter into a Co-Commercialization Collaboration Agreement for a silencing RNA (siRNA) therapeutic targeting the C5 component of the human complement pathway being developed by Alnylam, with Alnylam as the lead party, and a License Agreement for a combination product consisting of such siRNA therapeutic and a fully human monoclonal antibody targeting C5 being developed by us, with us as the licensee. The C5 siRNA Co-Commercialization Collaboration Agreement would generally be consistent with the financial terms in the form of the existing Co-Commercialization Collaboration Agreement with Alnylam. The C5 siRNA License Agreement would contain a flat low double-digit royalty on net sales of the combination product only subject to customary reductions, and there could be up to $325.0 million in commercial milestones.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1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http://newsroom.regeneron.com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information contained on our websites and social media channels is not included as a part of, or incorporated by reference into, this report.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6" w:right="239"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 March 31, 2019 and 2018</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gridSpan w:val="10"/>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1,511.5</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(1,231.8)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585.4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478.0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tcPr>
          <w:p>
            <w:pPr>
              <w:spacing w:after="0"/>
              <w:rPr>
                <w:sz w:val="21"/>
                <w:szCs w:val="21"/>
                <w:color w:val="auto"/>
              </w:rPr>
            </w:pPr>
          </w:p>
        </w:tc>
        <w:tc>
          <w:tcPr>
            <w:tcW w:w="8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5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8"/>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3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6"/>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35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80" w:type="dxa"/>
            <w:vAlign w:val="bottom"/>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400" w:type="dxa"/>
            <w:vAlign w:val="bottom"/>
            <w:tcBorders>
              <w:bottom w:val="single" w:sz="8" w:color="CCEEFF"/>
            </w:tcBorders>
            <w:gridSpan w:val="2"/>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40" w:type="dxa"/>
            <w:vAlign w:val="bottom"/>
          </w:tcPr>
          <w:p>
            <w:pPr>
              <w:spacing w:after="0"/>
              <w:rPr>
                <w:sz w:val="21"/>
                <w:szCs w:val="21"/>
                <w:color w:val="auto"/>
              </w:rPr>
            </w:pPr>
          </w:p>
        </w:tc>
        <w:tc>
          <w:tcPr>
            <w:tcW w:w="3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 in the 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35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EYLEA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6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7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Pr>
          <w:p>
            <w:pPr>
              <w:spacing w:after="0"/>
              <w:rPr>
                <w:sz w:val="21"/>
                <w:szCs w:val="21"/>
                <w:color w:val="auto"/>
              </w:rPr>
            </w:pPr>
          </w:p>
        </w:tc>
        <w:tc>
          <w:tcPr>
            <w:tcW w:w="35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Libtayo</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35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ARCALYST</w:t>
            </w:r>
          </w:p>
        </w:tc>
        <w:tc>
          <w:tcPr>
            <w:tcW w:w="2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Pr>
          <w:p>
            <w:pPr>
              <w:spacing w:after="0"/>
              <w:rPr>
                <w:sz w:val="21"/>
                <w:szCs w:val="21"/>
                <w:color w:val="auto"/>
              </w:rPr>
            </w:pPr>
          </w:p>
        </w:tc>
        <w:tc>
          <w:tcPr>
            <w:tcW w:w="3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Sanofi and Bayer collaboration revenue:</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35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Sanofi</w:t>
            </w:r>
          </w:p>
        </w:tc>
        <w:tc>
          <w:tcPr>
            <w:tcW w:w="2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Pr>
          <w:p>
            <w:pPr>
              <w:spacing w:after="0"/>
              <w:rPr>
                <w:sz w:val="21"/>
                <w:szCs w:val="21"/>
                <w:color w:val="auto"/>
              </w:rPr>
            </w:pPr>
          </w:p>
        </w:tc>
        <w:tc>
          <w:tcPr>
            <w:tcW w:w="35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Bayer</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3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400" w:type="dxa"/>
            <w:vAlign w:val="bottom"/>
            <w:tcBorders>
              <w:bottom w:val="single" w:sz="8" w:color="CCEEFF"/>
            </w:tcBorders>
            <w:gridSpan w:val="2"/>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40" w:type="dxa"/>
            <w:vAlign w:val="bottom"/>
          </w:tcPr>
          <w:p>
            <w:pPr>
              <w:spacing w:after="0"/>
              <w:rPr>
                <w:sz w:val="22"/>
                <w:szCs w:val="22"/>
                <w:color w:val="auto"/>
              </w:rPr>
            </w:pPr>
          </w:p>
        </w:tc>
        <w:tc>
          <w:tcPr>
            <w:tcW w:w="3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62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1,511.5</w:t>
            </w:r>
          </w:p>
        </w:tc>
        <w:tc>
          <w:tcPr>
            <w:tcW w:w="78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2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product sales of EYLEA in the United States increased for the three months ended March 31, 2019, compared to the same period in 2018, due to higher sales volume, partly offset by an increase in sales-related deductions primarily due to higher discounts. There were no sales of Libtayo for the three months ended March 31, 2018 as the FDA approved Libtayo for the treatment of patients with metastatic or locally advanced CSCC on September 28, 2018.</w:t>
      </w:r>
    </w:p>
    <w:p>
      <w:pPr>
        <w:spacing w:after="0" w:line="23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Rebates,</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Chargebacks, and</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4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Discounts</w:t>
            </w: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r>
      <w:tr>
        <w:trPr>
          <w:trHeight w:val="243"/>
        </w:trPr>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97"/>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129.8</w:t>
            </w:r>
          </w:p>
        </w:tc>
      </w:tr>
      <w:tr>
        <w:trPr>
          <w:trHeight w:val="217"/>
        </w:trPr>
        <w:tc>
          <w:tcPr>
            <w:tcW w:w="3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w:t>
            </w:r>
          </w:p>
        </w:tc>
      </w:tr>
      <w:tr>
        <w:trPr>
          <w:trHeight w:val="243"/>
        </w:trPr>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2018</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p>
      <w:pPr>
        <w:spacing w:after="0" w:line="200" w:lineRule="exact"/>
        <w:rPr>
          <w:sz w:val="20"/>
          <w:szCs w:val="20"/>
          <w:color w:val="auto"/>
        </w:rPr>
      </w:pPr>
    </w:p>
    <w:p>
      <w:pPr>
        <w:spacing w:after="0" w:line="239" w:lineRule="exact"/>
        <w:rPr>
          <w:sz w:val="20"/>
          <w:szCs w:val="20"/>
          <w:color w:val="auto"/>
        </w:rPr>
      </w:pPr>
    </w:p>
    <w:tbl>
      <w:tblPr>
        <w:tblLayout w:type="fixed"/>
        <w:tblInd w:w="250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development expenses - License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Collaboration Agreement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Reimbursement of Regeneron commercialization-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expenses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5"/>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7"/>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Antibody</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Immuno-oncology: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development expenses - Discovery Agreement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development expenses - License and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Collaboration Agreement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5"/>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Reimbursement of Regeneron commercialization-</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expenses</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7"/>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Immuno-oncology</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281"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Reimbursement of Regeneron antibody commercialization-related expenses represents reimbursement of internal and external costs incurred by Regeneron in connection with commercializing Praluent, Kevzara, and Dupixent.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2019 and 2018, we and Sanofi shared commercial expenses related to Praluent, Kevzara, and Dupixent in accordance with the companies' License and Collaboration Agreement. As such, during the same periods in which we recorded reimbursements from Sanofi related to our commercialization expenses, we also recorded our share of combined losses in connection with the companies commercializing Praluent, Kevzara, and Dupixent within Sanofi collaboration revenue. During the three months ended March 31, 2019, Sanofi collaboration revenues in connection with commercialization of antibodies were primarily impacted, compared to the same period in 2018, by our share of higher net product sales of Dupixent, partly offset by an increase in the collaborations' Dupixent commercialization expenses. See "Marketed Products" section above for a summary of global net product sales recorded by Sanofi in connection with our Antibody License and Collaboration Agreement. Sanofi provides us with an estimate of our share of the losses from commercialization of antibodies for the most recent fiscal quarter; these estimates are reconciled to actual results in the subsequent fiscal quarter, and our portion of the profit or loss is adjusted accordingly, as necessary.</w:t>
      </w: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Sanofi antibody revenue in the table above primarily relates to manufacturing of commercial supplies.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2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Sanofi's reimbursement of immuno-oncology research and development costs under our IO Discovery Agreement decreased in the first three months of 2019, compared to the same period in 2018, due to the impact of the Amended IO Discovery Agreement (see "Collaboration Agreements - Collaborations with Sanofi" above). Reimbursement of Regeneron immuno-oncology commercialization-related expenses represents reimbursement of internal and external costs incurred by Regeneron in connection with commercializing Libtayo outside the United States. Other Sanofi immuno-oncology revenue primarily includes recognition of deferred revenue from up-front payments received in connection with the execution of the IO Collaboration agreements and the Amended IO Discovery Agreement, partly offset by our share of losses in connection with Sanofi's commercialization of Libtayo outside the United States.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p>
      <w:pPr>
        <w:spacing w:after="0" w:line="304"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commercialization of EYLEA outside the United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 of Regeneron development expenses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57"/>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Regeneron's net profit in connection with commercialization of EYLEA outside the United States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 outside the United States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624.0</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 from sales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of development expenses incurred by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Bayer in accordance with Regeneron's payment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5"/>
        </w:trPr>
        <w:tc>
          <w:tcPr>
            <w:tcW w:w="4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commercialization of EYLEA outside the United</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tcPr>
          <w:p>
            <w:pPr>
              <w:spacing w:after="0"/>
              <w:rPr>
                <w:sz w:val="18"/>
                <w:szCs w:val="18"/>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4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2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Bayer records revenue from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w:t>
      </w:r>
    </w:p>
    <w:p>
      <w:pPr>
        <w:sectPr>
          <w:pgSz w:w="11900" w:h="16838" w:orient="portrait"/>
          <w:cols w:equalWidth="0" w:num="1">
            <w:col w:w="11420"/>
          </w:cols>
          <w:pgMar w:left="240" w:top="126"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6" w:right="239" w:bottom="1440" w:gutter="0" w:footer="0" w:header="0"/>
          <w:type w:val="continuous"/>
        </w:sectPr>
      </w:pPr>
    </w:p>
    <w:bookmarkStart w:id="37" w:name="page38"/>
    <w:bookmarkEnd w:id="3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304"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Teva collaboration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development expenses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7"/>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Teva collaboration revenue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In addition to Teva collaboration revenue (which is earned in connection with the development of fasinumab), "Total other revenue" in the table above includes, but is not limited to:</w:t>
      </w:r>
    </w:p>
    <w:p>
      <w:pPr>
        <w:spacing w:after="0" w:line="81" w:lineRule="exact"/>
        <w:rPr>
          <w:sz w:val="20"/>
          <w:szCs w:val="20"/>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a portion of deferred revenue from up-front and other payments received from MTPC, including a portion related to the achievement of a $20.0 million development milestone in the third quarter of 2018, in connection with our fasinumab collaboration.</w:t>
      </w: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Sanofi's reimbursement for manufacturing commercial supplies of ZALTRAP and a percentage of aggregate net sales of ZALTRAP under the terms of the Amended ZALTRAP Agreement.</w:t>
      </w:r>
    </w:p>
    <w:p>
      <w:pPr>
        <w:jc w:val="both"/>
        <w:ind w:left="660" w:hanging="328"/>
        <w:spacing w:after="0" w:line="22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in connection with a June 2009 agreement with Novartis, under which we receive royalties on worldwide sales of Novartis' Ilaris</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(canakinumab). The royalty rates in the agreement start at 4% and reach 15% when annual sales exceed $1.5 billion, and we are entitled to royalties until Novartis ceases sale of products subject to royalty.</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in connection with our agreements with BARDA related to REGN-EB3 for the treatment of Ebola virus infection.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306"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headcount data)</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37"/>
        </w:trPr>
        <w:tc>
          <w:tcPr>
            <w:tcW w:w="3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headcount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average headcount in the first quarter of 2019, increased compared to the same period in 2018, principally in connection with expanding our manufacturing activities and, to a lesser extent, increased research and development activities and the launches of Dupixent for asthma and Libtayo for CSCC in the United States.</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Operating expenses in the first quarter of 2019 and 2018 included a total of $107.9 million and $82.4 million, respectively, of non-cash compensation expense related to employee stock options and restricted stock. Non-cash compensation expense recorded in the first quarter of 2018 benefited from a change in our estimate of the number of stock options that were expected to be forfeited.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(including pre-launch commercial supplies which were not capitalized as inventory) at our manufacturing facilities, as well as external drug filling, packaging, and labeling costs.</w:t>
      </w:r>
    </w:p>
    <w:p>
      <w:pPr>
        <w:spacing w:after="0" w:line="266"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7"/>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line="264" w:lineRule="exact"/>
              <w:rPr>
                <w:sz w:val="20"/>
                <w:szCs w:val="20"/>
                <w:color w:val="auto"/>
              </w:rPr>
            </w:pPr>
            <w:r>
              <w:rPr>
                <w:rFonts w:ascii="Times New Roman" w:cs="Times New Roman" w:eastAsia="Times New Roman" w:hAnsi="Times New Roman"/>
                <w:sz w:val="18"/>
                <w:szCs w:val="18"/>
                <w:b w:val="1"/>
                <w:bCs w:val="1"/>
                <w:color w:val="auto"/>
                <w:w w:val="99"/>
              </w:rPr>
              <w:t>2018</w:t>
            </w:r>
            <w:r>
              <w:rPr>
                <w:rFonts w:ascii="Times New Roman" w:cs="Times New Roman" w:eastAsia="Times New Roman" w:hAnsi="Times New Roman"/>
                <w:sz w:val="25"/>
                <w:szCs w:val="25"/>
                <w:b w:val="1"/>
                <w:bCs w:val="1"/>
                <w:color w:val="auto"/>
                <w:w w:val="99"/>
                <w:vertAlign w:val="superscript"/>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0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Direct research and development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Fasinumab</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Libtayo (cemiplimab)</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Dupixent (dupilumab)</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Praluent (alirocumab)</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5"/>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product candidates in clinical</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development and other research</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programs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060" w:type="dxa"/>
            <w:vAlign w:val="bottom"/>
            <w:shd w:val="clear" w:color="auto" w:fill="CCEEFF"/>
          </w:tcPr>
          <w:p>
            <w:pPr>
              <w:ind w:left="260"/>
              <w:spacing w:after="0" w:line="205" w:lineRule="exact"/>
              <w:rPr>
                <w:sz w:val="20"/>
                <w:szCs w:val="20"/>
                <w:color w:val="auto"/>
              </w:rPr>
            </w:pPr>
            <w:r>
              <w:rPr>
                <w:rFonts w:ascii="Times New Roman" w:cs="Times New Roman" w:eastAsia="Times New Roman" w:hAnsi="Times New Roman"/>
                <w:sz w:val="18"/>
                <w:szCs w:val="18"/>
                <w:color w:val="auto"/>
              </w:rPr>
              <w:t>Total direct research and</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060" w:type="dxa"/>
            <w:vAlign w:val="bottom"/>
            <w:tcBorders>
              <w:bottom w:val="single" w:sz="8" w:color="CCEEFF"/>
            </w:tcBorders>
            <w:shd w:val="clear" w:color="auto" w:fill="CCEEFF"/>
          </w:tcPr>
          <w:p>
            <w:pPr>
              <w:jc w:val="center"/>
              <w:ind w:right="510"/>
              <w:spacing w:after="0"/>
              <w:rPr>
                <w:sz w:val="20"/>
                <w:szCs w:val="20"/>
                <w:color w:val="auto"/>
              </w:rPr>
            </w:pPr>
            <w:r>
              <w:rPr>
                <w:rFonts w:ascii="Times New Roman" w:cs="Times New Roman" w:eastAsia="Times New Roman" w:hAnsi="Times New Roman"/>
                <w:sz w:val="18"/>
                <w:szCs w:val="18"/>
                <w:color w:val="auto"/>
                <w:w w:val="99"/>
              </w:rPr>
              <w:t>development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05"/>
        </w:trPr>
        <w:tc>
          <w:tcPr>
            <w:tcW w:w="30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Indirect research and development</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5"/>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 supplies, licensing, and other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5"/>
        </w:trPr>
        <w:tc>
          <w:tcPr>
            <w:tcW w:w="3060" w:type="dxa"/>
            <w:vAlign w:val="bottom"/>
          </w:tcPr>
          <w:p>
            <w:pPr>
              <w:jc w:val="center"/>
              <w:ind w:right="550"/>
              <w:spacing w:after="0" w:line="205" w:lineRule="exact"/>
              <w:rPr>
                <w:sz w:val="20"/>
                <w:szCs w:val="20"/>
                <w:color w:val="auto"/>
              </w:rPr>
            </w:pPr>
            <w:r>
              <w:rPr>
                <w:rFonts w:ascii="Times New Roman" w:cs="Times New Roman" w:eastAsia="Times New Roman" w:hAnsi="Times New Roman"/>
                <w:sz w:val="18"/>
                <w:szCs w:val="18"/>
                <w:color w:val="auto"/>
                <w:w w:val="98"/>
              </w:rPr>
              <w:t>Total indirect research and</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development expenses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0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 Certain prior year amounts have been reclassified to conform to the current year's presentation.</w:t>
      </w:r>
    </w:p>
    <w:p>
      <w:pPr>
        <w:spacing w:after="0" w:line="1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included non-cash compensation expense of $58.7 million and $40.8 million in the first quarter of 2019 and 2018, respectively.</w:t>
      </w:r>
    </w:p>
    <w:p>
      <w:pPr>
        <w:spacing w:after="0" w:line="216"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pharmaceutical product, potential opportunities and/or uncertainties related to future indications to be studied, and the estimated cost and scope of the projects.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in the first quarter of 2019, compared to the same period in 2018, primarily due to higher headcount and headcount-related costs, higher contributions to independent not-for-profit patient assistance organizations, and an increase in commercialization-related expenses for Dupixent. Selling, general, and administrative expenses also included non-cash compensation expense of $43.8 million and $35.0 million in the first quarter of 2019 and 2018, respectively.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Cost of goods sold includes period costs for our Limerick manufacturing facility, and, in the first quarter of 2019, Sanofi's share of gross profits in connection with our commercialization of Libtayo in the United States.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Cost of collaboration and contract manufacturing primarily includes costs we incur in connection with producing commercial drug supplies for Sanofi and Bayer. The increase in cost of collaboration and contract manufacturing for the three months ended March 31, 2019, compared to the same period in 2018, was primarily due to higher expenses in connection with process validation at our Limerick manufacturing facility, higher inventory write-offs and reserves, and the recognition of manufacturing costs associated with higher sales of Dupixent.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Other income (expense), net, increased in the first quarter of 2019, compared to the same period in 2018, primarily due to the recognition of unrealized gains on equity securities and increased interest income earned on available-for-sale debt securities, due to higher average investment balances and higher interest rates.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06"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effective tax rate)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Pr>
          <w:p>
            <w:pPr>
              <w:spacing w:after="0"/>
              <w:rPr>
                <w:sz w:val="21"/>
                <w:szCs w:val="21"/>
                <w:color w:val="auto"/>
              </w:rPr>
            </w:pPr>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2019 was positively impacted, compared to the U.S. federal statutory rate, primarily by the federal tax credit for research activities, stock-based compensation, the foreign-derived intangible income deduction, and income earned in foreign jurisdictions with tax rates lower than the U.S. federal statutory rate. Our effective tax rate for the three months ended March 31, 2018 was positively impacted, compared to the U.S. federal statutory rate, primarily by the foreign-derived intangible income deduction and the federal tax credit for research activities.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86"/>
        </w:trPr>
        <w:tc>
          <w:tcPr>
            <w:tcW w:w="5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8"/>
        </w:trPr>
        <w:tc>
          <w:tcPr>
            <w:tcW w:w="15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70"/>
        </w:trPr>
        <w:tc>
          <w:tcPr>
            <w:tcW w:w="1500" w:type="dxa"/>
            <w:vAlign w:val="bottom"/>
          </w:tcPr>
          <w:p>
            <w:pPr>
              <w:spacing w:after="0"/>
              <w:rPr>
                <w:sz w:val="23"/>
                <w:szCs w:val="23"/>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Pr>
          <w:p>
            <w:pPr>
              <w:spacing w:after="0"/>
              <w:rPr>
                <w:sz w:val="23"/>
                <w:szCs w:val="23"/>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7"/>
        </w:trPr>
        <w:tc>
          <w:tcPr>
            <w:tcW w:w="15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43"/>
        </w:trPr>
        <w:tc>
          <w:tcPr>
            <w:tcW w:w="150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r>
      <w:tr>
        <w:trPr>
          <w:trHeight w:val="27"/>
        </w:trPr>
        <w:tc>
          <w:tcPr>
            <w:tcW w:w="15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150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w:t>
            </w:r>
          </w:p>
        </w:tc>
      </w:tr>
      <w:tr>
        <w:trPr>
          <w:trHeight w:val="20"/>
        </w:trPr>
        <w:tc>
          <w:tcPr>
            <w:tcW w:w="150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5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5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37"/>
        </w:trPr>
        <w:tc>
          <w:tcPr>
            <w:tcW w:w="1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2019, we also had borrowing availability of $750.0 million under a revolving credit facility.</w:t>
      </w:r>
    </w:p>
    <w:p>
      <w:pPr>
        <w:sectPr>
          <w:pgSz w:w="11900" w:h="16838" w:orient="portrait"/>
          <w:cols w:equalWidth="0" w:num="1">
            <w:col w:w="11420"/>
          </w:cols>
          <w:pgMar w:left="240" w:top="126" w:right="239" w:bottom="873"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6" w:right="239" w:bottom="873" w:gutter="0" w:footer="0" w:header="0"/>
          <w:type w:val="continuous"/>
        </w:sectPr>
      </w:pPr>
    </w:p>
    <w:bookmarkStart w:id="40" w:name="page41"/>
    <w:bookmarkEnd w:id="4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described above in "Collaborations Agreements - Collaborations with Alnylam," in April 2019, we and Alnylam entered into a collaboration agreement, pursuant to which we are obligated to make an up-front payment of $400.0 million and purchase $400.0 million of Alnylam common stock (expected to occur in the second quarter of 2019).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Three Months Ended March 31, 2019 and 2018</w:t>
      </w:r>
    </w:p>
    <w:p>
      <w:pPr>
        <w:spacing w:after="0" w:line="200" w:lineRule="exact"/>
        <w:rPr>
          <w:sz w:val="20"/>
          <w:szCs w:val="20"/>
          <w:color w:val="auto"/>
        </w:rPr>
      </w:pPr>
    </w:p>
    <w:p>
      <w:pPr>
        <w:spacing w:after="0" w:line="241"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0"/>
                <w:szCs w:val="20"/>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7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Pr>
          <w:p>
            <w:pPr>
              <w:spacing w:after="0"/>
              <w:rPr>
                <w:sz w:val="23"/>
                <w:szCs w:val="23"/>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278.2</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106.5</w:t>
            </w:r>
          </w:p>
        </w:tc>
      </w:tr>
      <w:tr>
        <w:trPr>
          <w:trHeight w:val="27"/>
        </w:trPr>
        <w:tc>
          <w:tcPr>
            <w:tcW w:w="4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net income of $461.1 million in the first quarter of 2019 included $42.8 million related to unrealized gains (net) on equity securities (included in other non-cash items). Deferred revenue also increased in the first quarter of 2019 primarily due to the receipt of a $461.9 million payment from Sanofi in connection with the Amended IO Discovery Agreement (as described in "Collaboration Agreements - Collaborations with Sanofi," above).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Capital expenditures were $74.3 million and $79.4 million in the first quarter of 2019 and 2018, respectively. Capital expenditures in the first quarter of 2019 included costs in connection with renovations and additions at our Limerick, Ireland and Rensselaer, New York manufacturing facilities. We expect to incur capital expenditures of $410 million to $475 million for the full year of 2019 primarily in connection with expanding a portion of our manufacturing facilities at our Rensselaer, New York facility, continued renovations and expansion of our Limerick, Ireland facility, and laboratory expansion and renovations at our Tarrytown, New York facilities.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Funding of Certain Development Costs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described above in "Collaboration Agreements - Collaborations with Sanofi," effective January 7, 2018, we have agreed to allow Sanofi to satisfy in whole or in part its funding obligations with respect to Libtayo development and/or Dupilumab/REGN3500 Eligible Investments by selling up to an aggregate of 1,400,000 shares (of which 1,042,732 shares remain available to be sold as of March 31, 2019) of our Common Stock directly or indirectly owned by Sanofi. During the first quarter of 2019, Sanofi elected to sell, and we elected to purchase (by issuing a credit towards the amount owed by Sanofi), 106,972 shares of the Company's Common Stock to satisfy Sanofi's funding obligation related to Libtayo development costs. Consequently, we recorded $44.0 million related to the shares received as Treasury Stock during the first quarter of 2019. In addition, during the first quarter of 2019, Sanofi elected to sell, and we elected to purchase (in cash), 24,143 shares of the Company's Common Stock in connection with Sanofi's funding obligation for Dupilumab/REGN3500 Eligible Investments. Consequently, we recorded the cost of the shares received, or $10.0 million, as Treasury Stock during the first quarter of 2019.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A summary of our critical accounting policies and use of estimates are presented in Part II, Item 7. "Management's Discussion and Analysis of Financial Condition and Results of Operations" of our Annual Report on Form 10-K for the fiscal year ended December 31, 2018 (filed February 7, 2019). Except as described in Note 1 and Note 8 to our Condensed Consolidated Financial Statements included in this report related to the adoption of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were no material changes to our critical accounting policies and use of estimates during the three months ended March 31, 2019.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12 to our Condensed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2018 (filed February 7, 2019). There have been no material changes to our market risks or to our management of such risks as of March 31, 2019.</w:t>
      </w:r>
    </w:p>
    <w:p>
      <w:pPr>
        <w:sectPr>
          <w:pgSz w:w="11900" w:h="16838" w:orient="portrait"/>
          <w:cols w:equalWidth="0" w:num="1">
            <w:col w:w="11420"/>
          </w:cols>
          <w:pgMar w:left="240" w:top="126"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6" w:right="239" w:bottom="1440" w:gutter="0" w:footer="0" w:header="0"/>
          <w:type w:val="continuous"/>
        </w:sectPr>
      </w:pPr>
    </w:p>
    <w:bookmarkStart w:id="41" w:name="page42"/>
    <w:bookmarkEnd w:id="4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quarter ended March 31, 2019 that has materially affected, or is reasonably likely to materially affect, our internal control over financial reporting.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83"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11 to our Condensed Consolidated Financial Statements included in this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3"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Marketed Products, Product Candidates, and New Indications for Our Marketed Products</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EYLEA.</w:t>
      </w:r>
    </w:p>
    <w:p>
      <w:pPr>
        <w:spacing w:after="0" w:line="283"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EYLEA net sales represent a substantial portion of our revenues and this concentration of our net sales in a single product makes us substantially dependent on that product. For the three months ended March 31, 2019 and 2018, EYLEA net sales in the United States represented 63% and 65%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ind w:firstLine="23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213" w:lineRule="exact"/>
        <w:rPr>
          <w:sz w:val="20"/>
          <w:szCs w:val="20"/>
          <w:color w:val="auto"/>
        </w:rPr>
      </w:pPr>
    </w:p>
    <w:p>
      <w:pPr>
        <w:ind w:firstLine="230"/>
        <w:spacing w:after="0" w:line="282" w:lineRule="auto"/>
        <w:rPr>
          <w:sz w:val="20"/>
          <w:szCs w:val="20"/>
          <w:color w:val="auto"/>
        </w:rPr>
      </w:pPr>
      <w:r>
        <w:rPr>
          <w:rFonts w:ascii="Times New Roman" w:cs="Times New Roman" w:eastAsia="Times New Roman" w:hAnsi="Times New Roman"/>
          <w:sz w:val="18"/>
          <w:szCs w:val="18"/>
          <w:color w:val="auto"/>
        </w:rPr>
        <w:t>We expect that the continued commercial success of our marketed products (in particular, EYLEA, Dupixent, Praluent, Kevzara, and Libtayo) will depend on many factors, including the following (as applicable):</w:t>
      </w:r>
    </w:p>
    <w:p>
      <w:pPr>
        <w:spacing w:after="0" w:line="8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for, our marketed products by third-party payers, including Medicare and Medicaid in the United States and other government and private payers in the United States and foreign jurisdictions, as well as U.S. and foreign payer restrictions on eligible patient populations and the reimbursement process (including drug price control measures that may be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willingness of retinal specialists and patients to switch from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(ranibizumab) or off-label use of repackaged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(bevacizumab) to EYLEA or to start treatment with EYLEA and the emerging new competition for EYLEA (discussed further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commercial success of our products and product candidates is subject to strong competition - </w:t>
      </w:r>
      <w:r>
        <w:rPr>
          <w:rFonts w:ascii="Times New Roman" w:cs="Times New Roman" w:eastAsia="Times New Roman" w:hAnsi="Times New Roman"/>
          <w:sz w:val="18"/>
          <w:szCs w:val="18"/>
          <w:color w:val="auto"/>
        </w:rPr>
        <w:t>Marketed Products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EYLEA" below);</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 candidates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patent infringement proceedings relating to EYLEA, Dupixent, and Praluent (described further in Note 11 to our Condensed Consolidated Financial Statements included in this report), and other risks relating to our marketed products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ind w:left="660" w:right="2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prescribing practices.</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firstLine="12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229"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(such as EYLEA, Dupixent, Praluent, Kevzara, and Libtayo)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 time-consuming, and highly uncertain</w:t>
      </w:r>
      <w:r>
        <w:rPr>
          <w:rFonts w:ascii="Times New Roman" w:cs="Times New Roman" w:eastAsia="Times New Roman" w:hAnsi="Times New Roman"/>
          <w:sz w:val="18"/>
          <w:szCs w:val="18"/>
          <w:color w:val="auto"/>
        </w:rPr>
        <w:t xml:space="preserve">"), the applicable marketing approval may be withdrawn, 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 of governmental regulation in the manufacture of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Times New Roman" w:cs="Times New Roman" w:eastAsia="Times New Roman" w:hAnsi="Times New Roman"/>
          <w:sz w:val="18"/>
          <w:szCs w:val="18"/>
          <w:color w:val="auto"/>
        </w:rPr>
        <w:t>" below.</w:t>
      </w:r>
    </w:p>
    <w:p>
      <w:pPr>
        <w:spacing w:after="0" w:line="243"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reimbursement from third-party payers, and changes to such reimbursement may materially harm our business, prospects, operating results, and financial condition.</w:t>
      </w:r>
    </w:p>
    <w:p>
      <w:pPr>
        <w:spacing w:after="0" w:line="21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Sales of our marketed products (such as EYLEA, Dupixent, Praluent, Kevzara, and Libtayo) in the United States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our marketed products in other countries are dependent, in large part, on similar reimbursement mechanisms and programs in those countries.</w:t>
      </w:r>
    </w:p>
    <w:p>
      <w:pPr>
        <w:spacing w:after="0" w:line="234"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such third-party payers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40"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payers (such as Medicare and Medicaid in the United States) to reimburse the cost of our marketed products, we must, among other things, maintain our FDA registration and our National Drug Code, maintain formulary approval by pharmacy benefits managers, and maintain recognition by insurance companies and the Centers for Medicare &amp; Medicaid Services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23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8"/>
          <w:szCs w:val="18"/>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w:t>
      </w:r>
    </w:p>
    <w:p>
      <w:pPr>
        <w:spacing w:after="0" w:line="10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proposed federal and state legislation designed to, among other things, bring more transparency to drug pricing, review the relationship between pricing and manufacturer patient programs, reduce the out-of-pocket cost of prescription drugs, and reform government program reimbursement methodologies for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drugs. At the federal level, the current administration's budget proposal for fiscal year 2019 contained drug price control measures that have been subsequently rolled into the budget proposal for fiscal year 2020 and could be enacted during the 2020 budget process or in other future legislation, including, for example, measures to permit Medicare Part D plans to negotiate the price of certain drugs under Medicare Part B (such as EYLEA), to allow some states to negotiate drug prices under Medicaid, and to eliminate cost sharing for generic drugs for low-income patients. Additionally, on May 11, 2018, President Trump laid out his administration's "Blueprint to Lower Drug Prices and Reduce Out-of-Pocket Costs" to reduce the cost of prescription drugs while preserving innovation and cures. The Department of Health and Human Services has been soliciting feedback on some of these measures and may implement others impacting our business under its existing authority. CMS has also recently sought public comment on how best to leverage its authority provided under the Competitive Acquisition Program and introduce competition into Medicare Part B by allowing CMS to bring on vendors to negotiate payment amounts for Medicare Part B drugs. In addition, in August 2018, CMS issued new guidance that recognizes that Medicare Advantage (MA) plans may use step therapy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requiring the use of less costly medications before more costly medications are approved for coverage) for Part B drugs (such as EYLEA), beginning January 1, 2019, as part of a patient-centered care coordination program. CMS will also consider rulemaking related to step therapy that might be appropriate for 2020 and future years. On October 25, 2018, President Trump announced that CMS was evaluating a pilot program that proposes to set the Medicare payment amount for Part B single-source drugs and biologics to more closely align with international drug prices (also referred to as reference pricing) and pay physicians and hospitals participating in such program a set drug add-on payment for administered drugs. CMS also issued an advance notice of proposed rulemaking that requested public comment on the pilot program, which is proposed to initially cover fifty percent of Medicare Part B spending on separately payable Part B drugs (such as EYLEA). Congress and the U.S. administration have each indicated that they will continue to seek new legislative and/or administrative measures to control drug costs.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In some cases, these measures are designed to encourage importation from other countries and bulk purchasing. A reduction in the availability or extent of reimbursement from U.S. government programs (including based on the proposals and initiatives described above) could have a material adverse effect on the sales of EYLEA or our other marketed products. Economic pressure on state budgets may also have a similar impact.</w:t>
      </w:r>
    </w:p>
    <w:p>
      <w:pPr>
        <w:spacing w:after="0" w:line="108"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8"/>
          <w:szCs w:val="18"/>
          <w:color w:val="auto"/>
        </w:rPr>
        <w:t>In addition,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payer refuses to provide reimbursement for our products in a particular jurisdiction altogether, this could have a material adverse effect on our and our collaborators' ability to commercialize the applicable product.</w:t>
      </w:r>
    </w:p>
    <w:p>
      <w:pPr>
        <w:spacing w:after="0" w:line="242"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2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strong competition.</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27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There is significant actual and potential future competition for each of our marketed products.</w:t>
      </w:r>
    </w:p>
    <w:p>
      <w:pPr>
        <w:spacing w:after="0" w:line="236" w:lineRule="exact"/>
        <w:rPr>
          <w:sz w:val="20"/>
          <w:szCs w:val="20"/>
          <w:color w:val="auto"/>
        </w:rPr>
      </w:pPr>
    </w:p>
    <w:p>
      <w:pPr>
        <w:jc w:val="both"/>
        <w:ind w:firstLine="230"/>
        <w:spacing w:after="0" w:line="267" w:lineRule="auto"/>
        <w:rPr>
          <w:sz w:val="20"/>
          <w:szCs w:val="20"/>
          <w:color w:val="auto"/>
        </w:rPr>
      </w:pPr>
      <w:r>
        <w:rPr>
          <w:rFonts w:ascii="Times New Roman" w:cs="Times New Roman" w:eastAsia="Times New Roman" w:hAnsi="Times New Roman"/>
          <w:sz w:val="18"/>
          <w:szCs w:val="18"/>
          <w:i w:val="1"/>
          <w:iCs w:val="1"/>
          <w:color w:val="auto"/>
        </w:rPr>
        <w:t>EYLEA</w:t>
      </w:r>
      <w:r>
        <w:rPr>
          <w:rFonts w:ascii="Times New Roman" w:cs="Times New Roman" w:eastAsia="Times New Roman" w:hAnsi="Times New Roman"/>
          <w:sz w:val="18"/>
          <w:szCs w:val="18"/>
          <w:color w:val="auto"/>
        </w:rPr>
        <w:t>. The market for eye disease products is very competitive. For example, Novartis AG and Genentech/Roche are collaborating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commercialization and further development of a vascular endothelial growth factor (VEGF) antibody fragment, Lucentis, for the treatment of various eye indications. Lucentis is approved in one or more jurisdictions for the treatment of wet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6" w:right="239" w:bottom="1440" w:gutter="0" w:footer="0" w:header="0"/>
        </w:sectPr>
      </w:pPr>
    </w:p>
    <w:bookmarkStart w:id="45" w:name="page46"/>
    <w:bookmarkEnd w:id="4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AMD, macular edema following RVO (including CRVO and BRVO), DME, diabetic retinopathy, and mCNV. In addition, we are aware of several companies developing biosimilar versions of EYLEA. For example, Momenta Pharmaceuticals, Inc. (in partnership with Mylan N.V.) is developing M710 (currently in a pivotal trial in patients with DME). Competitors are also exploring the development of a biosimilar version of Lucentis; in particular, Formycon AG (in collaboration with Bioeq GmbH) is developing FYB201 (a Phase 3 trial in patients with wet AMD has been completed), Samsung Bioepis Co., Ltd. is developing SB11 (currently in a Phase 3 trial in patients with wet AMD), and Pfenex Inc. is developing PF582 (a Phase 1b/2a trial in patients with wet AMD has been completed).</w:t>
      </w:r>
    </w:p>
    <w:p>
      <w:pPr>
        <w:spacing w:after="0" w:line="255" w:lineRule="exact"/>
        <w:rPr>
          <w:sz w:val="20"/>
          <w:szCs w:val="20"/>
          <w:color w:val="auto"/>
        </w:rPr>
      </w:pPr>
    </w:p>
    <w:p>
      <w:pPr>
        <w:jc w:val="both"/>
        <w:ind w:firstLine="230"/>
        <w:spacing w:after="0" w:line="267" w:lineRule="auto"/>
        <w:rPr>
          <w:sz w:val="20"/>
          <w:szCs w:val="20"/>
          <w:color w:val="auto"/>
        </w:rPr>
      </w:pPr>
      <w:r>
        <w:rPr>
          <w:rFonts w:ascii="Times New Roman" w:cs="Times New Roman" w:eastAsia="Times New Roman" w:hAnsi="Times New Roman"/>
          <w:sz w:val="18"/>
          <w:szCs w:val="18"/>
          <w:color w:val="auto"/>
        </w:rPr>
        <w:t>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Novartis is developing RTH258 (brolucizumab), a humanized monoclonal single-chain FV (scFv) antibody fragment targeting VEGF-A for wet AMD and DME. Novartis announced in June 2017 that two Phase 3 studies of RTH258 met their primary endpoint of non-inferiority to EYLEA and has indicated that it is targeting approval in the United States in 2019. Allergan is developing abicipar pegol for wet AMD and related conditions and announced in April 2019 that it intends to submit abicipar pegol for FDA approval in wet AMD in the second quarter of 2019. Chengdu Kanghong Pharmaceutical Industry Group Co., Ltd. is conducting non-inferiority Phase 3 trials in the United States and Europe comparing conbercept, an anti-VEGF fusion protein, against EYLEA in wet AMD. Conbercept is approved in the wet AMD and myopic choroidal neovascularization indications in China. Genentech/Roche is developing a port delivery system implant for ranibizumab (currently in a Phase 3 study in patients with wet AMD). Kodiak Sciences Inc. is developing KSI-301, an anti-VEGF biologic therapy that is conjugated to a phosphorylcholine-based biopolymer to extend its half-life, for wet AMD, DME, and RVO. A Phase 1 study of KSI-301 in patients with DME met its primary safety and tolerability endpoint, and Kodiak has initiated a Phase 1b open label study in patients with wet AMD, DME, and RVO. In addition, companies are developing products (or combinations of products) to treat wet AMD that act by blocking VEGF and VEGF receptors, as well as other targets (for example, Ang2). Genentech/Roche is developing a bispecific antibody, faricimab (RG7716), that targets both VEGF and Ang2 for wet AMD and DME (currently in Phase 3 non-inferiority studies comparing RG7716 against EYLEA in DME and wet AMD). Products that are being developed for use in combination with EYLEA and/or Lucentis may also pose a competitive threat. Opthea Limited is developing OPT-302, a VEGFR-3 large molecule trap in combination with Lucentis in a Phase 2 trial for wet AMD. Santen Pharmaceuticals Co. Ltd. (in partnership with TRACON Pharmaceuticals, Inc.) is developing DE-122, an anti-endoglin antibody in combination with Lucentis in a Phase 2 trial for wet AMD. Small-molecule tyrosine kinase inhibitors that have activity against VEGF may also compete against EYLEA, if approved for wet AMD and/or related conditions. Graybug Vision, Inc. is developing GB-102, an intravitreally administered depot formulation of the small molecule tyrosine kinase inhibitor, sunitinib, and indicated that it intends to initiate a Phase 2b trial in wet AMD in 2019. Ocular Therapeutix, Inc. is developing OTX-TKI, a bioresorbable hydrogel formulated with tyrosine kinase inhibitor particles in an injectable fiber, for wet AMD and initiated a Phase 1 trial in February 2018. PanOptica, Inc. is developing PAN-90806, a topically administered tyrosine kinase inhibitor currently in a Phase 1/2 trial for wet AMD. Competitors are also developing other eye-drop formulations, devices, oral therapies, and gene/cell therapies (such as REGENXBIO Inc.'s RGX-314) for various indications that, if approved, would compete with EYLEA in one or more of its currently approved indications.</w:t>
      </w:r>
    </w:p>
    <w:p>
      <w:pPr>
        <w:spacing w:after="0" w:line="240" w:lineRule="exact"/>
        <w:rPr>
          <w:sz w:val="20"/>
          <w:szCs w:val="20"/>
          <w:color w:val="auto"/>
        </w:rPr>
      </w:pPr>
    </w:p>
    <w:p>
      <w:pPr>
        <w:jc w:val="both"/>
        <w:ind w:firstLine="230"/>
        <w:spacing w:after="0" w:line="214" w:lineRule="auto"/>
        <w:rPr>
          <w:sz w:val="20"/>
          <w:szCs w:val="20"/>
          <w:color w:val="auto"/>
        </w:rPr>
      </w:pPr>
      <w:r>
        <w:rPr>
          <w:rFonts w:ascii="Times New Roman" w:cs="Times New Roman" w:eastAsia="Times New Roman" w:hAnsi="Times New Roman"/>
          <w:sz w:val="18"/>
          <w:szCs w:val="18"/>
          <w:color w:val="auto"/>
        </w:rPr>
        <w:t>Other competitive or potentially competitive products include Allergan plc's Ozurdex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(dexamethasone intravitreal implant) (approved by the FDA for the treatment of macular edema following RVO and for the treatment of DME) and Alimera Sciences Inc.'s Iluvien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(fluocinolone acetonide intravitreal implant) (approved by the FDA for the treatment of DME in patients who have been previously treated with a course of corticosteroids and did not have a clinically significant rise in intraocular pressure), both of which are intravitreal implants of corticosteroids.</w:t>
      </w:r>
    </w:p>
    <w:p>
      <w:pPr>
        <w:spacing w:after="0" w:line="25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In addition, ophthalmologists are using off-label, third-party repackaged versions of Genentech/Roche's approved VEGF antagonist, bevacizumab, for the treatment of wet AMD, DME, and RVO. The relatively low cost of therapy with repackaged bevacizumab presents a significant competitive challenge for EYLEA in these indications. Bevacizumab is also being evaluated in eye diseases in clinical trials in certain countries. Amgen Inc. (in collaboration with Allergan) has obtained regulatory approval of a biosimilar version of Avastin in the United States and the EU, and other competitors are also developing a biosimilar version of Avastin. Off-label use of any such biosimilar in one or more of the eye indications for which EYLEA is approved may put further pressure on the commercialization of EYLEA. Additionally, Outlook Therapeutics, Inc. is enrolling patients in Phase 3 trials in wet AMD for ONS-5010, a proprietary ophthalmic formulation of bevacizumab. The potential FDA approval of an ophthalmic formulation of bevacizumab may also affect market dynamics for EYLEA in the United States.</w:t>
      </w:r>
    </w:p>
    <w:p>
      <w:pPr>
        <w:spacing w:after="0" w:line="23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Finally, ZALTRAP has not been manufactured and formulated for use in intravitreal injections, and there is a risk that third parties may attempt to repackage ZALTRAP for off-label use and sale for the treatment of diseases of the eye, which would present a potential low-cost competitive threat to EYLEA for its approved indications. We are aware of claims by third parties, including those based on published clinical data, alleging that ZALTRAP may be safely administered to the eye.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6" w:right="239"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p>
      <w:pPr>
        <w:jc w:val="both"/>
        <w:ind w:firstLine="216"/>
        <w:spacing w:after="0" w:line="244"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competitive. In atopic dermatitis, Pfizer Inc.'s Eucrisa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(crisaborole),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topical ointment, competes with Dupixent and there are several other topical agents in development. In addition, a number of companies are developing antibodies against IL-13 for the treatment of atopic dermatitis, including LEO Pharma A/S (in collaboration with AstraZeneca PLC) with tralokinumab (currently in several Phase 3 trials) and Dermira, Inc. (in collaboration with Genentech/Roche) with lebrikizumab (Phase 2b trial completed). Antibodies targeting OX40 are also in development for atopic dermatitis, with Glenmark Pharmaceuticals Ltd. and Kyowa Hakko Kirin Co., Ltd. conducting Phase 2 trials of their respective programs (GBR-830 and KHK4083). Galderma S.A. has completed a Phase 2b trial of nemolizumab, an antibody against IL-31R. XBiotech Inc. has completed a Phase 2 trial of bermekimab, an anti-IL-1alpha antibody. Novartis, in partnership with MorphoSys, AG, has a Phase 2 trial in atopic dermatitis underway for MOR-106, an anti-IL-17C antibody. Kiniksa Pharmaceuticals, Ltd. has completed Phase 1 trials in atopic dermatitis for KPL-716, an antibody against the oncostatin M receptor beta. Orally administered small molecules are also being developed for atopic dermatitis, and, if approved, may compete with Dupixent in atopic dermatitis and other potential future indications. Several companies are studying JAK inhibitors for atopic dermatitis, including AbbVie Inc.'s upadacitinib, Pfizer's abrocitinib (PF-04965842), Eli Lilly and Company's baricitinib (reported in February 2019 to have met the primary endpoints of two atopic dermatitis Phase 3 studies), and Asana BioSciences, LLC's ASN002.</w:t>
      </w:r>
    </w:p>
    <w:p>
      <w:pPr>
        <w:spacing w:after="0" w:line="258" w:lineRule="exact"/>
        <w:rPr>
          <w:sz w:val="20"/>
          <w:szCs w:val="20"/>
          <w:color w:val="auto"/>
        </w:rPr>
      </w:pPr>
    </w:p>
    <w:p>
      <w:pPr>
        <w:jc w:val="both"/>
        <w:ind w:firstLine="216"/>
        <w:spacing w:after="0" w:line="228" w:lineRule="auto"/>
        <w:rPr>
          <w:sz w:val="20"/>
          <w:szCs w:val="20"/>
          <w:color w:val="auto"/>
        </w:rPr>
      </w:pPr>
      <w:r>
        <w:rPr>
          <w:rFonts w:ascii="Times New Roman" w:cs="Times New Roman" w:eastAsia="Times New Roman" w:hAnsi="Times New Roman"/>
          <w:sz w:val="18"/>
          <w:szCs w:val="18"/>
          <w:color w:val="auto"/>
        </w:rPr>
        <w:t>In asthma and potential future indications, competitors to Dupixent include antibodies against the IL-5 ligand or the IL-5 receptor such as GlaxoSmithKline plc's Nucala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(mepolizumab), AstraZeneca's Fasenra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(benralizumab), and Teva's Cinqair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(reslizumab), all of which are approved for asthma in the United States and other jurisdictions. Novartis and Genentech/Roche's Xolair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(omalizumab) is also approved for asthma in multiple jurisdictions. Orally administered small molecule agents may also compete with Dupixent in asthma and potential future indications. For example, Novartis is developing fevipiprant, an oral prostaglandin D2 receptor 2 (CRTh2/DP2) antagonist, in multiple Phase 3 trials for asthma. Inhaled products may also compete with Dupixent in asthma and potential future indications, including Pieris Pharmaceuticals, Inc.'s PRS-060 (an anticalin being developed in partnership with AstraZeneca against IL-4R) and Novartis' CSJ117 (an antibody fragment against thymic stromal lymphopoietin).</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8"/>
          <w:szCs w:val="18"/>
          <w:color w:val="auto"/>
        </w:rPr>
        <w:t>There are several other potentially competitive products in development that may compete with Dupixent in both the atopic dermatitis and asthma indications, as well as potential future indications. For example, Amgen/AstraZeneca's tezepelumab, an antibody against thymic stromal lymphopoietin, or TSLP, is currently in Phase 3 development for asthma and Phase 2 trials in atopic dermatitis have been completed. Antibodies against the IL-33 ligand or the IL-33 receptor (ST2) may also be competitive with Dupixent across multiple indications. Phase 2 trials are ongoing in atopic dermatitis and asthma for etiokimab (ANB-020), an antibody against IL-33 developed by AnaptysBio, Inc. Genentech/Roche is developing RG6149, an anti-ST2 antibody, in Phase 2 trials for asthma and atopic dermatitis. GlaxoSmithKline plc (GSK) is developing GSK3772847, an anti-ST2 antibody, in a Phase 2 trial for asthma, and completed a Phase 1 trial that included atopic dermatitis patients.</w:t>
      </w:r>
    </w:p>
    <w:p>
      <w:pPr>
        <w:spacing w:after="0" w:line="241"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8"/>
          <w:szCs w:val="18"/>
          <w:i w:val="1"/>
          <w:iCs w:val="1"/>
          <w:color w:val="auto"/>
        </w:rPr>
        <w:t>Praluent</w:t>
      </w:r>
      <w:r>
        <w:rPr>
          <w:rFonts w:ascii="Times New Roman" w:cs="Times New Roman" w:eastAsia="Times New Roman" w:hAnsi="Times New Roman"/>
          <w:sz w:val="18"/>
          <w:szCs w:val="18"/>
          <w:color w:val="auto"/>
        </w:rPr>
        <w:t>. Amgen's Repatha has received regulatory approvals in jurisdictions including the U.S., the EU, and Japan, and has captured a significant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in certain jurisdictions. Repatha also received regulatory approval for cardiovascular risk reduction before Praluent in certain jurisdictions, including the U.S. Other companies with development programs for injectables against PCSK9 include Alnylam Pharmaceuticals, Inc. (in collaboration with The Medicines Company), which has Phase 3 trials underway with inclisiran,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These include bempedoic acid, which is being developed by Esperion Therapeutics, Inc. (submitted for regulatory review in the U.S. and EU).</w:t>
      </w:r>
    </w:p>
    <w:p>
      <w:pPr>
        <w:spacing w:after="0" w:line="237" w:lineRule="exact"/>
        <w:rPr>
          <w:sz w:val="20"/>
          <w:szCs w:val="20"/>
          <w:color w:val="auto"/>
        </w:rPr>
      </w:pPr>
    </w:p>
    <w:p>
      <w:pPr>
        <w:jc w:val="both"/>
        <w:ind w:firstLine="162"/>
        <w:spacing w:after="0" w:line="220" w:lineRule="auto"/>
        <w:rPr>
          <w:sz w:val="20"/>
          <w:szCs w:val="20"/>
          <w:color w:val="auto"/>
        </w:rPr>
      </w:pPr>
      <w:r>
        <w:rPr>
          <w:rFonts w:ascii="Times New Roman" w:cs="Times New Roman" w:eastAsia="Times New Roman" w:hAnsi="Times New Roman"/>
          <w:sz w:val="18"/>
          <w:szCs w:val="18"/>
          <w:i w:val="1"/>
          <w:iCs w:val="1"/>
          <w:color w:val="auto"/>
        </w:rPr>
        <w:t>Kevzara</w:t>
      </w:r>
      <w:r>
        <w:rPr>
          <w:rFonts w:ascii="Times New Roman" w:cs="Times New Roman" w:eastAsia="Times New Roman" w:hAnsi="Times New Roman"/>
          <w:sz w:val="18"/>
          <w:szCs w:val="18"/>
          <w:color w:val="auto"/>
        </w:rPr>
        <w:t>. Genentech/Roche and Chugai Pharmaceutical Co., Ltd. are marketing an antibody against IL-6R (Actemra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(tocilizumab)) for the treatment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rheumatoid arthritis that competes with Kevzara. In addition, several other companies, including R-Pharm JSC and BIOCAD, have antibodies against IL-6 or IL-6R in clinical development for rheumatoid arthritis. Biosimilar versions of Actemra may also compete with Kevzara, such as Mycenax Biotech Inc.'s LuciNex (a Phase 1 trial has been completed). Further, oral, small-molecule JAK inhibitors such as Pfizer's Xeljanz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101"/>
        </w:rPr>
        <w:t>(tofacitinib)</w:t>
      </w:r>
      <w:r>
        <w:rPr>
          <w:rFonts w:ascii="Times New Roman" w:cs="Times New Roman" w:eastAsia="Times New Roman" w:hAnsi="Times New Roman"/>
          <w:sz w:val="18"/>
          <w:szCs w:val="18"/>
          <w:color w:val="auto"/>
        </w:rPr>
        <w:t>, Eli Lilly's Olumiant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101"/>
        </w:rPr>
        <w:t>(baricitinib)</w:t>
      </w:r>
      <w:r>
        <w:rPr>
          <w:rFonts w:ascii="Times New Roman" w:cs="Times New Roman" w:eastAsia="Times New Roman" w:hAnsi="Times New Roman"/>
          <w:sz w:val="18"/>
          <w:szCs w:val="18"/>
          <w:color w:val="000000"/>
        </w:rPr>
        <w:t>, Gilead Sciences, Inc.'s filgotinib, Astellas Pharma Inc.'s peficitinib, and AbbVie's upadacitinib pose a competitive threat for Kevzara.</w:t>
      </w:r>
    </w:p>
    <w:p>
      <w:pPr>
        <w:spacing w:after="0" w:line="254" w:lineRule="exact"/>
        <w:rPr>
          <w:sz w:val="20"/>
          <w:szCs w:val="20"/>
          <w:color w:val="auto"/>
        </w:rPr>
      </w:pPr>
    </w:p>
    <w:p>
      <w:pPr>
        <w:jc w:val="both"/>
        <w:ind w:firstLine="162"/>
        <w:spacing w:after="0" w:line="214" w:lineRule="auto"/>
        <w:rPr>
          <w:sz w:val="20"/>
          <w:szCs w:val="20"/>
          <w:color w:val="auto"/>
        </w:rPr>
      </w:pPr>
      <w:r>
        <w:rPr>
          <w:rFonts w:ascii="Times New Roman" w:cs="Times New Roman" w:eastAsia="Times New Roman" w:hAnsi="Times New Roman"/>
          <w:sz w:val="18"/>
          <w:szCs w:val="18"/>
          <w:i w:val="1"/>
          <w:iCs w:val="1"/>
          <w:color w:val="auto"/>
        </w:rPr>
        <w:t>Libtayo</w:t>
      </w:r>
      <w:r>
        <w:rPr>
          <w:rFonts w:ascii="Times New Roman" w:cs="Times New Roman" w:eastAsia="Times New Roman" w:hAnsi="Times New Roman"/>
          <w:sz w:val="18"/>
          <w:szCs w:val="18"/>
          <w:color w:val="auto"/>
        </w:rPr>
        <w:t>. There are several competitors that are marketing or developing antibodies against PD-1 and/or PDL-1, including Bristol-Myers Squibb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Opdivo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(nivolumab), Merck &amp; Co., Inc.'s Keytruda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(pembrolizumab), Roche's Tecentriq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(atezolizumab), AstraZeneca's Imfinzi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(durvalumab), Merck KGaA/Pfizer's Bavencio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(avelumab), Novartis' spartalizumab (PDR001), Celgene Corporation/BeiGene Ltd.'s tislelizumab (BGB-A317), GSK's dostarlimab (TSR-042), Agenus Inc.'s AGEN2034, and Incyte Corporation's INCMGA0012.</w:t>
      </w:r>
    </w:p>
    <w:p>
      <w:pPr>
        <w:spacing w:after="0" w:line="2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277" w:lineRule="exact"/>
        <w:rPr>
          <w:sz w:val="20"/>
          <w:szCs w:val="20"/>
          <w:color w:val="auto"/>
        </w:rPr>
      </w:pPr>
    </w:p>
    <w:p>
      <w:pPr>
        <w:jc w:val="both"/>
        <w:ind w:firstLine="230"/>
        <w:spacing w:after="0" w:line="267" w:lineRule="auto"/>
        <w:rPr>
          <w:sz w:val="20"/>
          <w:szCs w:val="20"/>
          <w:color w:val="auto"/>
        </w:rPr>
      </w:pPr>
      <w:r>
        <w:rPr>
          <w:rFonts w:ascii="Times New Roman" w:cs="Times New Roman" w:eastAsia="Times New Roman" w:hAnsi="Times New Roman"/>
          <w:sz w:val="18"/>
          <w:szCs w:val="18"/>
          <w:color w:val="auto"/>
        </w:rPr>
        <w:t xml:space="preserve">Our other late-stage and earlier-stage clinical candidates in development are all fully human antibodies, which were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Our antibody generation technologies and other late-stage and earlier-stage clinical candidates face competition from many pharmaceutical and biotechnology companies using various technologies.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We are aware of several pharmaceutical and biotechnology companies actively engaged in the research and development of antibody-based products against targets that are also the targets of our early- and late-stage product candidates. For example, Pfizer (in collaboration with Eli Lilly) is developing an antibody-based product candidate against NGF. Competitors to evinacumab include Ionis Pharmaceuticals, Inc./Akcea Therapeutics, Inc.'s AKCEA-ANGPTL3-LRx, a ligand conjugated antisense drug against ANGPTL3, and Arrowhead Pharmaceuticals, Inc.'s ARO-ANG3, an RNAi therapeutic against ANGPTL3. We are also aware of several companies developing or marketing small molecules that may compete with our antibody-based product candidates in various indications, if such product candidates obtain regulatory approval in those indications.</w:t>
      </w:r>
    </w:p>
    <w:p>
      <w:pPr>
        <w:spacing w:after="0" w:line="242"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EYLEA and Dupixent, Praluent, Kevzara, and Libtayo, respectively.</w:t>
      </w:r>
    </w:p>
    <w:p>
      <w:pPr>
        <w:spacing w:after="0" w:line="283"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in countries outside the United States.</w:t>
      </w:r>
    </w:p>
    <w:p>
      <w:pPr>
        <w:spacing w:after="0" w:line="238"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In addition, while we have elected to co-promote Dupixent, Praluent, and Kevzara with Sanofi in the United States in accordance with the terms of our Antibody Collaboration, we continue to rely in part on Sanofi's sales and marketing organization in the United States for such products. Moreover, even though we lead commercialization efforts for Libtayo in the United States, Sanofi has exercised its option to co-promote Libtayo in the United States in accordance with the terms of our IO Collaboration. If we and Sanofi fail to coordinate our United States sales and marketing efforts effectively, sales of Dupixent, Praluent, Kevzara, or Libtayo (as applicable) may be materially affected. Sanofi also maintains other important responsibilities relating to Dupixent, Praluent, and Kevzara in the United States. For example, Sanofi records product sales for Dupixent, Praluent, and Kevzara in the United States, serves as the lead regulatory party for certain products and product candidates included in the Antibody Collaboration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is responsible for regulatory filings and negotiations relating to such products and product candidates) in the United States, and may lead negotiations with payors relating to such products and product candidates. We also rely on Sanofi for sales, marketing, and distribution of Dupixent, Praluent, Kevzara, and (in the future) Libtayo in countries outside the United States.</w:t>
      </w:r>
    </w:p>
    <w:p>
      <w:pPr>
        <w:spacing w:after="0" w:line="240"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Times New Roman" w:cs="Times New Roman" w:eastAsia="Times New Roman" w:hAnsi="Times New Roman"/>
          <w:sz w:val="18"/>
          <w:szCs w:val="18"/>
          <w:i w:val="1"/>
          <w:iCs w:val="1"/>
          <w:color w:val="auto"/>
        </w:rPr>
        <w:t>If our collaboration with Bayer for EYLEA is terminated, or Bayer materially breaches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Times New Roman" w:cs="Times New Roman" w:eastAsia="Times New Roman" w:hAnsi="Times New Roman"/>
          <w:sz w:val="18"/>
          <w:szCs w:val="18"/>
          <w:color w:val="auto"/>
        </w:rPr>
        <w:t>" below and "Risks Related to Our Reliance on Third Parties -</w:t>
      </w:r>
      <w:r>
        <w:rPr>
          <w:rFonts w:ascii="Times New Roman" w:cs="Times New Roman" w:eastAsia="Times New Roman" w:hAnsi="Times New Roman"/>
          <w:sz w:val="18"/>
          <w:szCs w:val="18"/>
          <w:i w:val="1"/>
          <w:iCs w:val="1"/>
          <w:color w:val="auto"/>
        </w:rPr>
        <w:t xml:space="preserve"> 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r>
        <w:rPr>
          <w:rFonts w:ascii="Times New Roman" w:cs="Times New Roman" w:eastAsia="Times New Roman" w:hAnsi="Times New Roman"/>
          <w:sz w:val="18"/>
          <w:szCs w:val="18"/>
          <w:color w:val="auto"/>
        </w:rPr>
        <w:t>" below.</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213"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246"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21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30"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212"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13"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We sell EYLEA and Libtayo in the United States to several distributors and specialty pharmacies. Under this distribution model, the distributors and specialty pharmacies generally take physical delivery of product and generally sell the product directly to healthcare providers. For the three months ended March 31, 2019, product sales to two customers accounted on a combined basis for 90% of our total gross product revenue. We expect this significant customer concentration to continue for the foreseeable future. Our ability to generate and grow sales of EYLEA and Libtayo will depend, in part, on the extent to which our distributors and specialty pharmacies are able to provide adequate distribution of EYLEA and Libtayo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13"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38"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0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If we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w:t>
      </w:r>
    </w:p>
    <w:p>
      <w:pPr>
        <w:spacing w:after="0" w:line="283"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12"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103"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Standard review can be accomplished 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2"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additional information, see "Risks Related to Manufacturing and Supply - </w:t>
      </w:r>
      <w:r>
        <w:rPr>
          <w:rFonts w:ascii="Times New Roman" w:cs="Times New Roman" w:eastAsia="Times New Roman" w:hAnsi="Times New Roman"/>
          <w:sz w:val="18"/>
          <w:szCs w:val="18"/>
          <w:i w:val="1"/>
          <w:iCs w:val="1"/>
          <w:color w:val="auto"/>
        </w:rPr>
        <w:t>Our or our collaborators' failure to meet the stringent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Times New Roman" w:cs="Times New Roman" w:eastAsia="Times New Roman" w:hAnsi="Times New Roman"/>
          <w:sz w:val="18"/>
          <w:szCs w:val="18"/>
          <w:color w:val="auto"/>
        </w:rPr>
        <w:t>" Our business, prospects, operating results, and financial condition may be materially harmed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noncompliance with the requirements and regulations described in this paragraph.</w:t>
      </w:r>
    </w:p>
    <w:p>
      <w:pPr>
        <w:spacing w:after="0" w:line="24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35"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candidate (or prior or concurrent exposure to other products or product candidates),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42"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34"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28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239"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DMCs based on their review of such interim trial results. For example, in April 2018, the DMC monitoring the ongoing safety and efficacy of our Phase 3 clinical trials of fasinumab recommended that the higher dose-regimens be discontinued based on the risk-benefit assessment and that the program may continue with lower dose-regimens of fasinumab. As a result, the ongoing osteoarthritis trials have been modified accordingly and we discontinued dosing patients in the clinical study of fasinumab in chronic low back pain in patients with concomitant osteoarthritis of the knee and hip since this study was using only higher doses. The recommended termination or material modification of any of our ongoing late-stage clinical trials by a DMC could negatively impact the future development of our product candidate(s), and our business, prospects, operating results, and financial condition may be materially harmed.</w:t>
      </w:r>
    </w:p>
    <w:p>
      <w:pPr>
        <w:spacing w:after="0" w:line="240"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right="20"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229"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40"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With respect to EYLEA, there are many potential safety concerns associated with significant blockade of VEGF that may limit our ability to further successfully develop and/or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For example, in February 2018, we issued a letter to healthcare professionals providing updated guidance relating to reports of IOI following EYLEA injections. In this letter, we noted that while our review did not identify any association of IOI rates with the EYLEA drug itself, an association was seen with certain batches of the syringe that were included in specific lots of final packaged EYLEA kits. These and other complications or issues or side effects could harm further development and/or commercialization of EYLEA.</w:t>
      </w:r>
    </w:p>
    <w:p>
      <w:pPr>
        <w:spacing w:after="0" w:line="245"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Dupixent is being studied in additional indications, including atopic dermatitis in pediatric patients, CRSwNP, and eosinophilic esophagitis. There is no guarantee that marketing approval of Dupixent in any of these indications will be successfully obtained. The side effects previously reported for Dupixent include hypersensitivity reactions, conjunctivitis and keratitis, injection-site reactions, eye and eyelid inflammation, cold sores, oropharyngeal pain, and eosinophilia. These and other complications or side effects could harm further development and/or commercialization of Dupixent.</w:t>
      </w:r>
    </w:p>
    <w:p>
      <w:pPr>
        <w:spacing w:after="0" w:line="234"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Libtayo is also being studied in additional indications, as shown in the table under Part I, Item 2. "Management's Discussion and Analysis of Financial Condition and Results of Operations - Programs in Clinical Development." There is no guarantee that marketing approval of Libtayo in any of these indications will be successfully obtained.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w:t>
      </w:r>
    </w:p>
    <w:p>
      <w:pPr>
        <w:spacing w:after="0" w:line="238"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including Dupixent, Praluent, and Kevzara),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 including Dupixent, Praluent, or Kevzara.</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13"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38"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and other risks.</w:t>
      </w:r>
    </w:p>
    <w:p>
      <w:pPr>
        <w:spacing w:after="0" w:line="213"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Many of our products (including Dupixent, Praluent, and Kevzara) are used and some of our products (including EYLEA) and product candidates may be used, if approved, in combination with a drug-delivery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is not a well-established area,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51"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213"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is the subject of opposition proceedings in the European Patent Office (EPO) (currently pending before its Boards of Appeal), as described in Note 11 to our Condensed Consolidated Financial Statements included in this report. We have pending patent applications in the United States Patent and Trademark Office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95"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13"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242"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and/or our collaborator Sanofi are currently party to patent infringement proceedings initiated by Amgen against us and Sanofi relating to Praluent and patent infringement proceedings relating to Dupixent, as described in Note 11 to our Condensed Consolidated Financial Statements. In addition, we are currently party to patent infringement proceedings initiated by us relating to our patents that concern genetically altered mice capable of producing chimeric antibodies that are part human and part mouse, as described in Note 11 to our Condensed Consolidated Financial Statements.</w:t>
      </w:r>
    </w:p>
    <w:p>
      <w:pPr>
        <w:spacing w:after="0" w:line="238"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Praluent (alirocumab), Kevzara (sarilumab), and Libtayo (cemiplimab), our late-stage antibody-based pipeline includes fasinumab, an antibody to NGF, and evinacumab, an antibody to ANGPTL3.</w:t>
      </w:r>
    </w:p>
    <w:p>
      <w:pPr>
        <w:spacing w:after="0" w:line="238"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43"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34"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13"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0"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24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243"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16"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As discussed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strong competition</w:t>
      </w:r>
      <w:r>
        <w:rPr>
          <w:rFonts w:ascii="Times New Roman" w:cs="Times New Roman" w:eastAsia="Times New Roman" w:hAnsi="Times New Roman"/>
          <w:sz w:val="18"/>
          <w:szCs w:val="18"/>
          <w:color w:val="auto"/>
        </w:rPr>
        <w:t>" above, there are several companies developing biosimilar versions of EYLEA. The loss of market exclusivity for a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EYLEA) would likely materially and negatively affect revenues from product sales of that product and thus our financial results and condition.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279" w:lineRule="exact"/>
        <w:rPr>
          <w:sz w:val="20"/>
          <w:szCs w:val="20"/>
          <w:color w:val="auto"/>
        </w:rPr>
      </w:pPr>
    </w:p>
    <w:p>
      <w:pPr>
        <w:jc w:val="both"/>
        <w:ind w:right="20"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Dupixent, Praluent, Kevzara, and Libtayo and, if approved, our product candidates or other indications for our marketed products, and to advance our clinical pipeline.</w:t>
      </w:r>
    </w:p>
    <w:p>
      <w:pPr>
        <w:spacing w:after="0" w:line="229"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Our manufacturing facilities would be inadequate to produce the active pharmaceutical ingredients of (a) our current marketed products, including EYLEA, Dupixent, Praluent, Kevzara, and Libtayo, and (b) our antibody-based product candidates in sufficient clinical quantities if our clinical pipeline advances as planned.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late-stage antibody-based product candidates, our current manufacturing capacity will likely not be sufficient, and our dependence on our collaborators and/or contract manufacturers may increase,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39"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9"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We own an approximately 445,000-square-foot facility in Limerick, Ireland, which we purchased and subsequently renovated to expand our manufacturing capacity and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including EYLEA, Dupixent, Praluent, Kevzara, and Libtayo, and could also delay or require us to discontinue one or more of our clinical development programs. As a result, our business, prospects, operating results, and financial condition could be materially harmed.</w:t>
      </w:r>
    </w:p>
    <w:p>
      <w:pPr>
        <w:spacing w:after="0" w:line="245"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21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on a temporary or permanent basis, which could materially harm our business, prospects, operating results, and financial condition.</w:t>
      </w:r>
    </w:p>
    <w:p>
      <w:pPr>
        <w:spacing w:after="0" w:line="275"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EYLEA, Dupixent, Praluent, Kevzara, or Libtayo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229"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23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natural disasters, acts of war or terrorism, or other problems.</w:t>
      </w:r>
    </w:p>
    <w:p>
      <w:pPr>
        <w:spacing w:after="0" w:line="234"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42"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240"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or our collaborators are required to substitute for these sources to comply with European regulatory requirements, our clinical development or commercial activities may be delayed or interrupted.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p>
    <w:p>
      <w:pPr>
        <w:spacing w:after="0" w:line="229"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Kevzara, which referred to certain deficiencies identified during a routine cGMP inspection of the Sanofi fill-and-finish facility in Le Trait, France. While the BLA for Kevzara has since been approved by the FDA, this delayed the FDA approval of Kevzara.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Litigation Risks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13"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market and sell approved products in a way that violates federal or state healthcare laws, we may be subject to civil or criminal penalties.</w:t>
      </w:r>
    </w:p>
    <w:p>
      <w:pPr>
        <w:spacing w:after="0" w:line="283"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34"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24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w:t>
      </w:r>
    </w:p>
    <w:p>
      <w:pPr>
        <w:sectPr>
          <w:pgSz w:w="11900" w:h="16838" w:orient="portrait"/>
          <w:cols w:equalWidth="0" w:num="1">
            <w:col w:w="11420"/>
          </w:cols>
          <w:pgMar w:left="240" w:top="126"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6" w:right="239" w:bottom="1440" w:gutter="0" w:footer="0" w:header="0"/>
          <w:type w:val="continuous"/>
        </w:sectPr>
      </w:pPr>
    </w:p>
    <w:bookmarkStart w:id="59" w:name="page60"/>
    <w:bookmarkEnd w:id="5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40"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and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41"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13"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38"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213"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3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1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283"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95" w:lineRule="exact"/>
        <w:rPr>
          <w:sz w:val="20"/>
          <w:szCs w:val="20"/>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processes for new therapeutics that may delay or prevent the approval of any of our current or future product candidates;</w:t>
      </w:r>
    </w:p>
    <w:p>
      <w:pPr>
        <w:jc w:val="both"/>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9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95"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The current U.S. administration and Congress could carry out significant changes in legislation, regulation, and government policy (including with respect to the possible repeal of all or portions of the PPACA, government reimbursement changes and drug price control measures, and changes in the existing treaty and trade relationships with other countries), as evidenced by statements and actions of President Trump and certain members of Congress (including those discussed above under "Risks Related to Commercialization of Our Marketed Products, Product Candidates, and New Indications for Our Marketed Products</w:t>
      </w:r>
    </w:p>
    <w:p>
      <w:pPr>
        <w:spacing w:after="0" w:line="3" w:lineRule="exact"/>
        <w:rPr>
          <w:sz w:val="20"/>
          <w:szCs w:val="20"/>
          <w:color w:val="auto"/>
        </w:rPr>
      </w:pPr>
    </w:p>
    <w:p>
      <w:pPr>
        <w:jc w:val="both"/>
        <w:ind w:firstLine="8"/>
        <w:spacing w:after="0" w:line="252" w:lineRule="auto"/>
        <w:tabs>
          <w:tab w:leader="none" w:pos="1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of our marketed products are dependent on the availability and extent of reimbursement from third-party payers, and changes to such reimbursement may materially harm our business, prospects, operating results, and financial condition</w:t>
      </w:r>
      <w:r>
        <w:rPr>
          <w:rFonts w:ascii="Times New Roman" w:cs="Times New Roman" w:eastAsia="Times New Roman" w:hAnsi="Times New Roman"/>
          <w:sz w:val="18"/>
          <w:szCs w:val="18"/>
          <w:color w:val="auto"/>
        </w:rPr>
        <w:t>"). While it is not possible to predict whether and when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83" w:lineRule="exact"/>
        <w:rPr>
          <w:sz w:val="20"/>
          <w:szCs w:val="20"/>
          <w:color w:val="auto"/>
        </w:rPr>
      </w:pPr>
    </w:p>
    <w:p>
      <w:pPr>
        <w:ind w:right="20" w:firstLine="230"/>
        <w:spacing w:after="0" w:line="282" w:lineRule="auto"/>
        <w:rPr>
          <w:sz w:val="20"/>
          <w:szCs w:val="20"/>
          <w:color w:val="auto"/>
        </w:rPr>
      </w:pPr>
      <w:r>
        <w:rPr>
          <w:rFonts w:ascii="Times New Roman" w:cs="Times New Roman" w:eastAsia="Times New Roman" w:hAnsi="Times New Roman"/>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 collaborators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reputation and our business, prospects, operating results,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26"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For example, in a referendum held in the United Kingdom, voters have approved an exit from the EU, commonly referred to as "Brexit." As a result of the referendum, the British government has been negotiating the terms of the United Kingdom's future relationship with the EU. The outcome of these negotiations is uncertain, and we do not know to what extent Brexit (or the expectations that Brexit will occur) will ultimately impact the business and regulatory environment in the United Kingdom, the rest of the EU, or other countries.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283"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43"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13"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Our clinical trial programs and research collaborations outside the U.S. (such as our consortium with a group of companies to fund the generation of genetic exome sequence data from the UK Biobank health resource) may implicate international data protection laws, including the European Union's General Data Protection Regulation (GDPR).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for the most serious infringements). In addition to the GDPR, certain EU Member States have issued or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new risk of substantial financial penalties for data breach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247"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are likely to be required to expend significant capital and other resources to ensure ongoing compliance with applicable privacy and data security laws both inside and outside the United States.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43"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297" w:lineRule="exact"/>
        <w:rPr>
          <w:sz w:val="20"/>
          <w:szCs w:val="20"/>
          <w:color w:val="auto"/>
        </w:rPr>
      </w:pPr>
    </w:p>
    <w:p>
      <w:pPr>
        <w:jc w:val="both"/>
        <w:ind w:firstLine="230"/>
        <w:spacing w:after="0" w:line="270"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7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rely on funding and support from Sanofi to develop, manufacture, and commercialize certain of our products and product candidates. With respect to Dupixent, Praluent, Kevzara, and REGN3500, which we are co-developing with Sanofi under our Antibody Collaboration,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23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a result of the amendment and restatement of our IO Discovery and Development Agreement with Sanofi (which forms part of our IO Collaboration), we fund and conduct on our own all research, development, manufacturing, and commercialization activities to support all of our immuno-oncology product candidates other than REGN4018 and REGN5458, unless we enter into arrangements with other parties. In addition, if Sanofi does not elect to co-develop REGN4018 or REGN5458 under our IO Collaboration, or opts out of their development under our IO Collaboration, we will be required to fund and conduct on our own all such efforts to support those product candidates, unless we enter into arrangements with other parties.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If Sanofi elects to co-develop REGN5458 and/or REGN4018 under our IO Collaboration, Sanofi will initially fund almost all of the development expenses incurred in connection with the development of REGN5458, for which Sanofi will be the principal controlling party, and half of the development expenses incurred in connection with the clinical development of REGN4018, for which we will be the principal controlling party. Under our IO Collaboration, Sanofi also funds half of the development expenses incurred in connection with the clinical development of Libtayo, subject to an agreed-upon development budget. In addition, for REGN5458, we will rely on Sanofi to lead much of the clinical development efforts and assist with obtaining and maintaining regulatory approval. Following regulatory approval, we will rely on Sanofi to lead (i) the commercialization efforts in the United States for REGN5458 and (ii) the commercialization efforts outside the United States to support Libtayo, REGN4018, and REGN5458.</w:t>
      </w:r>
    </w:p>
    <w:p>
      <w:pPr>
        <w:spacing w:after="0" w:line="243"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Dupixent, Praluent, and Kevzara, or our IO Collaboration, such as Libtayo (see also "Risks Related to Commercialization of Products - </w:t>
      </w:r>
      <w:r>
        <w:rPr>
          <w:rFonts w:ascii="Times New Roman" w:cs="Times New Roman" w:eastAsia="Times New Roman" w:hAnsi="Times New Roman"/>
          <w:sz w:val="18"/>
          <w:szCs w:val="18"/>
          <w:i w:val="1"/>
          <w:iCs w:val="1"/>
          <w:color w:val="auto"/>
        </w:rPr>
        <w:t>If we need to establish commercial capabilities outside the United States and are unable to do so,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operating results, and financial condition may be adversely affected</w:t>
      </w:r>
      <w:r>
        <w:rPr>
          <w:rFonts w:ascii="Times New Roman" w:cs="Times New Roman" w:eastAsia="Times New Roman" w:hAnsi="Times New Roman"/>
          <w:sz w:val="18"/>
          <w:szCs w:val="18"/>
          <w:color w:val="auto"/>
        </w:rPr>
        <w:t>" above). Termination of the Antibody Collaboration or the IO Collaboration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create substantial new and additional risks to the successful development and commercialization of (i) Dupixent, Praluent, and Kevzara and (ii) Libtayo, respectively, particularly outside the United States.</w:t>
      </w:r>
    </w:p>
    <w:p>
      <w:pPr>
        <w:spacing w:after="0" w:line="243"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213"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delays in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Products - </w:t>
      </w:r>
      <w:r>
        <w:rPr>
          <w:rFonts w:ascii="Times New Roman" w:cs="Times New Roman" w:eastAsia="Times New Roman" w:hAnsi="Times New Roman"/>
          <w:sz w:val="18"/>
          <w:szCs w:val="18"/>
          <w:i w:val="1"/>
          <w:iCs w:val="1"/>
          <w:color w:val="auto"/>
        </w:rPr>
        <w:t>If we need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capabilities outside the United States and are unable to do so,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 agreement would create substantial new and additional risks to the successful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commercialization of EYLEA outside the United States.</w:t>
      </w:r>
    </w:p>
    <w:p>
      <w:pPr>
        <w:spacing w:after="0" w:line="239"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1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We depend upon third-party collaborators, including Sanofi,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3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arrangements with them, these third parties may not perform adequately. If these service providers do not perform their services adequately, sales of our marketed products will suffer.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Employees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283"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242"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Liquidity, and Need for Additional Financing</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cannot sustain profitability, our business, prospects, operating results, and financial condition would be materially harmed.</w:t>
      </w:r>
    </w:p>
    <w:p>
      <w:pPr>
        <w:spacing w:after="0" w:line="283"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If we cannot sustain profitability, we may be unable to continue our operations. In the absence of substantial revenue from the sale of products on an ongoing basis, including our sales of EYLEA, our share of the profits from Bayer's sales of EYLEA outside the United States, funding we receive under our collaboration agreements,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3"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43"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a $720.0 million lease financing for our existing corporate headquarters and other rentable area consisting of approximately 150 acres of predominately office buildings and laboratory space located in the towns of Mount Pleasant and Greenburgh, NY,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283"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28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As of March 31, 2019, we had $1,708.5 million in cash and cash equivalents and $3,863.7 million in marketable securities (including $130.7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283" w:lineRule="exact"/>
        <w:rPr>
          <w:sz w:val="20"/>
          <w:szCs w:val="20"/>
          <w:color w:val="auto"/>
        </w:rPr>
      </w:pPr>
    </w:p>
    <w:p>
      <w:pPr>
        <w:ind w:right="20" w:firstLine="230"/>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1" w:lineRule="exact"/>
        <w:rPr>
          <w:sz w:val="20"/>
          <w:szCs w:val="20"/>
          <w:color w:val="auto"/>
        </w:rPr>
      </w:pPr>
    </w:p>
    <w:p>
      <w:pPr>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Dupixent, and Libtayo, as well as our overall operating results;</w:t>
      </w:r>
    </w:p>
    <w:p>
      <w:pPr>
        <w:ind w:left="660" w:right="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directors, or significant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26"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 owned by a small number of our principal shareholders, and our largest shareholder, Sanofi, has been maintaining its percentage ownership of our Common Stock but has previously publicly disclosed that it may opportunistically increase its percentage ownership of our Common Stock (note, however, that we have agreed to grant a limited waiver of the requirement that Sanofi maintain the Highest Percentage Threshold (as defined below) as a condition to its director designation right during the term of the letter agreement with Sanofi described below under "</w:t>
      </w:r>
      <w:r>
        <w:rPr>
          <w:rFonts w:ascii="Times New Roman" w:cs="Times New Roman" w:eastAsia="Times New Roman" w:hAnsi="Times New Roman"/>
          <w:sz w:val="18"/>
          <w:szCs w:val="18"/>
          <w:i w:val="1"/>
          <w:iCs w:val="1"/>
          <w:color w:val="auto"/>
        </w:rPr>
        <w:t>Our existing shareholders may be 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exert significant influence over matters requiring shareholder approval and over our management</w:t>
      </w:r>
      <w:r>
        <w:rPr>
          <w:rFonts w:ascii="Times New Roman" w:cs="Times New Roman" w:eastAsia="Times New Roman" w:hAnsi="Times New Roman"/>
          <w:sz w:val="18"/>
          <w:szCs w:val="18"/>
          <w:color w:val="auto"/>
        </w:rPr>
        <w:t>"). As a result, the public float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26"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13"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April 17, 2019, our five largest shareholders plus Dr. Schleifer, our Chief Executive Officer, beneficially owned approximately 46.6% of our outstanding shares of Common Stock, assuming, in the case of our Chief Executive Officer, the conversion of his Class A Stock into Common Stock and the exercise of all options held by him which are exercisable within 60 days of April 17, 2019. As of April 17, 2019, Sanofi beneficially owned 23,523,269 shares of our Common Stock, representing approximately 21.8%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are subject to a "lock-up" and may not be sold until December 20, 2020 (other than with respect to an aggregate of up to 1,042,732 shares, as to which we have agreed to waive the lock-up during the term of the letter agreement with Sanofi described below under "</w:t>
      </w:r>
      <w:r>
        <w:rPr>
          <w:rFonts w:ascii="Times New Roman" w:cs="Times New Roman" w:eastAsia="Times New Roman" w:hAnsi="Times New Roman"/>
          <w:sz w:val="18"/>
          <w:szCs w:val="18"/>
          <w:i w:val="1"/>
          <w:iCs w:val="1"/>
          <w:color w:val="auto"/>
        </w:rPr>
        <w:t>Our existing shareholders may be able to exert significant influence over matters requiring shareholder approval and over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and which currently remain available to be sold in accordance with the letter agreement). These restrictions on dispositions are subject to earlier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upon the occurrence of certain events, such as the consummation of a change-of-control transaction involving us or a dissolution or liquidation of our Company.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(including, in the case of Sanofi, as a result of the lock-up waiver referred to above),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significant influence over matters requiring shareholder approval and over our management.</w:t>
      </w:r>
    </w:p>
    <w:p>
      <w:pPr>
        <w:spacing w:after="0" w:line="283"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17, 2019, holders of Class A Stock held 15.1%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17, 2019:</w:t>
      </w:r>
    </w:p>
    <w:p>
      <w:pPr>
        <w:spacing w:after="0" w:line="107" w:lineRule="exact"/>
        <w:rPr>
          <w:sz w:val="20"/>
          <w:szCs w:val="20"/>
          <w:color w:val="auto"/>
        </w:rPr>
      </w:pPr>
    </w:p>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9.6% of our outstanding shares of Common Stock, assuming conversion of their Class A Stock into Common Stock and the exercise of all options held by such persons which are exercisable within 60 days of April 17, 2019, and 20.3% of the combined voting power of our outstanding shares of Common Stock and Class A Stock, assuming the exercise of all options held by such persons which are exercisable within 60 days of April 17, 2019;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46.6% of our outstanding shares of Common Stock, assuming, in the case of our Chief Executive Officer, the conversion of his Class A Stock into Common Stock and the exercise of all options held by him which are exercisable within 60 days of April 17, 2019. In addition, these five shareholders plus our Chief Executive Officer held approximately 52.3% of the combined voting power of our outstanding shares of Common Stock and Class A Stock, assuming the exercise of all options held by our Chief Executive Officer which are exercisable within 60 days of April 17, 2019.</w:t>
      </w:r>
    </w:p>
    <w:p>
      <w:pPr>
        <w:spacing w:after="0" w:line="106"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described below) Sanofi maintains an equity interest in us that is the lower of (i) the highest percentage ownership Sanofi attains following its acquisition of 20% of our outstanding shares of Class A Stock and Common Stock (taken together) (which occurred in April 2014), and (ii) 25% of our outstanding shares of Class A Stock and Common Stock (taken together) (Highest Percentage Threshold). This designee is required to be "independent" of our Company, as determined under NASDAQ rules, and not to be a current or former officer, director, employee, or paid consultant of Sanofi. The current Sanofi designee, N. Anthony Coles, M.D., is a Class II director whose current term expires at the 2020 annual shareholder meeting.</w:t>
      </w:r>
    </w:p>
    <w:p>
      <w:pPr>
        <w:spacing w:after="0" w:line="104"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Effective January 7, 2018, we and Sanofi and certain of Sanofi's direct and indirect subsidiaries entered into a letter agreement in connection with (a) the increase of the development budget amount for Libtayo set forth in the IO License and Collaboration Agreement and (b) the allocation of additional funds to certain proposed activities relating to the Dupilumab/REGN3500 Eligible Investments. Pursuant to the letter agreement, we have agreed, among other things, to grant a limited waiver of Sanofi's obligation to maintain the Highest Percentage Threshold during the term of the letter agreement in order to allow Sanofi to satisfy in whole or in part (a) its funding obligations with respect to the Libtayo development costs under the IO License and Collaboration Agreement for the quarterly periods commencing on October 1, 2017 and ending on September 30, 2020 by selling up to 800,000 shares of our Common Stock directly or indirectly owned by Sanofi (of which 477,641 currently remains available)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(of which 565,091 currently remains available).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In addition, we and Sanofi have agreed that, upon termination of the letter agreement, the amended and restated investor agreement will be amended to define "Highest Percentage Threshold" as the lower of (i) 25% of our outstanding shares of Class A Stock and Common Stock (taken together) and (ii) the higher of (a) Sanofi's percentage ownership of Class A Stock and Common Stock (taken together) on such termination date and (b) the highest percentage ownership of our outstanding shares of Class A Stock and Common Stock (taken together) Sanofi attains following such termination date.</w:t>
      </w:r>
    </w:p>
    <w:p>
      <w:pPr>
        <w:spacing w:after="0" w:line="110"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9" w:lineRule="exact"/>
        <w:rPr>
          <w:sz w:val="20"/>
          <w:szCs w:val="20"/>
          <w:color w:val="auto"/>
        </w:rPr>
      </w:pP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significant influence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matters requiring shareholder approval and over our management.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jc w:val="both"/>
        <w:ind w:firstLine="8"/>
        <w:spacing w:after="0" w:line="255"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40"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Similarly, pursuant to our 2016 ANG2 license and collaboration agreement with Bayer (which was terminated on November 1, 2018 by agreement of the parties but whose "standstill" provisions continue to be in effect as described below),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November 1, 2023;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43"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 awards issued under our Second Amended and Restated 2000 Long-Term Incentive Plan, our 2014 Long-Term Incentive Plan, and our Amended and Restated 2014 Long-Term Incentive Plan may become fully vested in connection with a "change in control" of our Company, as defined in the plans. Further, under the amended and restated investor agreement between us and Sanofi, we are required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Times New Roman" w:cs="Times New Roman" w:eastAsia="Times New Roman" w:hAnsi="Times New Roman"/>
          <w:sz w:val="18"/>
          <w:szCs w:val="18"/>
          <w:i w:val="1"/>
          <w:iCs w:val="1"/>
          <w:color w:val="auto"/>
        </w:rPr>
        <w:t>Our existing shareholders may be able to exert significant influence over matters requiring shareholder approval and over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a Sanofi designee currently serves on our board of directors. These contractual provisions may also have the effect of deterring, delaying,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preventing an acquisition or other change in control.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following table reflects shares of Common Stock we elected to purchase from Sanofi during the first quarter of 2019 pursuant to the terms of the Letter Agreement relating to Sanofi's funding obligation in connection with (i) Libtayo development costs incurred under the IO License and Collaboration Agreement and (ii) certain activities relating to dupilumab and REGN3500 incurred under the LCA. See Part I, Item 2. "Liquidity and Capital Resources - Sanofi Funding of Certain Development Costs" for further information.</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(or Units) Purchased as</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(or Units) that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May Yet Be Purchased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the Plans or</w:t>
            </w: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Units) Purchased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00" w:type="dxa"/>
            <w:vAlign w:val="bottom"/>
          </w:tcPr>
          <w:p>
            <w:pPr>
              <w:spacing w:after="0"/>
              <w:rPr>
                <w:sz w:val="24"/>
                <w:szCs w:val="24"/>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3/1/2019–3/31/2019</w:t>
            </w:r>
          </w:p>
        </w:tc>
        <w:tc>
          <w:tcPr>
            <w:tcW w:w="2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131,115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412.17</w:t>
            </w:r>
          </w:p>
        </w:tc>
        <w:tc>
          <w:tcPr>
            <w:tcW w:w="120" w:type="dxa"/>
            <w:vAlign w:val="bottom"/>
          </w:tcPr>
          <w:p>
            <w:pPr>
              <w:spacing w:after="0"/>
              <w:rPr>
                <w:sz w:val="24"/>
                <w:szCs w:val="24"/>
                <w:color w:val="auto"/>
              </w:rPr>
            </w:pPr>
          </w:p>
        </w:tc>
        <w:tc>
          <w:tcPr>
            <w:tcW w:w="20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2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24"/>
                <w:szCs w:val="24"/>
                <w:color w:val="auto"/>
              </w:rPr>
            </w:pPr>
          </w:p>
        </w:tc>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240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gridSpan w:val="2"/>
          </w:tcPr>
          <w:p>
            <w:pPr>
              <w:spacing w:after="0"/>
              <w:rPr>
                <w:sz w:val="21"/>
                <w:szCs w:val="2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1"/>
                <w:szCs w:val="21"/>
                <w:color w:val="auto"/>
              </w:rPr>
            </w:pPr>
          </w:p>
        </w:tc>
        <w:tc>
          <w:tcPr>
            <w:tcW w:w="82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Amended and Restated Immuno-oncology Discovery and Development Agreement, executed on January 2, 2019</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and</w:t>
              </w:r>
            </w:hyperlink>
          </w:p>
        </w:tc>
        <w:tc>
          <w:tcPr>
            <w:tcW w:w="2120" w:type="dxa"/>
            <w:vAlign w:val="bottom"/>
            <w:tcBorders>
              <w:bottom w:val="single" w:sz="8" w:color="0000FF"/>
            </w:tcBorders>
            <w:gridSpan w:val="3"/>
          </w:tcPr>
          <w:p>
            <w:pPr>
              <w:jc w:val="right"/>
              <w:ind w:right="60"/>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effective as of December</w:t>
              </w:r>
            </w:hyperlink>
          </w:p>
        </w:tc>
        <w:tc>
          <w:tcPr>
            <w:tcW w:w="320" w:type="dxa"/>
            <w:vAlign w:val="bottom"/>
            <w:tcBorders>
              <w:bottom w:val="single" w:sz="8" w:color="0000FF"/>
            </w:tcBorders>
            <w:gridSpan w:val="2"/>
          </w:tcPr>
          <w:p>
            <w:pPr>
              <w:jc w:val="cente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31,</w:t>
              </w:r>
            </w:hyperlink>
          </w:p>
        </w:tc>
        <w:tc>
          <w:tcPr>
            <w:tcW w:w="1880" w:type="dxa"/>
            <w:vAlign w:val="bottom"/>
            <w:tcBorders>
              <w:bottom w:val="single" w:sz="8" w:color="0000FF"/>
            </w:tcBorders>
            <w:gridSpan w:val="2"/>
          </w:tcPr>
          <w:p>
            <w:pPr>
              <w:ind w:left="40"/>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2018, by and between</w:t>
              </w:r>
            </w:hyperlink>
          </w:p>
        </w:tc>
        <w:tc>
          <w:tcPr>
            <w:tcW w:w="2060" w:type="dxa"/>
            <w:vAlign w:val="bottom"/>
            <w:tcBorders>
              <w:bottom w:val="single" w:sz="8" w:color="0000FF"/>
            </w:tcBorders>
            <w:gridSpan w:val="2"/>
          </w:tcPr>
          <w:p>
            <w:pPr>
              <w:ind w:left="20"/>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the Registrant and Sanofi</w:t>
              </w:r>
            </w:hyperlink>
          </w:p>
        </w:tc>
        <w:tc>
          <w:tcPr>
            <w:tcW w:w="1600" w:type="dxa"/>
            <w:vAlign w:val="bottom"/>
            <w:tcBorders>
              <w:bottom w:val="single" w:sz="8" w:color="0000FF"/>
            </w:tcBorders>
          </w:tcPr>
          <w:p>
            <w:pPr>
              <w:ind w:left="60"/>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Biotechnology SAS.</w:t>
              </w:r>
            </w:hyperlink>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-273685</wp:posOffset>
            </wp:positionV>
            <wp:extent cx="5934710" cy="694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34710" cy="694690"/>
                    </a:xfrm>
                    <a:prstGeom prst="rect">
                      <a:avLst/>
                    </a:prstGeom>
                    <a:noFill/>
                  </pic:spPr>
                </pic:pic>
              </a:graphicData>
            </a:graphic>
          </wp:anchor>
        </w:drawing>
      </w:r>
    </w:p>
    <w:p>
      <w:pPr>
        <w:ind w:left="2100" w:right="1060"/>
        <w:spacing w:after="0" w:line="282" w:lineRule="auto"/>
        <w:rPr>
          <w:rFonts w:ascii="Times New Roman" w:cs="Times New Roman" w:eastAsia="Times New Roman" w:hAnsi="Times New Roman"/>
          <w:sz w:val="18"/>
          <w:szCs w:val="18"/>
          <w:u w:val="single" w:color="auto"/>
          <w:color w:val="0000FF"/>
        </w:rPr>
      </w:pPr>
      <w:hyperlink r:id="rId30">
        <w:r>
          <w:rPr>
            <w:rFonts w:ascii="Times New Roman" w:cs="Times New Roman" w:eastAsia="Times New Roman" w:hAnsi="Times New Roman"/>
            <w:sz w:val="18"/>
            <w:szCs w:val="18"/>
            <w:u w:val="single" w:color="auto"/>
            <w:color w:val="0000FF"/>
          </w:rPr>
          <w:t>(Incorporated by reference from the Form 10-K for the Registrant, for the year ended December 31, 2018, filed</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February 7, 2019.)</w:t>
        </w:r>
      </w:hyperlink>
    </w:p>
    <w:p>
      <w:pPr>
        <w:spacing w:after="0" w:line="175" w:lineRule="exact"/>
        <w:rPr>
          <w:sz w:val="20"/>
          <w:szCs w:val="20"/>
          <w:color w:val="auto"/>
        </w:rPr>
      </w:pPr>
    </w:p>
    <w:p>
      <w:pPr>
        <w:ind w:left="1060"/>
        <w:spacing w:after="0"/>
        <w:tabs>
          <w:tab w:leader="none" w:pos="20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73">
        <w:r>
          <w:rPr>
            <w:rFonts w:ascii="Times New Roman" w:cs="Times New Roman" w:eastAsia="Times New Roman" w:hAnsi="Times New Roman"/>
            <w:sz w:val="18"/>
            <w:szCs w:val="18"/>
            <w:u w:val="single" w:color="auto"/>
            <w:color w:val="0000FF"/>
          </w:rPr>
          <w:t>Certification of Principal Executive Officer pursuant to Rule 13a-14(a) under the Securities Exchange Act of</w:t>
        </w:r>
      </w:hyperlink>
    </w:p>
    <w:p>
      <w:pPr>
        <w:spacing w:after="0" w:line="27" w:lineRule="exact"/>
        <w:rPr>
          <w:sz w:val="20"/>
          <w:szCs w:val="20"/>
          <w:color w:val="auto"/>
        </w:rPr>
      </w:pPr>
    </w:p>
    <w:p>
      <w:pPr>
        <w:ind w:left="2100"/>
        <w:spacing w:after="0"/>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22860</wp:posOffset>
            </wp:positionV>
            <wp:extent cx="593471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34710" cy="171450"/>
                    </a:xfrm>
                    <a:prstGeom prst="rect">
                      <a:avLst/>
                    </a:prstGeom>
                    <a:noFill/>
                  </pic:spPr>
                </pic:pic>
              </a:graphicData>
            </a:graphic>
          </wp:anchor>
        </w:drawing>
      </w:r>
    </w:p>
    <w:p>
      <w:pPr>
        <w:spacing w:after="0" w:line="25" w:lineRule="exact"/>
        <w:rPr>
          <w:sz w:val="20"/>
          <w:szCs w:val="20"/>
          <w:color w:val="auto"/>
        </w:rPr>
      </w:pPr>
    </w:p>
    <w:p>
      <w:pPr>
        <w:ind w:left="1060"/>
        <w:spacing w:after="0"/>
        <w:tabs>
          <w:tab w:leader="none" w:pos="20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75">
        <w:r>
          <w:rPr>
            <w:rFonts w:ascii="Times New Roman" w:cs="Times New Roman" w:eastAsia="Times New Roman" w:hAnsi="Times New Roman"/>
            <w:sz w:val="18"/>
            <w:szCs w:val="18"/>
            <w:u w:val="single" w:color="auto"/>
            <w:color w:val="0000FF"/>
          </w:rPr>
          <w:t>Certification of Principal Financial Officer pursuant to Rule 13a-14(a) under the Securities Exchange Act of 1934.</w:t>
        </w:r>
      </w:hyperlink>
    </w:p>
    <w:p>
      <w:pPr>
        <w:spacing w:after="0" w:line="63" w:lineRule="exact"/>
        <w:rPr>
          <w:sz w:val="20"/>
          <w:szCs w:val="20"/>
          <w:color w:val="auto"/>
        </w:rPr>
      </w:pPr>
    </w:p>
    <w:p>
      <w:pPr>
        <w:ind w:left="2100" w:hanging="1032"/>
        <w:spacing w:after="0"/>
        <w:tabs>
          <w:tab w:leader="none" w:pos="2100" w:val="left"/>
        </w:tabs>
        <w:numPr>
          <w:ilvl w:val="0"/>
          <w:numId w:val="27"/>
        </w:numPr>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hyperlink>
    </w:p>
    <w:p>
      <w:pPr>
        <w:spacing w:after="0" w:line="54"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Interactive Data File</w:t>
            </w:r>
          </w:p>
        </w:tc>
      </w:tr>
      <w:tr>
        <w:trPr>
          <w:trHeight w:val="24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
        </w:trPr>
        <w:tc>
          <w:tcPr>
            <w:tcW w:w="88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4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7"/>
        </w:trPr>
        <w:tc>
          <w:tcPr>
            <w:tcW w:w="88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r>
      <w:tr>
        <w:trPr>
          <w:trHeight w:val="24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7"/>
        </w:trPr>
        <w:tc>
          <w:tcPr>
            <w:tcW w:w="88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24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w:t>
            </w:r>
          </w:p>
        </w:tc>
        <w:tc>
          <w:tcPr>
            <w:tcW w:w="8480" w:type="dxa"/>
            <w:vAlign w:val="bottom"/>
          </w:tcPr>
          <w:p>
            <w:pPr>
              <w:spacing w:after="0"/>
              <w:rPr>
                <w:sz w:val="21"/>
                <w:szCs w:val="21"/>
                <w:color w:val="auto"/>
              </w:rPr>
            </w:pPr>
          </w:p>
        </w:tc>
      </w:tr>
      <w:tr>
        <w:trPr>
          <w:trHeight w:val="824"/>
        </w:trPr>
        <w:tc>
          <w:tcPr>
            <w:tcW w:w="880" w:type="dxa"/>
            <w:vAlign w:val="bottom"/>
          </w:tcPr>
          <w:p>
            <w:pPr>
              <w:spacing w:after="0"/>
              <w:rPr>
                <w:sz w:val="24"/>
                <w:szCs w:val="24"/>
                <w:color w:val="auto"/>
              </w:rPr>
            </w:pPr>
          </w:p>
        </w:tc>
        <w:tc>
          <w:tcPr>
            <w:tcW w:w="848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70</w:t>
            </w:r>
          </w:p>
        </w:tc>
      </w:tr>
    </w:tbl>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83"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160" w:val="left"/>
          <w:tab w:leader="none" w:pos="4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Robert E. Landry</w:t>
      </w:r>
    </w:p>
    <w:p>
      <w:pPr>
        <w:spacing w:after="0" w:line="19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Executive Vice President, Finance and</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6"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211" w:lineRule="exact"/>
        <w:rPr>
          <w:rFonts w:ascii="Times New Roman" w:cs="Times New Roman" w:eastAsia="Times New Roman" w:hAnsi="Times New Roman"/>
          <w:sz w:val="18"/>
          <w:szCs w:val="18"/>
          <w:color w:val="auto"/>
        </w:rPr>
      </w:pPr>
    </w:p>
    <w:p>
      <w:pPr>
        <w:ind w:left="340" w:right="120" w:hanging="332"/>
        <w:spacing w:after="0" w:line="362" w:lineRule="auto"/>
        <w:tabs>
          <w:tab w:leader="none" w:pos="3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left="340" w:right="580" w:hanging="332"/>
        <w:spacing w:after="0" w:line="329"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313"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980" w:right="220" w:hanging="324"/>
        <w:spacing w:after="0" w:line="313"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313"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62" w:lineRule="auto"/>
        <w:tabs>
          <w:tab w:leader="none" w:pos="98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260" w:hanging="324"/>
        <w:spacing w:after="0" w:line="313"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329"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329"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00" w:hanging="324"/>
        <w:spacing w:after="0" w:line="329"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48"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7"/>
        </w:trPr>
        <w:tc>
          <w:tcPr>
            <w:tcW w:w="4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Date: May 7, 2019</w:t>
            </w: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Leonard S. Schleifer</w:t>
            </w:r>
          </w:p>
        </w:tc>
        <w:tc>
          <w:tcPr>
            <w:tcW w:w="5280" w:type="dxa"/>
            <w:vAlign w:val="bottom"/>
          </w:tcPr>
          <w:p>
            <w:pPr>
              <w:spacing w:after="0"/>
              <w:rPr>
                <w:sz w:val="19"/>
                <w:szCs w:val="19"/>
                <w:color w:val="auto"/>
              </w:rPr>
            </w:pPr>
          </w:p>
        </w:tc>
      </w:tr>
      <w:tr>
        <w:trPr>
          <w:trHeight w:val="318"/>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S. Schleifer, M.D., Ph.D.</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09"/>
        </w:trPr>
        <w:tc>
          <w:tcPr>
            <w:tcW w:w="444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420"/>
          </w:cols>
          <w:pgMar w:left="240" w:top="750"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211" w:lineRule="exact"/>
        <w:rPr>
          <w:rFonts w:ascii="Times New Roman" w:cs="Times New Roman" w:eastAsia="Times New Roman" w:hAnsi="Times New Roman"/>
          <w:sz w:val="18"/>
          <w:szCs w:val="18"/>
          <w:color w:val="auto"/>
        </w:rPr>
      </w:pPr>
    </w:p>
    <w:p>
      <w:pPr>
        <w:ind w:left="340" w:right="120" w:hanging="332"/>
        <w:spacing w:after="0" w:line="362" w:lineRule="auto"/>
        <w:tabs>
          <w:tab w:leader="none" w:pos="3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left="340" w:right="580" w:hanging="332"/>
        <w:spacing w:after="0" w:line="329"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313"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980" w:right="220" w:hanging="324"/>
        <w:spacing w:after="0" w:line="313"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313"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62" w:lineRule="auto"/>
        <w:tabs>
          <w:tab w:leader="none" w:pos="9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260" w:hanging="324"/>
        <w:spacing w:after="0" w:line="313"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329"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329"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00" w:hanging="324"/>
        <w:spacing w:after="0" w:line="329"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48" w:right="239" w:bottom="1440" w:gutter="0" w:footer="0" w:header="0"/>
        </w:sectPr>
      </w:pPr>
    </w:p>
    <w:bookmarkStart w:id="75" w:name="page76"/>
    <w:bookmarkEnd w:id="75"/>
    <w:p>
      <w:pPr>
        <w:spacing w:after="0"/>
        <w:tabs>
          <w:tab w:leader="none" w:pos="402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7"/>
          <w:szCs w:val="17"/>
          <w:u w:val="single" w:color="auto"/>
          <w:color w:val="auto"/>
        </w:rPr>
        <w:t>/s/ Robert E. Landry</w:t>
      </w:r>
    </w:p>
    <w:p>
      <w:pPr>
        <w:spacing w:after="0" w:line="9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90"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463550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19"/>
          </w:cols>
          <w:pgMar w:left="640" w:top="783"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1" w:lineRule="exact"/>
        <w:rPr>
          <w:sz w:val="20"/>
          <w:szCs w:val="20"/>
          <w:color w:val="auto"/>
        </w:rPr>
      </w:pPr>
    </w:p>
    <w:p>
      <w:pPr>
        <w:ind w:right="80"/>
        <w:spacing w:after="0" w:line="308"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March 31, 2019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2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May 7, 2019</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May 7, 2019</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3"/>
    </w:lvl>
    <w:lvl w:ilvl="1">
      <w:lvlJc w:val="left"/>
      <w:lvlText w:val="%2"/>
      <w:numFmt w:val="lowerLetter"/>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lowerRoman"/>
      <w:start w:val="4"/>
    </w:lvl>
  </w:abstractNum>
  <w:abstractNum w:abstractNumId="26">
    <w:nsid w:val="836C40E"/>
    <w:multiLevelType w:val="hybridMultilevel"/>
    <w:lvl w:ilvl="0">
      <w:lvlJc w:val="left"/>
      <w:lvlText w:val="%1"/>
      <w:numFmt w:val="decimal"/>
      <w:start w:val="32"/>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0" Type="http://schemas.openxmlformats.org/officeDocument/2006/relationships/hyperlink" Target="http://www.sec.gov/Archives/edgar/data/872589/000153217619000009/regn-ex_1017xamendedi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2019-12-28T12:51:06Z</dcterms:created>
  <dcterms:modified xsi:type="dcterms:W3CDTF">2019-12-28T12:51:06Z</dcterms:modified>
</cp:coreProperties>
</file>