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120015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(Mark One)</w:t>
      </w:r>
    </w:p>
    <w:p>
      <w:pPr>
        <w:spacing w:after="0" w:line="63" w:lineRule="exact"/>
        <w:rPr>
          <w:sz w:val="24"/>
          <w:szCs w:val="24"/>
          <w:color w:val="auto"/>
        </w:rPr>
      </w:pPr>
    </w:p>
    <w:p>
      <w:pPr>
        <w:ind w:left="500" w:right="2240" w:hanging="465"/>
        <w:spacing w:after="0" w:line="34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2015</w:t>
      </w:r>
    </w:p>
    <w:p>
      <w:pPr>
        <w:spacing w:after="0" w:line="21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color w:val="auto"/>
        </w:rPr>
        <w:t>OR</w:t>
      </w:r>
    </w:p>
    <w:p>
      <w:pPr>
        <w:spacing w:after="0" w:line="333" w:lineRule="exact"/>
        <w:rPr>
          <w:sz w:val="24"/>
          <w:szCs w:val="24"/>
          <w:color w:val="auto"/>
        </w:rPr>
      </w:pPr>
    </w:p>
    <w:p>
      <w:pPr>
        <w:ind w:left="500" w:right="2220" w:hanging="465"/>
        <w:spacing w:after="0" w:line="344"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 to __________</w:t>
      </w:r>
    </w:p>
    <w:p>
      <w:pPr>
        <w:spacing w:after="0" w:line="177"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0-19034</w:t>
            </w:r>
          </w:p>
        </w:tc>
      </w:tr>
    </w:tbl>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REGENERON PHARMACEUTICALS,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5"/>
              </w:rPr>
              <w:t>New York</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880" w:type="dxa"/>
            <w:vAlign w:val="bottom"/>
          </w:tcPr>
          <w:p>
            <w:pPr>
              <w:spacing w:after="0"/>
              <w:rPr>
                <w:sz w:val="24"/>
                <w:szCs w:val="24"/>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outstanding of each of the registrant’s classes of common stock as of July 17, 2015:</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Class of Common Stock</w:t>
            </w:r>
          </w:p>
        </w:tc>
        <w:tc>
          <w:tcPr>
            <w:tcW w:w="3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Stock, $.001 par value</w:t>
            </w:r>
          </w:p>
        </w:tc>
        <w:tc>
          <w:tcPr>
            <w:tcW w:w="3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1,951,868</w:t>
            </w:r>
          </w:p>
        </w:tc>
      </w:tr>
      <w:tr>
        <w:trPr>
          <w:trHeight w:val="270"/>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2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101,736,534</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June 30, 2015 and December 31, 2014</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and Six Months Ended June 30, 2015 and 2014</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0000EE"/>
            </w:tcBorders>
            <w:gridSpan w:val="1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 for the Six Months Ended June 30, 2015</w:t>
              </w:r>
            </w:hyperlink>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2014</w:t>
              </w:r>
            </w:hyperlink>
          </w:p>
        </w:tc>
        <w:tc>
          <w:tcPr>
            <w:tcW w:w="660" w:type="dxa"/>
            <w:vAlign w:val="bottom"/>
            <w:gridSpan w:val="4"/>
            <w:shd w:val="clear" w:color="auto" w:fill="CCEEFF"/>
          </w:tcPr>
          <w:p>
            <w:pPr>
              <w:jc w:val="center"/>
              <w:ind w:left="37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3.</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58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4.</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58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1.</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59</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1A.</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Risk Factors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59</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2.</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83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6.</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Exhibits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84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84">
              <w:r>
                <w:rPr>
                  <w:rFonts w:ascii="Times New Roman" w:cs="Times New Roman" w:eastAsia="Times New Roman" w:hAnsi="Times New Roman"/>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85</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0"/>
        <w:spacing w:after="0" w:line="228"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6" w:right="279" w:bottom="1440" w:gutter="0" w:footer="0" w:header="0"/>
          <w:type w:val="continuous"/>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390,554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251,761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739,379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111,510</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 HealthCare</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79,046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2,283,341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2,130,938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460,154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974,309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269,237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4,526,970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3,837,672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529,505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from Sanofi,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15,927</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 other, current portion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97,146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601,542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654,660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310,938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146,773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39,801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1,287,421</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1,951,868 in 2015 and 1,973,368 in 2014</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320,000,000 shares authorized; shares issued - 105,106,034 in 2015 and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102,475,154 in 2014</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2,450,782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52,251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3,416,788 shares in 2015 and 2,017,732 in 2014</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2,550,251</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4,526,970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3,837,672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644"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6" w:right="259" w:bottom="64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5040" w:type="dxa"/>
            <w:vAlign w:val="bottom"/>
            <w:gridSpan w:val="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Table of Contents</w:t>
              </w:r>
            </w:hyperlink>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7200" w:type="dxa"/>
            <w:vAlign w:val="bottom"/>
            <w:gridSpan w:val="7"/>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80" w:type="dxa"/>
            <w:vAlign w:val="bottom"/>
            <w:gridSpan w:val="10"/>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000" w:type="dxa"/>
            <w:vAlign w:val="bottom"/>
            <w:gridSpan w:val="5"/>
          </w:tcPr>
          <w:p>
            <w:pPr>
              <w:jc w:val="center"/>
              <w:ind w:left="30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657,819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418,022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1,202,392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780,400</w:t>
            </w: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195,110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142,595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368,466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273,103</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HealthCare collaboration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134,237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97,295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222,607</w:t>
            </w: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15,330</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998,617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665,700</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1,868,229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1,291,440</w:t>
            </w:r>
          </w:p>
        </w:tc>
      </w:tr>
      <w:tr>
        <w:trPr>
          <w:trHeight w:val="277"/>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390,330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294,501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733,443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581,880</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174,588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96,730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199,957</w:t>
            </w: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57,418</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27,985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16,434</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32,533</w:t>
            </w: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653,758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437,610</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1,239,817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871,788</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344,859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228,090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419,652</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2,614</w:t>
            </w: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(29,963)</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327,996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208,803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604,519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389,689</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(225,033)</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194,643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96,351</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270,664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164,656</w:t>
            </w:r>
          </w:p>
        </w:tc>
      </w:tr>
      <w:tr>
        <w:trPr>
          <w:trHeight w:val="271"/>
        </w:trPr>
        <w:tc>
          <w:tcPr>
            <w:tcW w:w="116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84"/>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100,391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100,085</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113,121</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194,643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96,351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164,656</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5,451</w:t>
            </w:r>
          </w:p>
        </w:tc>
      </w:tr>
      <w:tr>
        <w:trPr>
          <w:trHeight w:val="25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165,892</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99,149</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237,566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170,107</w:t>
            </w: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270,664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164,656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140,613</w:t>
            </w: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10,787</w:t>
            </w: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w:t>
            </w: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 Sanofi, Bayer HealthCare,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84,776</w:t>
            </w:r>
          </w:p>
        </w:tc>
      </w:tr>
      <w:tr>
        <w:trPr>
          <w:trHeight w:val="243"/>
        </w:trPr>
        <w:tc>
          <w:tcPr>
            <w:tcW w:w="8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r>
      <w:tr>
        <w:trPr>
          <w:trHeight w:val="243"/>
        </w:trPr>
        <w:tc>
          <w:tcPr>
            <w:tcW w:w="8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129,338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16,820</w:t>
            </w:r>
          </w:p>
        </w:tc>
      </w:tr>
      <w:tr>
        <w:trPr>
          <w:trHeight w:val="237"/>
        </w:trPr>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225,283</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389,939</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(374,509)</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155,850</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(501,130)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(354,354)</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Proceeds (payments) in connection with facility and capital lease obligations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63,057</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235,575</w:t>
            </w:r>
          </w:p>
        </w:tc>
      </w:tr>
      <w:tr>
        <w:trPr>
          <w:trHeight w:val="237"/>
        </w:trPr>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28,942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64,527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535,608</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390,554</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600,135</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2014.</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previously issued (i) Consolidated Balance Sheet as of December 31, 2014 contained in the Company's Annual Report on Form 10-K for the year ended December 31, 2014, and (ii) Condensed Consolidated Statement of Operations and Comprehensive Income for the three and six months ended June 30, 2014 and Condensed Consolidated Statement of Cash Flows for the six months ended June 30, 2014 contained in the Company's Quarterly Report on Form 10-Q for the quarterly period ended June 30, 2014, have each been revised in this Quarterly Report on Form 10-Q to reflect a correction in the Company's accounting for certain stock option awards. See Note 4.</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the previously issued Consolidated Balance Sheet as of December 31, 2014 has been revised in this Quarterly Report on Form 10-Q to reflect a correction related to the accounting for costs incurred in connection with commercial bulk drug product manufactured by the Company, but not billed, under the Company's collaboration agreements with Sanofi and Bayer HealthCare, and the related tax impacts. The correcting adjustments results in a reduction to both accounts receivable and deferred revenue by $41.0 million, and reduce both income tax assets, net and additional paid-in capital by $14.2 million. The previously issued Condensed Consolidated Statement of Cash Flows for the six months ended June 30, 2014 was also revised in this Quarterly Report on Form 10-Q to reflect an $8.6 million increase in cash flows from operating activities and a corresponding reduction in cash flows from financing activities related to the tax impact of these adjustments. These adjustments had no impact on the Company's previously issued Consolidated Statements of Operations and Comprehensive Income in any reporting period. The Company determined that the error is not material to any previously-issued financial statements.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283" w:lineRule="exact"/>
        <w:rPr>
          <w:sz w:val="20"/>
          <w:szCs w:val="20"/>
          <w:color w:val="auto"/>
        </w:rPr>
      </w:pPr>
    </w:p>
    <w:p>
      <w:pPr>
        <w:jc w:val="both"/>
        <w:ind w:firstLine="243"/>
        <w:spacing w:after="0" w:line="214" w:lineRule="auto"/>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in the United States totaled $654.6 million and $414.8 million for the three months ended June 30, 2015 and 2014, respectively, and $1,195.7 million and $773.8 million for the six months ended June 30, 2015 and 2014, respectively. In addition, 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totaled $3.2 million for each of the three-month periods ended June 30, 2015 and 2014, respectively, and $6.7 million and $6.6 million for the six months ended June 30, 2015 and 2014, respectively.</w:t>
      </w:r>
    </w:p>
    <w:p>
      <w:pPr>
        <w:spacing w:after="0" w:line="25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recorded 69% and 73% for the three months ended June 30, 2015 and 2014, respectively, and 69% and 76% for the six months ended June 30, 2015 and 2014, respectively, of its total gross product revenue from sales to Besse Medical, a subsidiary of AmerisourceBergen Corporation.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these sales-related deductions during the six months ended June 30, 2015 and 2014.</w:t>
      </w:r>
    </w:p>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24,781</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83,682</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45,458</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51,841</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(51,360)</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25,082</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2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Sanofi collaboration revenue, as detailed below, consisted primarily of reimbursement for research and development expenses that the Company incurred, partly offset by sharing of pre-launch commercialization expenses, in connection with the companies' Discovery and Preclinical Development Agreement ("Antibody Discovery Agreement") and License and Collaboration Agreement (each as amended), collectively referred to as the "Antibody Collaboration".</w:t>
      </w:r>
    </w:p>
    <w:p>
      <w:pPr>
        <w:spacing w:after="0" w:line="25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211,516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195,110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140,465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ZALTRAP</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195,110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6" w:right="239" w:bottom="1440" w:gutter="0" w:footer="0" w:header="0"/>
          <w:type w:val="continuous"/>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380,336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352,544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270,916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ZALTRAP</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368,466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Antibodies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Company's November 2007 Antibody Collaboration with Sanofi, as amended, agreed upon worldwide research and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June 30, 2015 and 2014, the Company recognized as additional research and development expense $22.5 million and $29.1 million, respectively, and during the six months ended June 30, 2015 and 2014, the Company recognized as additional research and development expense $47.5 million and $52.9 million, respectively, of antibody development expenses that the Company was obligated to reimburse to Sanofi related to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sarilumab.</w:t>
      </w:r>
    </w:p>
    <w:p>
      <w:pPr>
        <w:spacing w:after="0" w:line="1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Effective in the second and fourth quarters of 2014, the Company and Sanofi began sharing pre-launch commercialization expenses related to Praluent and sarilumab, respectively, in accordance with the companies’ License and Collaboration Agreement. In July 2015, the U.S. Food and Drug Administration ("FDA") approved Praluent for the treatment of adults with heterozygous familial hypercholesterolemia or clinical atherosclerotic cardiovascular disease, who require additional lowering of low-density lipoprotein ("LDL") cholesterol.</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2013, the Company acquired from Sanofi full exclusive rights to antibodies targeting the platelet derived growth factor (PDGF) family of receptors and ligands in ophthalmology. With respect to PDGF antibodies, the Company made two $5.0 million development milestone payments to Sanofi in the first quarter of 2014 and a $10.0 million development milestone payment to Sanofi in the second quarter of 2015, each of which was recorded as research and development expense. The Company is also obligated to pay up to $20.0 million in additional potential development milestones as well as royalties on any future sales of PDGF antibodies.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July 2015, in connection with the Company’s new immuno-oncology collaboration with Sanofi, as described below, the Company’s Antibody Discovery Agreement and License and Collaboration Agreement with Sanofi were each amended. In connection with these amendments, Sanofi's funding of the Company’s antibody discovery activities under the existing Antibody Collaboration will be reduced from $160.0 million to $145.0 million in 2015, and from $160.0 million to $130.0 million in both 2016 and 2017, or an aggregate reduction of $75.0 million over this three-year period. In addition, the Company's discovery activities to identify and validate potential drug discovery targets in the field of immuno-oncology and develop fully human monoclonal antibodies against these targets will now be funded by Sanofi under the terms of the companies’ new immuno-oncology collaboration.</w:t>
      </w:r>
    </w:p>
    <w:p>
      <w:pPr>
        <w:sectPr>
          <w:pgSz w:w="11900" w:h="16838" w:orient="portrait"/>
          <w:cols w:equalWidth="0" w:num="1">
            <w:col w:w="11420"/>
          </w:cols>
          <w:pgMar w:left="240" w:top="126"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type w:val="continuous"/>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ZALTRAP</w:t>
      </w:r>
      <w:r>
        <w:rPr>
          <w:rFonts w:ascii="Times New Roman" w:cs="Times New Roman" w:eastAsia="Times New Roman" w:hAnsi="Times New Roman"/>
          <w:sz w:val="25"/>
          <w:szCs w:val="25"/>
          <w:color w:val="auto"/>
          <w:vertAlign w:val="superscript"/>
        </w:rPr>
        <w:t>®</w:t>
      </w:r>
    </w:p>
    <w:p>
      <w:pPr>
        <w:spacing w:after="0" w:line="20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September 2003, the Company entered into a collaboration agreement ("ZALTRAP Collaboration Agreement") with Aventis Pharmaceuticals Inc. (predecessor to Sanofi U.S.) to jointly develop and commercialize ZALTRAP. Under the terms of the ZALTRAP Collaboration Agreement, as amended, Regeneron and Sanofi shared co-promotion rights and profits and losses on sales of ZALTRAP outside of Japan, and the Company was entitled to receive a percentage of sales of ZALTRAP in Japan. 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European and other countries in the first quarter of 2013.</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February 2015, the Company and Sanofi entered into an amended and restated ZALTRAP agreement ("Amended ZALTRAP Agreement"), with an effective date of July 1, 2014.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 which percentage shall be from 15% to 30%, depending on the aggregate net sales of ZALTRAP in such calendar year. The Company will also be paid for all quantities of ZALTRAP manufactured by it, pursuant to a supply agreement, through the earlier of 2021 or the date Sanofi receives regulatory approval to manufacture ZALTRAP at one of its facilities, or a facility of a third party. In addition, Regeneron no longer has a contingent contractual obligation to reimburse Sanofi for 50% of the development expenses that Sanofi previously funded for the development of ZALTRAP under the ZALTRAP Collaboration Agreement. Unless terminated earlier in accordance with its provisions, the Amended ZALTRAP Agreement will continue to be in effect until such time as neither Sanofi nor its affiliates or sublicensees is developing or commercializing ZALTRAP.</w:t>
      </w:r>
    </w:p>
    <w:p>
      <w:pPr>
        <w:spacing w:after="0" w:line="24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three and six months ended June 30, 2015, the Company recorded $3.2 million and $23.0 million, respectively, in technology licensing and other revenue, primarily related to (i) revenues earned from Sanofi based on a percentage of net sales of ZALTRAP and (ii) revenues earned from Sanofi for manufacturing ZALTRAP commercial supplies.</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July 2015, the Company and Sanofi entered into a global strategic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will make a $265.0 million non-refundable upfront payment to the Company. Pursuant to the IO Discovery Agreement, the Company will spend up to $1,090.0 million to identify and validate potential immuno-oncology targets and develop therapeutic antibodies against such targets through clinical proof-of-concept. Sanofi will reimburse the Company for up to $825.0 million ("IO Discovery Funding") of these costs, subject to certain annual limits,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Funding is exhausted, subject to Sanofi’s option to extend it for up to an additional three years for the continued development (and funding) of selected ongoing programs. Pursuant to the IO Discovery Agreement, the Company will be primarily responsible for the design and conduct of all research activities, including target identification and validation, antibody development, preclinical activities, toxicology studies, manufacture of preclinical and clinical supplies, filing of Investigational New Drug ("IND") Applications, and clinical development through proof-of-concept. The Company will reimburse Sanofi for half of the development costs they funded that are attributable to clinical development of antibody product candidates under the IO Discovery Agreement from Regeneron's share of future profits to the extent they are sufficient for this purpose. However, the Company is not required to apply more than 10% of its share of the profits from IO Collaboration products in any calendar quarter towards reimbursing Sanofi for these development costs. With regard to product candidates for which proof-of-concept is established, Sanofi will have the option to license rights to the candidate pursuant to the IO License and Collaboration Agreement (as further described below). If Sanofi does not exercise its option to license rights to 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 candidate, the Company will retain the exclusive right to develop and commercialize such product candidate and Sanofi will be entitled to receive a royalty on sales.</w:t>
      </w:r>
    </w:p>
    <w:p>
      <w:pPr>
        <w:spacing w:after="0" w:line="21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will make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will alternate between the Company and Sanofi on a candidate-by-candidate basis. Sanofi will fund drug candidate development costs up front for the candidates for which it is the principal controlling party and the Company will reimburse half of the total development costs for all such candidates from its share of future profits to the extent they are sufficient for this purpose, subject to the same 10% reimbursement limitation described above. In addition, Sanofi and the Company will share equally, on an ongoing basis, 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Regeneron is obligated to use commercially reasonable efforts to supply clinical requirements of each drug candidate under the IO License and Collaboration Agreement until commercial supplies of that IO drug candidate are being manufactured.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the Company’s antibody product candidate targeting the receptor known as Programmed Cell Death protein 1, or PD-1 ("REGN2810"). The parties will share equally, on an ongoing basis, development expenses for REGN2810 up to a total of $650.0 million.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 HealthCare LLC</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and Bayer HealthCare globally collaborate on the development and commercialization of EYLEA outside of the United States.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Bayer HealthCare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12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106,631</w:t>
            </w:r>
          </w:p>
        </w:tc>
        <w:tc>
          <w:tcPr>
            <w:tcW w:w="100" w:type="dxa"/>
            <w:vAlign w:val="bottom"/>
          </w:tcPr>
          <w:p>
            <w:pPr>
              <w:spacing w:after="0"/>
              <w:rPr>
                <w:sz w:val="20"/>
                <w:szCs w:val="20"/>
                <w:color w:val="auto"/>
              </w:rPr>
            </w:pP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milestones</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94,088</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12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2014</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196,057</w:t>
            </w:r>
          </w:p>
        </w:tc>
        <w:tc>
          <w:tcPr>
            <w:tcW w:w="100" w:type="dxa"/>
            <w:vAlign w:val="bottom"/>
          </w:tcPr>
          <w:p>
            <w:pPr>
              <w:spacing w:after="0"/>
              <w:rPr>
                <w:sz w:val="20"/>
                <w:szCs w:val="20"/>
                <w:color w:val="auto"/>
              </w:rPr>
            </w:pP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milestones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245,708</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216,526</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EYLEA outside the United States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2015, the Company earned a $15.0 million sales milestone from Bayer HealthCare upon total aggregate net sales of specific commercial supplies of EYLEA outside the United States exceeding $200 million over a twelve-month period. In the first half of 2014, the Company earned three $15.0 million sales milestones from Bayer HealthCare upon total aggregate net sales of EYLEA outside the United States exceeding $500 million, $600 million, and $700 million, respectively, over a twelve-month period.</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January 2014, Bayer HealthCare decided to participate in the global development and commercialization of EYLEA outside the United States for the treatment of macular edema following branch retinal vein occlusion ("BRVO"). In connection with this</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type w:val="continuous"/>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in the table above. In addition, all future agreed upon global EYLEA development expenses incurred in connection with BRVO are being shared equally, and any profits or losses on sales of EYLEA outside of the United States for the treatment of macular edema following BRVO are also shared (for countries other than Japan). The Company is entitled to receive a tiered percentage of EYLEA net sales in Japan.</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PDGFR-beta antibody outside the United States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January 2014, the Company entered into an agreement with Bayer HealthCare governing the joint development and commercialization outside the United States of an antibody product candidate to PDGFR-beta, including in combination with EYLEA, for the treatment of ocular diseases or disorders. 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The $25.5 million upfront payment was initially recorded as deferred revenue, and will be recognized as revenue over the related performance period. Bayer HealthCare is also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 and a $5.0 million development milestone payment to the Company in the second quarter of 2015 (which was recognized as a substantive milestone).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grants of stock option awards and restricted stock under the Company's applicable Long-Term Incentive Plan based on the grant-date fair value of those awards. The Company recognized stock-based compensation expense of $94.3 million and $64.8 million for the three months ended June 30, 2015 and 2014, respectively, and $198.0 million and $140.6 million for the six months ended June 30, 2015 and 2014, respectively.</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Revisions of Previously-Issued Financial Statements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first quarter of 2015, the Company determined that for certain stock option awards granted to an employee in prior periods, the incorrect requisite service period was utilized in determining the period over which the related compensation expense should have been recorded. Such awards were made as part of the Company's annual employee option grants in December of each applicable year. As a result, compensation expense for the three months and years ended December 31, 2014 and 2013 was understated, and compensation expense for the three months ended March 31, 2014 and 2013, June 30, 2014 and 2013, and September 30, 2014 and 2013 was overstated. These revisions consisted entirely of non-cash adjustments, and therefore had no impact on the Company's previously reported total cash flows from operating activities and total cash flows in its Statements of Cash Flows. The Company evaluated the impact of these items on prior periods, assessing materiality quantitatively and qualitatively, and concluded that the errors were not considered to be material to any previously-issued quarterly or annual financial statements. However, the Company concluded that it would revise the applicable prior period amounts in this filing to reflect the impact of these corrections because the cumulative amount of such corrections is expected to be material to the year ending December 31, 2015. The Company's prior-period financial statements will reflect these revisions for the applicable periods presented in future filings.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presents the impact of these revisions, including the related tax effect, on the Company's previously-filed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spacing w:after="0"/>
              <w:rPr>
                <w:sz w:val="21"/>
                <w:szCs w:val="21"/>
                <w:color w:val="auto"/>
              </w:rPr>
            </w:pPr>
          </w:p>
        </w:tc>
        <w:tc>
          <w:tcPr>
            <w:tcW w:w="3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289,021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3,871,827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3,893,979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60,890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2,465,008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2,542,325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2,564,477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3,871,827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3,893,979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3"/>
        </w:trPr>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2014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0" w:type="dxa"/>
            <w:vAlign w:val="bottom"/>
          </w:tcPr>
          <w:p>
            <w:pPr>
              <w:spacing w:after="0"/>
              <w:rPr>
                <w:sz w:val="1"/>
                <w:szCs w:val="1"/>
                <w:color w:val="auto"/>
              </w:rPr>
            </w:pPr>
          </w:p>
        </w:tc>
      </w:tr>
      <w:tr>
        <w:trPr>
          <w:trHeight w:val="2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96,730</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211,264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199,957</w:t>
            </w:r>
          </w:p>
        </w:tc>
        <w:tc>
          <w:tcPr>
            <w:tcW w:w="0" w:type="dxa"/>
            <w:vAlign w:val="bottom"/>
          </w:tcPr>
          <w:p>
            <w:pPr>
              <w:spacing w:after="0"/>
              <w:rPr>
                <w:sz w:val="1"/>
                <w:szCs w:val="1"/>
                <w:color w:val="auto"/>
              </w:rPr>
            </w:pP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437,610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883,095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871,788</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408,345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419,652</w:t>
            </w:r>
          </w:p>
        </w:tc>
        <w:tc>
          <w:tcPr>
            <w:tcW w:w="0" w:type="dxa"/>
            <w:vAlign w:val="bottom"/>
          </w:tcPr>
          <w:p>
            <w:pPr>
              <w:spacing w:after="0"/>
              <w:rPr>
                <w:sz w:val="1"/>
                <w:szCs w:val="1"/>
                <w:color w:val="auto"/>
              </w:rPr>
            </w:pP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208,803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378,382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389,689</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220,204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225,033</w:t>
            </w:r>
          </w:p>
        </w:tc>
        <w:tc>
          <w:tcPr>
            <w:tcW w:w="0" w:type="dxa"/>
            <w:vAlign w:val="bottom"/>
          </w:tcPr>
          <w:p>
            <w:pPr>
              <w:spacing w:after="0"/>
              <w:rPr>
                <w:sz w:val="1"/>
                <w:szCs w:val="1"/>
                <w:color w:val="auto"/>
              </w:rPr>
            </w:pP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96,351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158,178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164,656</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653"/>
        </w:trPr>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280" w:type="dxa"/>
            <w:vAlign w:val="bottom"/>
            <w:gridSpan w:val="7"/>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45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164,656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3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140,613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tables below present the impact of these revisions, including the related tax effects, on additional previously-filed interim and year-end Consolidated Statements of Operations for the three and nine months ended September 30, 2014, and for the three months and year ended December 31, 2014.</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34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149,748</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361,012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343,960</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537,324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1,409,112</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608,116</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181,823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571,512</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323,481</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248,031</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734"/>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34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175,307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504,755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519,267</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586,526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1,981,126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1,995,638</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823,919</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761,235</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423,109</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338,126</w:t>
            </w: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621"/>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65"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8"/>
          <w:szCs w:val="18"/>
          <w:b w:val="1"/>
          <w:bCs w:val="1"/>
          <w:color w:val="auto"/>
        </w:rPr>
        <w:t>Three Months Ended June</w:t>
      </w:r>
    </w:p>
    <w:p>
      <w:pPr>
        <w:spacing w:after="0" w:line="31"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1449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100,391</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97"/>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113,032</w:t>
            </w:r>
          </w:p>
        </w:tc>
      </w:tr>
      <w:tr>
        <w:trPr>
          <w:trHeight w:val="203"/>
        </w:trPr>
        <w:tc>
          <w:tcPr>
            <w:tcW w:w="2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594"/>
        </w:trPr>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270,664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100,085</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43"/>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7"/>
        </w:trPr>
        <w:tc>
          <w:tcPr>
            <w:tcW w:w="27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97"/>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14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113,121</w:t>
            </w:r>
          </w:p>
        </w:tc>
      </w:tr>
      <w:tr>
        <w:trPr>
          <w:trHeight w:val="203"/>
        </w:trPr>
        <w:tc>
          <w:tcPr>
            <w:tcW w:w="2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567"/>
        </w:trPr>
        <w:tc>
          <w:tcPr>
            <w:tcW w:w="2740" w:type="dxa"/>
            <w:vAlign w:val="bottom"/>
          </w:tcPr>
          <w:p>
            <w:pPr>
              <w:spacing w:after="0"/>
              <w:rPr>
                <w:sz w:val="24"/>
                <w:szCs w:val="24"/>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675"/>
        </w:trPr>
        <w:tc>
          <w:tcPr>
            <w:tcW w:w="308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as of June 30, 2015 and December 31, 2014 consist of both debt securities issued by investment grade institutions as well as equity securities. The Company also held restricted marketable securities as of December 31, 2014, consisting of the Company's investment in Avalanche Biotechnologies, Inc. common shares, which were subject to customary transfer restrictions until January 2015 under a lock-up agreement with the underwriters of Avalanche's initial public offering.</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2015</w:t>
            </w:r>
          </w:p>
        </w:tc>
        <w:tc>
          <w:tcPr>
            <w:tcW w:w="22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528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661,084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774,851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803,289</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3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8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548,832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620,476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631,477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711,915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classifies its debt security investments based on their contractual maturity dates. The debt securities listed as of June 30, 2015 mature at various dates through August 2024. The fair values of debt security investments by contractual maturity consist of the following:</w:t>
      </w:r>
    </w:p>
    <w:p>
      <w:pPr>
        <w:spacing w:after="0" w:line="374"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251,761</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360,208</w:t>
            </w: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after five years through ten years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7"/>
        </w:trPr>
        <w:tc>
          <w:tcPr>
            <w:tcW w:w="4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757,165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613,097</w:t>
            </w:r>
          </w:p>
        </w:tc>
      </w:tr>
      <w:tr>
        <w:trPr>
          <w:trHeight w:val="27"/>
        </w:trPr>
        <w:tc>
          <w:tcPr>
            <w:tcW w:w="4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80" w:type="dxa"/>
            <w:vAlign w:val="bottom"/>
          </w:tcPr>
          <w:p>
            <w:pPr>
              <w:spacing w:after="0"/>
              <w:rPr>
                <w:sz w:val="20"/>
                <w:szCs w:val="20"/>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June 30, 2015</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7"/>
                <w:szCs w:val="17"/>
                <w:color w:val="auto"/>
              </w:rPr>
            </w:pPr>
          </w:p>
        </w:tc>
        <w:tc>
          <w:tcPr>
            <w:tcW w:w="10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7,602</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5"/>
        </w:trPr>
        <w:tc>
          <w:tcPr>
            <w:tcW w:w="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agency obligations</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446,866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7,602</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454,468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67"/>
        </w:trPr>
        <w:tc>
          <w:tcPr>
            <w:tcW w:w="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2014</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5"/>
        </w:trPr>
        <w:tc>
          <w:tcPr>
            <w:tcW w:w="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agency obligations</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426,941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426,941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six months ended June 30, 2015 and 2014, total realized gains and losses on sales of marketable securities were not material.</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Changes in the Company's accumulated other comprehensive income (loss) for the three and six months ended June 30, 2015 and 2014 related to unrealized gains and losses on available-for-sale marketable securities. For the three and six months ended June 30, 2015 and 2014, amounts reclassified from accumulated other comprehensive income (loss) into investment income in the Company's Statements of Operations were related to realized gains and losses on sales of marketable securities.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198"/>
        </w:trPr>
        <w:tc>
          <w:tcPr>
            <w:tcW w:w="20" w:type="dxa"/>
            <w:vAlign w:val="bottom"/>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June 30, 2015</w:t>
            </w:r>
          </w:p>
        </w:tc>
        <w:tc>
          <w:tcPr>
            <w:tcW w:w="14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660,389</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39,771</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757,165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of December 31, 2014</w:t>
            </w:r>
          </w:p>
        </w:tc>
        <w:tc>
          <w:tcPr>
            <w:tcW w:w="4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547,506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37,038</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620,476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613,097</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711,915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six months ended June 30, 2015 and 2014.</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There were no purchases, sales, or maturities of Level 3 marketable securities and no unrealized gains or losses related to Level 3 marketable securities for the three and six months ended June 30, 2015 and 2014. During the six months ended June 30, 2015, transfers of marketable securities from Level 2 to Level 1 were $91.4 million in connection with the lapse of the transfer restrictions on the Company's investment in Avalanche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six months ended June 30, 2015, and there were no transfers of marketable securities between Levels 1, 2, or 3 classifications during the six months ended June 30, 2014.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June 30, 2015 and December 31, 2014, the Company had $33.3 million and $169.4 million, respectively, in aggregate principal amount of 1.875% convertible senior notes (the "Notes") that will mature on October 1, 2016 unless earlier converted or repurchased. As described in Note 10, a portion of the Notes was surrendered for conversion during the first half of 2015. The fair value of the outstanding Notes was estimated to be $201.6 million and $819.8 million as of June 30, 2015 and December 31, 2014, respectively, and was determined based on Level 2 inputs, such as market and observable sources.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Additionally, as described in Note 10, pursuant to a November 2014 amendment agreement with a warrant holder, a portion of the Company's warrants were classified as a liability and measured at fair value as of December 31, 2014. The fair value of this liability was estimated to be $87.5 million as of December 31, 2014, and was determined based on Level 2 inputs, such as market and observable sources. During the first quarter of 2015, upon expiration of the November 2014 amendment agreement, the remaining warrants were re-measured at fair value and reclassified back to additional paid-in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73,519</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128,861</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three months ended June 30, 2015 and 2014, cost of goods sold included inventory write-downs and reserves totaling $6.4 million and $0.8 million, respectively. For the six months ended June 30, 2015 and 2014, cost of goods sold included inventory write-downs and reserves totaling $8.1 million and $1.9 million,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Accrued Expenses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99,508</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41,555</w:t>
            </w:r>
          </w:p>
        </w:tc>
      </w:tr>
      <w:tr>
        <w:trPr>
          <w:trHeight w:val="225"/>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sales-related charges, deductions,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royalties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116,563</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483,489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Convertible Debt</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first half of 2015, the Company settled conversion obligations for $144.0 million principal amount of the Company's Notes that was previously surrendered for conversion. As of June 30, 2015, an aggregate principal amount of $33.3 million of the original $400.0 million aggregate principal amount of Notes remained outstanding. In accordance with the terms of the Notes, the</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elected to settle these conversion obligations through a combination of cash, in an amount equal to the principal amount of the converted Notes, and shares of the Company's Common Stock in respect of any amounts due in excess thereof. Consequently, in the first half of 2015, the Company paid $144.0 million in cash and issued 1,399,069 shares of Common Stock. In addition, in the first half of 2015, the Company allocated $694.7 million of the settlement consideration provided to the Note holders to the reacquisition of the equity component of the Notes, and recognized such amount as a reduction of stockholders' equity, and recognized a $16.9 million loss on the debt extinguishment.</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the initial offering of the Notes in October 2011, the Company entered into convertible note hedge and warrant transactions with multiple counterparties, which were recorded to additional paid-in capital. As a result of the Note conversions described above, in the first half of 2015, the Company also exercised a proportionate amount of its convertible note hedges, for which the Company received 1,399,056 shares of Common Stock, which was approximately equal to the number of shares the Company was required to issue to settle the non-cash portion of the related Note conversions. The Company recorded the cost of the shares received, or $117.5 million, as Treasury Stock during the first half of 2015.</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half of 2014, the Company settled conversion obligations for $61.1 million principal amount of the Notes surrendered for conversion. Upon settlement of the Notes during the second quarter of 2014, the Company paid $61.1 million in cash and issued 521,876 shares of Common Stock. In addition, during the second quarter of 2014, the Company allocated $156.7 million of the settlement consideration provided to the Note holders to the reacquisition of the equity component of the Notes, and recognized such amount as a reduction of stockholders' equity, and recognized a $10.8 million loss on the debt extinguishment. In connection with the Note conversions in the first half of 2014, the Company also exercised a proportionate amount of its convertible note hedges, for which the Company received 521,876 shares of Common Stock, which was equivalent to the number of shares the Company was required to issue to settle the non-cash portion of the related Note conversions. The Company recorded the cost of the shares received, or $43.8 million, as Treasury Stock during the first half of 2014.</w:t>
      </w:r>
    </w:p>
    <w:p>
      <w:pPr>
        <w:spacing w:after="0" w:line="23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November 2014, the Company entered into an amendment agreement with a warrant holder whereby the parties agreed to reduce a portion of the number of warrants held by the warrant holder by up to a maximum of 493,229.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As a result of the warrant holder closing out a portion of its hedge position prior to December 31, 2014, the Company recorded a $59.8 million accrued liability as of December 31, 2014 in connection with the warrant holder reducing the number of warrants it held. During the first quarter of 2015, the warrant holder closed out additional portions of its hedge position, and, as a result, in February 2015 the Company paid a total of $124.0 million to reduce the number of warrants held by such warrant holder by 416,480. Upon expiration of the November 2014 amended agreement,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25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first half of 2014, the Company entered into agreements to reduce the number of warrants held by warrant holders. Pursuant to the agreements, the Company paid an aggregate amount of $143.0 million to the warrant holders to reduce the maximum number of shares of Common Stock issuable upon exercise of the warrants by 727,516 in the aggregate.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Credit Facility</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 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Any loans under the Credit Facility have a variable interest rate based on either the London Interbank Offered Rate ("LIBOR") or an alternate base rate, plus an applicable margin that varies with the Company's debt rating and total leverage ratio. The Company had no borrowings outstanding under the Credit Facility as of June 30, 2015.</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June 30,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 recorded an income tax provision in its Statement of Operations of $133.4 million and $112.5 million for the three months ended June 30, 2015 and 2014, respectively, and $333.9 million and $225.0 million for the six months ended June 30, 2015 and 2014, respectively. The Company's effective tax rate was 40.7% and 53.9% for the three months ended June 30, 2015 and 2014, respectively, and 55.2% and 57.7% for the six months ended June 30, 2015 and 2014, respectively. The Company's effective tax rate for the three and six months ended June 30, 2015 was negatively impacted, compared to the U.S. federal statutory rate, by (i) losses incurred in foreign jurisdictions with rates lower than the U.S. federal statutory rate, (ii) the non-deductible Branded Prescription Drug Fee, and (iii) expiration, at the end of 2014, of the federal tax credit for increased research activities.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2014 was negatively impacted by losses incurred in foreign jurisdictions with rates lower than the federal statutory rate and expiration at the end of 2013 of the federal tax credit for increased research activities. In addition, the Company's effective tax rate for the six months ended June 30, 2014 was negatively impacted by New York State tax legislation enacted in the first quarter of 2014.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by 3.9% for the six months ended June 30, 2014.</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also recorded an income tax benefit in its Statement of Comprehensive Income of $16.3 million and $18.9 million for the three and six months ended June 30, 2015, in connection with unrealized losses on available-for-sale marketable securities. For both the three and six months ended June 30, 2014, the Company recorded an income tax provision in its Statement of Comprehensive Income of $1.4 million in connection with unrealized gains on available-for-sale marketable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Statement of Cash Flows</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as of June 30, 2015 and December 31, 2014 were $67.9 million and $56.2 million, respectively, of accrued capital expenditures. Included in accounts payable and accrued expenses as of June 30, 2014 and December 31, 2013 were $35.1 million and $16.1 million, respectively, of accrued capital expenditures.</w:t>
      </w:r>
    </w:p>
    <w:p>
      <w:pPr>
        <w:spacing w:after="0" w:line="23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as of June 30, 2015 and December 31, 2014 was $2.0 million and $7.5 million, respectively, for the Company's conversion settlement obligation related to the Company's Notes which were surrendered for conversion but not settled as of the end of the respective period. No such amounts were payable as of June 30, 2014 and December 31, 2013.</w:t>
      </w:r>
    </w:p>
    <w:p>
      <w:pPr>
        <w:spacing w:after="0" w:line="23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See Note 10. There were no such liabilities recorded in connection with warrants as of June 30, 2015, June 30, 2014, and December 31, 2013.</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recognized a facility lease obligation of $20.1 million and $50.6 million during the six months ended June 30, 2015 and 2014, respectively, in connection with capitalizing, on the Company's books, the landlord's costs of constructing new facilities that the Company has leased.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Legal Matters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Proceedings Relating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287 Patent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018 Patent</w:t>
      </w:r>
    </w:p>
    <w:p>
      <w:pPr>
        <w:spacing w:after="0" w:line="28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involving its European Patent No. 1,360,287 (the "'287 Patent") and its U.S. Patent No. 8,502,018 (the "'018 Patent"), both of which concern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 At this time, the Company is not able to predict the outcome of, or an estimate of gain, if any, related to, these proceedings.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PCSK9 Antibody (Praluent)</w:t>
      </w:r>
    </w:p>
    <w:p>
      <w:pPr>
        <w:spacing w:after="0" w:line="281"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the antibody to PCSK9 for LDL cholesterol reduction Regeneron is jointly developing with Sanofi. On November 11, 2014 and November 17, 2014 Amgen filed complaints against Regeneron, Sanofi, Sanofi-Aventis U.S. LLC, and Aventis Pharmaceuticals, Inc. in the same court seeking the same relief. Amgen asserts U.S. Patent Nos. 8,563,698, 8,829,165, and 8,859,741 in the first complaint, U.S. Patent Nos. 8,871,913 and 8,871,914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In its April 21, 2015 Scheduling Order, the court set a trial date of March 7, 2016. This matter has not yet progressed sufficiently through discovery and/or development of important factual information and legal issues to enable the Company to estimate a range of possible loss, if any.</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Patents Owned by Genentech and City of Hope</w:t>
      </w:r>
    </w:p>
    <w:p>
      <w:pPr>
        <w:spacing w:after="0" w:line="281"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On July 27, 2015, the Company and Sanofi-Aventis U.S. LLC filed a complaint in the United States District Court for the Central District of California (Los Angeles division) seeking a declaratory judgment of invalidity, as well as non-infringement by the manufacture, use, sale, offer of sale, or importation of Praluent (alirocumab), of U.S. Patent No. 7,923,221 jointly owned by Genentech, Inc. ("Genentech") and City of Hope relating to the production of recombinant antibodies in host cells. On the same day, the Company and Sanofi-Aventis U.S. LLC initiated an inter partes review in the United States Patent and Trademark Office seeking a declaration of invalidity of U.S. Patent No. 6,331,415 jointly owned by Genentech and City of Hope relating to the production of recombinant antibodies in host cells. At this time, the Company is not able to predict the outcome of these proceedings.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Recently Issued Accounting Standards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 new standard related to revenue recognition,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ectPr>
          <w:pgSz w:w="11900" w:h="16838" w:orient="portrait"/>
          <w:cols w:equalWidth="0" w:num="1">
            <w:col w:w="11420"/>
          </w:cols>
          <w:pgMar w:left="240" w:top="12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type w:val="continuous"/>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81"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(alirocumab) Injection, sarilumab, dupilumab, fasinumab, and REGN2222; ongoing regulatory obligations and oversight impacting our marketed products (such as EYLEA</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oncology, rheumatoid arthritis (RA), asthma, atopic dermatitis, pain, and infectious diseases.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total revenues were $998.6 million in the second quarter and $1,868.2 million in the first half of 2015, compared to $665.7 million in the second quarter and $1,291.4 million in the first half of 2014. Our net income was $194.6 million, or $1.69 per diluted share, in the second quarter and $270.7 million, or $2.35 per diluted share, in first half of 2015, compared to net income of $96.4 million, or $0.85 per diluted share, in the second quarter and $164.7 million, or $1.46 per diluted share, in the first half of 2014. Refer to the "Results of Operations" section below for further details of our financial results.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three marketed products:</w:t>
      </w:r>
    </w:p>
    <w:p>
      <w:pPr>
        <w:spacing w:after="0" w:line="275"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EYLEA (aflibercept) Injection</w:t>
      </w:r>
      <w:r>
        <w:rPr>
          <w:rFonts w:ascii="Times New Roman" w:cs="Times New Roman" w:eastAsia="Times New Roman" w:hAnsi="Times New Roman"/>
          <w:sz w:val="18"/>
          <w:szCs w:val="18"/>
          <w:color w:val="auto"/>
        </w:rPr>
        <w:t>, known in the scientific literature as VEGF Trap-Eye, which is available in the United States, 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 Japan, and certain other countries outside the United States for the treatment of neovascular age-related macular degeneration (wet AMD), diabetic macular edema (DME), macular edema following central retinal vein occlusion (CRVO), and macular edema following retinal vein occlusion (RVO), which includes macular edema following branch retinal vein occlusion (BRVO). EYLEA is also available in Japan for the treatment of myopic choroidal neovascularization (mCNV) and in the United States for the treatment of diabetic retinopathy in patients with DME. Bayer HealthCare has additional regulatory applications for EYLEA for the treatment of wet AMD, macular edema secondary to CRVO and BRVO, DME, and mCNV pending in other countries. We are collaborating with Bayer HealthCare on the global development and commercialization of EYLEA outside the United States.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Praluent (alirocumab) Injection</w:t>
      </w:r>
      <w:r>
        <w:rPr>
          <w:rFonts w:ascii="Times New Roman" w:cs="Times New Roman" w:eastAsia="Times New Roman" w:hAnsi="Times New Roman"/>
          <w:sz w:val="18"/>
          <w:szCs w:val="18"/>
          <w:color w:val="auto"/>
        </w:rPr>
        <w:t>, which is available in the United States for the treatment of adults with heterozygous familial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hypercholesterolemia or clinical atherosclerotic cardiovascular disease (ASCVD), who require additional lowering of LDL cholesterol. We are collaborating with Sanofi on the global development and commercialization of Praluent.</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(rilonacept) Injection for Subcutaneous Use</w:t>
      </w:r>
      <w:r>
        <w:rPr>
          <w:rFonts w:ascii="Times New Roman" w:cs="Times New Roman" w:eastAsia="Times New Roman" w:hAnsi="Times New Roman"/>
          <w:sz w:val="18"/>
          <w:szCs w:val="18"/>
          <w:color w:val="auto"/>
        </w:rPr>
        <w:t>, which is available in the United States for the treatment of Cryopyrin-Associated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Syndromes (CAPS), including Familial Cold Auto-inflammatory Syndrome (FCAS) and Muckle-Wells Syndrome (MWS), in adults and children 12 years and older.</w:t>
      </w:r>
    </w:p>
    <w:p>
      <w:pPr>
        <w:spacing w:after="0" w:line="253"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7"/>
          <w:szCs w:val="17"/>
          <w:color w:val="auto"/>
        </w:rPr>
        <w:t>In February 2015, we and Sanofi entered into an amended and restated ZALTRAP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agreement (Amended ZALTRAP Agreement). Under the terms of the Amended ZALTRAP Agreement, Sanofi is solely responsible for the development and commercialization of ZALTRAP (ziv-aflibercept) Injection for Intravenous Infusion for cancer indications worldwide. Sanofi bears the cost of all development and commercialization activities and reimburses Regeneron for its costs for any such activities. Sanofi pays us a percentage of aggregate net sales of ZALTRAP during each calendar year, which percentage shall be from 15% to 30%, depending on the aggregate net sales of ZALTRAP in such calendar year. Refer to "Collaboration Agreements - Collaborations with Sanofi</w:t>
      </w:r>
    </w:p>
    <w:p>
      <w:pPr>
        <w:spacing w:after="0" w:line="1" w:lineRule="exact"/>
        <w:rPr>
          <w:sz w:val="20"/>
          <w:szCs w:val="20"/>
          <w:color w:val="auto"/>
        </w:rPr>
      </w:pPr>
    </w:p>
    <w:p>
      <w:pPr>
        <w:jc w:val="both"/>
        <w:ind w:firstLine="8"/>
        <w:spacing w:after="0" w:line="255" w:lineRule="auto"/>
        <w:tabs>
          <w:tab w:leader="none" w:pos="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ZALTRAP" below for further details of the Amended ZALTRAP Agreement. ZALTRAP is currently available in the United States, EU, and certain other countries for treatment, in combination with 5-fluorouracil, leucovorin, irinotecan (FOLFIRI), of patients with metastatic colorectal cancer (mCRC) that is resistant to or has progressed following an oxaliplatin-containing regimen.</w:t>
      </w:r>
    </w:p>
    <w:p>
      <w:pPr>
        <w:spacing w:after="0" w:line="240" w:lineRule="exact"/>
        <w:rPr>
          <w:sz w:val="20"/>
          <w:szCs w:val="20"/>
          <w:color w:val="auto"/>
        </w:rPr>
      </w:pPr>
    </w:p>
    <w:p>
      <w:pPr>
        <w:jc w:val="both"/>
        <w:ind w:firstLine="243"/>
        <w:spacing w:after="0" w:line="270" w:lineRule="auto"/>
        <w:rPr>
          <w:sz w:val="20"/>
          <w:szCs w:val="20"/>
          <w:color w:val="auto"/>
        </w:rPr>
      </w:pPr>
      <w:r>
        <w:rPr>
          <w:rFonts w:ascii="Times New Roman" w:cs="Times New Roman" w:eastAsia="Times New Roman" w:hAnsi="Times New Roman"/>
          <w:sz w:val="18"/>
          <w:szCs w:val="18"/>
          <w:color w:val="auto"/>
        </w:rPr>
        <w:t xml:space="preserve">We have 16 product candidates in clinical development, all of which were discovered in our research laboratories. These consist of a Trap-based clinical program and 15 fully human monoclonal antibody product candidates, as summarized below. Each of the antibodies in the table below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technology.</w:t>
      </w:r>
    </w:p>
    <w:p>
      <w:pPr>
        <w:sectPr>
          <w:pgSz w:w="11900" w:h="16838" w:orient="portrait"/>
          <w:cols w:equalWidth="0" w:num="1">
            <w:col w:w="11420"/>
          </w:cols>
          <w:pgMar w:left="240" w:top="126" w:right="239" w:bottom="3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306" w:gutter="0" w:footer="0" w:header="0"/>
          <w:type w:val="continuous"/>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437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7" w:lineRule="exact"/>
        <w:rPr>
          <w:sz w:val="20"/>
          <w:szCs w:val="20"/>
          <w:color w:val="auto"/>
        </w:rPr>
      </w:pPr>
    </w:p>
    <w:p>
      <w:pPr>
        <w:jc w:val="both"/>
        <w:ind w:left="40" w:right="420"/>
        <w:spacing w:after="0" w:line="266" w:lineRule="auto"/>
        <w:rPr>
          <w:sz w:val="20"/>
          <w:szCs w:val="20"/>
          <w:color w:val="auto"/>
        </w:rPr>
      </w:pPr>
      <w:r>
        <w:rPr>
          <w:rFonts w:ascii="Times New Roman" w:cs="Times New Roman" w:eastAsia="Times New Roman" w:hAnsi="Times New Roman"/>
          <w:sz w:val="18"/>
          <w:szCs w:val="18"/>
          <w:color w:val="auto"/>
        </w:rPr>
        <w:t>In Phase 3 clinical development for the treatment of Neovascular Glaucoma (NVG) (in Japan) in collaboration with Bayer HealthCare. As described below, EYLEA is also being studied in combination with (i) an antibody to Platelet Derived Growth Factor Receptor Beta (PDGFR-beta), and (ii) an antibody to angiopoietin-2 (Ang2).</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w:t>
      </w:r>
    </w:p>
    <w:p>
      <w:pPr>
        <w:spacing w:after="0" w:line="121" w:lineRule="exact"/>
        <w:rPr>
          <w:sz w:val="20"/>
          <w:szCs w:val="20"/>
          <w:color w:val="auto"/>
        </w:rPr>
      </w:pPr>
    </w:p>
    <w:p>
      <w:pPr>
        <w:ind w:left="40" w:right="20"/>
        <w:spacing w:after="0" w:line="266" w:lineRule="auto"/>
        <w:rPr>
          <w:sz w:val="20"/>
          <w:szCs w:val="20"/>
          <w:color w:val="auto"/>
        </w:rPr>
      </w:pPr>
      <w:r>
        <w:rPr>
          <w:rFonts w:ascii="Times New Roman" w:cs="Times New Roman" w:eastAsia="Times New Roman" w:hAnsi="Times New Roman"/>
          <w:sz w:val="18"/>
          <w:szCs w:val="18"/>
          <w:color w:val="auto"/>
        </w:rPr>
        <w:t>Antibody to PCSK9. In Phase 3 clinical development for LDL cholesterol reduction and for the prevention of cardiovascular events. In the third quarter of 2015, the U.S. Food and Drug Administration (FDA) approved Praluent as an adjunct to diet and maximally tolerated statin therapy for the treatment of adults with heterozygous familial hypercholesterolemia or clinical ASCVD, who require additional lowering of LDL cholesterol.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37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w:t>
      </w:r>
    </w:p>
    <w:p>
      <w:pPr>
        <w:spacing w:after="0" w:line="67" w:lineRule="exact"/>
        <w:rPr>
          <w:sz w:val="20"/>
          <w:szCs w:val="20"/>
          <w:color w:val="auto"/>
        </w:rPr>
      </w:pPr>
    </w:p>
    <w:p>
      <w:pPr>
        <w:ind w:left="40" w:right="80"/>
        <w:spacing w:after="0" w:line="313" w:lineRule="auto"/>
        <w:rPr>
          <w:sz w:val="20"/>
          <w:szCs w:val="20"/>
          <w:color w:val="auto"/>
        </w:rPr>
      </w:pPr>
      <w:r>
        <w:rPr>
          <w:rFonts w:ascii="Times New Roman" w:cs="Times New Roman" w:eastAsia="Times New Roman" w:hAnsi="Times New Roman"/>
          <w:sz w:val="17"/>
          <w:szCs w:val="17"/>
          <w:color w:val="auto"/>
        </w:rPr>
        <w:t>Antibody to the interleukin-4 receptor (IL-4R) alpha subunit. In clinical development in atopic dermatitis in adults (Phase 3), atopic dermatitis in children (Phase 2), asthma (Phase 3), nasal polyps in patients who also have chronic sinusitis (NPwCS) (Phase 2), and eosinophilic esophagitis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REGN2810</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programmed cell death protein 1 (PD-1). Phase 1 clinical study in advanced malignancies initiated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w:t>
      </w:r>
    </w:p>
    <w:p>
      <w:pPr>
        <w:spacing w:after="0" w:line="121" w:lineRule="exact"/>
        <w:rPr>
          <w:sz w:val="20"/>
          <w:szCs w:val="20"/>
          <w:color w:val="auto"/>
        </w:rPr>
      </w:pPr>
    </w:p>
    <w:p>
      <w:pPr>
        <w:ind w:left="40" w:right="40"/>
        <w:spacing w:after="0" w:line="266" w:lineRule="auto"/>
        <w:rPr>
          <w:sz w:val="20"/>
          <w:szCs w:val="20"/>
          <w:color w:val="auto"/>
        </w:rPr>
      </w:pPr>
      <w:r>
        <w:rPr>
          <w:rFonts w:ascii="Times New Roman" w:cs="Times New Roman" w:eastAsia="Times New Roman" w:hAnsi="Times New Roman"/>
          <w:sz w:val="18"/>
          <w:szCs w:val="18"/>
          <w:color w:val="auto"/>
        </w:rPr>
        <w:t>Antibody to the Respiratory Syncytial Virus-F (RSV-F) protein. Phase 3 clinical study in RSV initiated in the second quarter of 2015. In the fourth quarter of 2014, Sanofi provided notice to Regeneron that it had elected not to continue co-development of REGN2222 effective December 2015, and will be entitled to receive royalties on any future sales of the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Programs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Combination product comprised of an antibody to PDGFR-beta co-formulated with EYLEA for use in ophthalmology, via intravitreal administration.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2 clinical study for the treatment of wet AMD initiated in the second quarter of 2015.</w:t>
      </w:r>
    </w:p>
    <w:p>
      <w:pPr>
        <w:spacing w:after="0" w:line="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w:t>
      </w:r>
      <w:r>
        <w:rPr>
          <w:rFonts w:ascii="Times New Roman" w:cs="Times New Roman" w:eastAsia="Times New Roman" w:hAnsi="Times New Roman"/>
          <w:sz w:val="25"/>
          <w:szCs w:val="25"/>
          <w:b w:val="1"/>
          <w:bCs w:val="1"/>
          <w:i w:val="1"/>
          <w:iCs w:val="1"/>
          <w:color w:val="auto"/>
          <w:vertAlign w:val="superscript"/>
        </w:rPr>
        <w:t>*</w:t>
      </w:r>
    </w:p>
    <w:p>
      <w:pPr>
        <w:spacing w:after="0" w:line="49" w:lineRule="exact"/>
        <w:rPr>
          <w:sz w:val="20"/>
          <w:szCs w:val="20"/>
          <w:color w:val="auto"/>
        </w:rPr>
      </w:pPr>
    </w:p>
    <w:p>
      <w:pPr>
        <w:ind w:left="40" w:right="20"/>
        <w:spacing w:after="0" w:line="272" w:lineRule="auto"/>
        <w:rPr>
          <w:sz w:val="20"/>
          <w:szCs w:val="20"/>
          <w:color w:val="auto"/>
        </w:rPr>
      </w:pPr>
      <w:r>
        <w:rPr>
          <w:rFonts w:ascii="Times New Roman" w:cs="Times New Roman" w:eastAsia="Times New Roman" w:hAnsi="Times New Roman"/>
          <w:sz w:val="18"/>
          <w:szCs w:val="18"/>
          <w:color w:val="auto"/>
        </w:rPr>
        <w:t>Antibody to Nerve Growth Factor (NGF). Phase 2b/3 study in pain due to osteoarthritis initiated in the second quarter of 2015; currently on partial clinical hold by the FDA limiting duration of trials in osteoarthritis to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REGN1500</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spacing w:after="0" w:line="259" w:lineRule="auto"/>
        <w:rPr>
          <w:sz w:val="20"/>
          <w:szCs w:val="20"/>
          <w:color w:val="auto"/>
        </w:rPr>
      </w:pPr>
      <w:r>
        <w:rPr>
          <w:rFonts w:ascii="Times New Roman" w:cs="Times New Roman" w:eastAsia="Times New Roman" w:hAnsi="Times New Roman"/>
          <w:sz w:val="18"/>
          <w:szCs w:val="18"/>
          <w:color w:val="auto"/>
        </w:rPr>
        <w:t>Antibody to Angptl-3. Phase 2 clinical study for the treatment of dyslipidemia in homozygous familial hypercholesterolemia initiated in the first quarter of 2015. Studies are ongoing under a partial clinical hold by the FDA that excludes women of childbearing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REGN1033</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360"/>
        <w:spacing w:after="0" w:line="259" w:lineRule="auto"/>
        <w:rPr>
          <w:sz w:val="20"/>
          <w:szCs w:val="20"/>
          <w:color w:val="auto"/>
        </w:rPr>
      </w:pPr>
      <w:r>
        <w:rPr>
          <w:rFonts w:ascii="Times New Roman" w:cs="Times New Roman" w:eastAsia="Times New Roman" w:hAnsi="Times New Roman"/>
          <w:sz w:val="18"/>
          <w:szCs w:val="18"/>
          <w:color w:val="auto"/>
        </w:rPr>
        <w:t>Antibody to myostatin (GDF8). In Phase 2 clinical development in skeletal muscle disorders. In the second quarter of 2015, Sanofi provided notice to Regeneron that it had elected not to continue co-development of REGN1033.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37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w:t>
      </w:r>
      <w:r>
        <w:rPr>
          <w:rFonts w:ascii="Times New Roman" w:cs="Times New Roman" w:eastAsia="Times New Roman" w:hAnsi="Times New Roman"/>
          <w:sz w:val="25"/>
          <w:szCs w:val="25"/>
          <w:b w:val="1"/>
          <w:bCs w:val="1"/>
          <w:i w:val="1"/>
          <w:iCs w:val="1"/>
          <w:color w:val="auto"/>
          <w:vertAlign w:val="superscript"/>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Feld1 in Phase 1/Phase 2 clinical development against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REGN1400</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ErbB3. In Phase 1 clinical development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REGN1154</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against an undisclosed target. Phase 1 clinical study in Australia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REGN1193</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glucagon receptor (GCGR). In Phase 1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Bispecific antibody against CD20 and CD3. In Phase 1 clinical development for Non-Hodgkin's Lymphoma and Chronic Lymphocytic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REGN910-3</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8"/>
          <w:szCs w:val="18"/>
          <w:color w:val="auto"/>
        </w:rPr>
        <w:t>Combination product comprised of an antibody to Ang2 co-formulated with EYLEA for use in ophthalmology, via intravitreal administration. In Phase 1 clinical development for the treatment of wet AMD and DME.</w:t>
      </w:r>
    </w:p>
    <w:p>
      <w:pPr>
        <w:sectPr>
          <w:pgSz w:w="11900" w:h="16838" w:orient="portrait"/>
          <w:cols w:equalWidth="0" w:num="1">
            <w:col w:w="11180"/>
          </w:cols>
          <w:pgMar w:left="240" w:top="126" w:right="479" w:bottom="1440" w:gutter="0" w:footer="0" w:header="0"/>
        </w:sectPr>
      </w:pPr>
    </w:p>
    <w:p>
      <w:pPr>
        <w:spacing w:after="0" w:line="2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240" w:top="126" w:right="479" w:bottom="1440" w:gutter="0" w:footer="0" w:header="0"/>
          <w:type w:val="continuous"/>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right="160" w:firstLine="9"/>
        <w:spacing w:after="0" w:line="261" w:lineRule="auto"/>
        <w:tabs>
          <w:tab w:leader="none" w:pos="121"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to co-develop the product candidate and we have sole global rights. Under the terms of our agreement, Sanofi is entitled to receive a mid-single digit royalty on future sales of the product candidate.</w:t>
      </w:r>
    </w:p>
    <w:p>
      <w:pPr>
        <w:spacing w:after="0" w:line="1" w:lineRule="exact"/>
        <w:rPr>
          <w:sz w:val="20"/>
          <w:szCs w:val="20"/>
          <w:color w:val="auto"/>
        </w:rPr>
      </w:pPr>
    </w:p>
    <w:p>
      <w:pPr>
        <w:ind w:left="40" w:right="180" w:firstLine="9"/>
        <w:spacing w:after="0" w:line="262" w:lineRule="auto"/>
        <w:tabs>
          <w:tab w:leader="none" w:pos="163"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24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32" w:lineRule="exact"/>
        <w:rPr>
          <w:sz w:val="20"/>
          <w:szCs w:val="20"/>
          <w:color w:val="auto"/>
        </w:rPr>
      </w:pPr>
    </w:p>
    <w:p>
      <w:pPr>
        <w:jc w:val="both"/>
        <w:ind w:firstLine="243"/>
        <w:spacing w:after="0" w:line="217"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monoclonal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 new product candidates.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leverages laboratory automation and an innovative approach to cloud computing to achieve high-quality throughput at a rate that exceeds 70,000 unique samples per year.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(aflibercept) Injection</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commenced sales of EYLEA in the United States for the treatment of wet AMD in November 2011, macular edema following CRVO in September 2012, DME in July 2014, and macular edema following RVO in October 2014. In addition, in March 2015, the FDA approved EYLEA for the treatment of diabetic retinopathy in patients with DME. Outside the United States, Bayer HealthCare commenced sales of EYLEA for the treatment of wet AMD in the fourth quarter of 2012, macular edema secondary to CRVO in the fourth quarter of 2013, visual impairment due to DME in the third quarter of 2014, and mCNV in Japan in the fourth quarter of 2014. In February and June 2015, the European Commission and the Japanese Ministry of Health, Labour and Welfare (MHLW), respectively, approved EYLEA for the treatment of macular edema following RVO, which includes macular edema following BRVO. In the fourth quarter of 2014, Bayer HealthCare submitted a regulatory application in China for EYLEA for the treatment of wet AMD. Bayer HealthCare has additional regulatory applications for EYLEA for the treatment of wet AMD, macular edema secondary to CRVO and BRVO, DME, and mCNV pending in other countries.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product sales of EYLEA in the United States were $654.6 million in the second quarter and $1,195.7 million in the first half of 2015, compared to $414.8 million in the second quarter and $773.8 million in the first half of of 2014. Bayer HealthCare records revenue from sales of EYLEA outside the United States, which were $337.8 million in the second quarter and $629.6 million in the first half of 2015, compared to $246.8 million in the second quarter and $464.9 million in the first half of 2014.</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 Injection</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July 2015, the FDA approved Praluent as an adjunct to diet and maximally tolerated statin therapy for the treatment of adults with heterozygous familial hypercholesterolemia or clinical ASCVD, who require additional lowering of LDL cholesterol. We are collaborating with Sanofi on the global development and commercialization of Praluent. Under our collaboration agreement, Sanofi will record product sales and cost of sales for commercialized products, and Regeneron has the right to co-promote such products. We have exercised our option to co-promote Praluent in the United States. We and Sanofi will equally share profits and losses from sales within the United States.</w:t>
      </w:r>
    </w:p>
    <w:p>
      <w:pPr>
        <w:sectPr>
          <w:pgSz w:w="11900" w:h="16838" w:orient="portrait"/>
          <w:cols w:equalWidth="0" w:num="1">
            <w:col w:w="11420"/>
          </w:cols>
          <w:pgMar w:left="240" w:top="12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type w:val="continuous"/>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ARCALYST (rilonacept) Injection for Subcutaneous Use</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were $3.2 million in the second quarter and $6.7 million in the first half of 2015, compared to $3.2 million in the second quarter and $6.6 million in the first half of 2014.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 Ophthalmologic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00" w:lineRule="exact"/>
        <w:rPr>
          <w:sz w:val="20"/>
          <w:szCs w:val="20"/>
          <w:color w:val="auto"/>
        </w:rPr>
      </w:pPr>
    </w:p>
    <w:p>
      <w:pPr>
        <w:spacing w:after="0" w:line="2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DME</w:t>
      </w:r>
    </w:p>
    <w:p>
      <w:pPr>
        <w:spacing w:after="0" w:line="277"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Phase 3 VISTA-DME and VIVID-DME Trials</w:t>
      </w:r>
      <w:r>
        <w:rPr>
          <w:rFonts w:ascii="Times New Roman" w:cs="Times New Roman" w:eastAsia="Times New Roman" w:hAnsi="Times New Roman"/>
          <w:sz w:val="18"/>
          <w:szCs w:val="18"/>
          <w:color w:val="auto"/>
        </w:rPr>
        <w:t>. We conducted the VISTA-DME study in the United States, and Bayer HealthCare is conducting the VIVID-DME study in Europe, Japan, and Australia. Patients in both trials were randomized to receive either EYLEA 2 mg monthly, EYLEA 2 mg every two months (after 5 initial monthly injections), or the comparator treatment of laser photocoagulation. Both trials followed patients for up to 148 weeks.</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previous approval for DME, in March 2015, the FDA approved EYLEA for the treatment of diabetic retinopathy in patients with DME.</w:t>
      </w:r>
    </w:p>
    <w:p>
      <w:pPr>
        <w:spacing w:after="0" w:line="277"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3 VIVID EAST-DME Study. </w:t>
      </w:r>
      <w:r>
        <w:rPr>
          <w:rFonts w:ascii="Times New Roman" w:cs="Times New Roman" w:eastAsia="Times New Roman" w:hAnsi="Times New Roman"/>
          <w:sz w:val="18"/>
          <w:szCs w:val="18"/>
          <w:color w:val="auto"/>
        </w:rPr>
        <w:t>We and Bayer HealthCare have conducted a Phase 3 study to evaluate the efficacy and safety of EYLEA in DME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Russia, China, and other Asian countries (VIVID EAST-DME).</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Neovascular Glaucoma</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clinical manifestations of NVG include elevated IOP and neovascularization in the anterior segment of the eye (iris and/or anterior chamber angle). Panretinal photocoagulation (PRP) is commonly used to treat ischemic retina, induce regression of neovascularization in the anterior segment, and reduce IOP. The effects of PRP are not produced immediately, and during this period, further neovascularization may be seen and the anterior chamber angle may become progressively occluded worsening the prognosis. Moreover, it is often difficult to perform PRP in eyes with NVG, due to corneal edema secondary to high IOP or to other opacities of the optic media such as cataract or vitreous hemorrhage. If PRP is suboptimal, cryo-coagulation is conducted or endolaser coagulation may be combined with vitreous surgery. Despite such invasive treatments, progression of the neovascularization may continue because of persistent ischemia.</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type w:val="continuous"/>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NVG meets the criteria for an orphan indication in Japan where the estimated number of NVG patients is 30,000 to 40,000. In the second quarter of 2015, Bayer HealthCare initiated a Phase 3 study in Japan to assess the efficacy and safety of intravitreal administration of aflibercept in comparison to sham treatment on the change in IOP in patients with NVG.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Late-Stage Antibody-based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for LDL cholesterol reduction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Times New Roman" w:cs="Times New Roman" w:eastAsia="Times New Roman" w:hAnsi="Times New Roman"/>
          <w:sz w:val="18"/>
          <w:szCs w:val="18"/>
          <w:i w:val="1"/>
          <w:iCs w:val="1"/>
          <w:color w:val="auto"/>
        </w:rPr>
        <w:t>The 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in March 2006, patients with lower than normal PCSK9 levels due to a genetic abnormality not only had significantly lower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LDL-C, but also a significant reduction in the risk of coronary heart disease (CHD).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generate a fully human monoclonal antibody inhibitor of PCSK9, called Praluent, that is intended to lower LDL cholesterol.</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Programs</w:t>
      </w:r>
    </w:p>
    <w:p>
      <w:pPr>
        <w:spacing w:after="0" w:line="27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Phase 3 ODYSSEY Program</w:t>
      </w:r>
      <w:r>
        <w:rPr>
          <w:rFonts w:ascii="Times New Roman" w:cs="Times New Roman" w:eastAsia="Times New Roman" w:hAnsi="Times New Roman"/>
          <w:sz w:val="18"/>
          <w:szCs w:val="18"/>
          <w:color w:val="auto"/>
        </w:rPr>
        <w:t>. We and Sanofi initiated the global Phase 3 ODYSSEY program for Praluent in the second quarter of 2012. The ODYSSEY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consists of more than 23,500 patients, and includes clinical trials evaluating the effect of Praluent, dosed every two weeks, on lowering LDL cholesterol. In addition, the potential of Praluent to demonstrate cardiovascular benefit is being prospectively assessed in the ongoing 18,000-patient ODYSSEY OUTCOMES trial. LDL cholesterol reduction is the primary efficacy endpoint for initial regulatory filings. Additionally, the ODYSSEY program includes two trials of Praluent dosed every four weeks, ODYSSEY CHOICE I and ODYSSEY CHOICE II. Patients in the ODYSSEY CHOICE I trial received Praluent 300 mg (most in combination with statins) every four weeks and patients in the CHOICE II trial received Praluent 150 mg monotherapy and in combination with non-statin lipid lowering therapy every four weeks. The ODYSSEY studies are being conducted in clinical centers around the world including North America, Western and Eastern Europe, South America, Australia, and Asia.</w:t>
      </w:r>
    </w:p>
    <w:p>
      <w:pPr>
        <w:spacing w:after="0" w:line="24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2013, we and Sanofi reported data from the ODYSSEY MONO trial, which evaluated the efficacy and safety of Praluent monotherapy versus ezetimibe monotherapy in patients with primary hypercholesterolemia. In 2014, we and Sanofi reported detailed positive results from nine additional Phase 3 ODYSSEY studies. All ten studies (ODYSSEY MONO, LONG TERM, FH I, FH II, HIGH FH, COMBO I, COMBO II, OPTIONS I, OPTIONS II, and ALTERNATIVE) met their primary efficacy endpoint of a greater percent reduction from baseline in LDL-C at 24 weeks compared to placebo or active comparator. Based on the positive results of these studies, a Biologics License Application (BLA) for U.S. regulatory approval of Praluent was submitted, and accepted by the FDA in January 2015. An FDA rare pediatric disease priority review voucher was utilized in connection with this BLA submission, as a result of which the submission was accepted by the FDA for priority review. In July 2015, the FDA approved Praluent for the treatment of adults with heterozygous familial hypercholesterolemia or clinical ASCVD, who require additional lowering of LDL cholesterol. In addition, in July 2015, the European Medicines Agency's (EMA's) Committee for Medicinal Products for Human Use (CHMP) adopted a positive opinion for the marketing authorization of Praluent, recommending its approval for use in certain adult patients with hypercholesterolemia.</w:t>
      </w:r>
    </w:p>
    <w:p>
      <w:pPr>
        <w:spacing w:after="0" w:line="24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January 2015, we and Sanofi announced that the ODYSSEY CHOICE I and ODYSSEY CHOICE II studies met their primary efficacy endpoints. The trials compared the reduction from baseline in LDL-C at 24 weeks with Praluent versus placebo in patients with hypercholesterolemia. In these trials dosing every four weeks, the mean percent reduction in LDL-C from baseline was consistent with that seen in previous Phase 3 trials evaluating Praluent in every other week dosing. The most common adverse events (AEs) in the trials (occurring in at least 5% of Praluent-treated patients) were injection site reactions, headache, upper respiratory tract infection, arthralgia, nausea, sinusitis, pain in extremity, and fatigue. Injection site reactions occurred more frequently in the Praluent groups compared to placebo. Detailed data were presented at the American College of Cardiology (ACC) conference in March 2015.</w:t>
      </w:r>
    </w:p>
    <w:p>
      <w:pPr>
        <w:spacing w:after="0" w:line="240" w:lineRule="exact"/>
        <w:rPr>
          <w:sz w:val="20"/>
          <w:szCs w:val="20"/>
          <w:color w:val="auto"/>
        </w:rPr>
      </w:pPr>
    </w:p>
    <w:p>
      <w:pPr>
        <w:jc w:val="both"/>
        <w:ind w:right="20" w:firstLine="243"/>
        <w:spacing w:after="0" w:line="284" w:lineRule="auto"/>
        <w:rPr>
          <w:sz w:val="20"/>
          <w:szCs w:val="20"/>
          <w:color w:val="auto"/>
        </w:rPr>
      </w:pPr>
      <w:r>
        <w:rPr>
          <w:rFonts w:ascii="Times New Roman" w:cs="Times New Roman" w:eastAsia="Times New Roman" w:hAnsi="Times New Roman"/>
          <w:sz w:val="18"/>
          <w:szCs w:val="18"/>
          <w:color w:val="auto"/>
        </w:rPr>
        <w:t xml:space="preserve">In March 2015, 18-month (78-week) results of the ODYSSEY LONG TERM Phase 3 trial of Praluent were published online in </w:t>
      </w:r>
      <w:r>
        <w:rPr>
          <w:rFonts w:ascii="Times New Roman" w:cs="Times New Roman" w:eastAsia="Times New Roman" w:hAnsi="Times New Roman"/>
          <w:sz w:val="18"/>
          <w:szCs w:val="18"/>
          <w:i w:val="1"/>
          <w:iCs w:val="1"/>
          <w:color w:val="auto"/>
        </w:rPr>
        <w:t>The New England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Medicine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July 2015, we and and Sanofi announced that the Phase 3 ODYSSEY JAPAN trial met its primary endpoint. At week 24, patients in the Praluent group experienced an average 64% greater reduction from baseline in their LDL-C when added to current standard of care including statins, compared to standard of care alone (p&lt;0.0001). Patients were started on the lower dose of 75</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mg, with the option to adjust their dose to 150 mg if they had not achieved their LDL-C goal (as defined by the Japan Atherosclerosis Society (JAS) guidelines) at week 8. At week 24, 97% of patients in the Praluent group reached their LDL-C treatment goal, compared to 10% for placebo (p&lt;0.0001). Ninety-nine percent of patients who received Praluent at week 8 remained on the initial 75 mg dose, while 1% of patients had their dose adjusted to receive 150 mg every two weeks, also as a single 1 mL injection. The most common adverse events (occurring in at least 5% of patients in the Praluent group) were nasopharyngitis, injection site reaction, and back pain. Results were presented at the Annual Scientific Meeting of the JAS in Sendai, Japan.</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ODYSSEY JAPAN evaluated Praluent (n =144) compared to placebo (n =72), both on top of standard care, in Japanese patients with hypercholesterolemia, with either HeFH or at high CV risk, and who could not reach their LDL-C treatment goal as defined by the JAS guidelines despite lipid-lowering treatments that included statins. The mean LDL-C value at baseline was 141.2 mg/dL. Patients were initially randomized to receive either Praluent 75 mg every two weeks administered as a single 1 mL injection, or placebo. Patients in both groups received statins, with or without other lipid-lowering therapies.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 IL-6R Antibody) for inflammatory diseases</w:t>
      </w: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right="20" w:firstLine="216"/>
        <w:spacing w:after="0" w:line="282" w:lineRule="auto"/>
        <w:rPr>
          <w:sz w:val="20"/>
          <w:szCs w:val="20"/>
          <w:color w:val="auto"/>
        </w:rPr>
      </w:pPr>
      <w:r>
        <w:rPr>
          <w:rFonts w:ascii="Times New Roman" w:cs="Times New Roman" w:eastAsia="Times New Roman" w:hAnsi="Times New Roman"/>
          <w:sz w:val="18"/>
          <w:szCs w:val="18"/>
          <w:color w:val="auto"/>
        </w:rPr>
        <w:t xml:space="preserve">IL-6 is a key cytokine involved in the pathogenesis of RA, causing inflammation and joint destruction. Sarilumab is a fully human monoclonal antibody to IL-6R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Rheumatoid Arthritis</w:t>
      </w:r>
    </w:p>
    <w:p>
      <w:pPr>
        <w:spacing w:after="0" w:line="27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Phase 3 Studies</w:t>
      </w:r>
      <w:r>
        <w:rPr>
          <w:rFonts w:ascii="Times New Roman" w:cs="Times New Roman" w:eastAsia="Times New Roman" w:hAnsi="Times New Roman"/>
          <w:sz w:val="18"/>
          <w:szCs w:val="18"/>
          <w:color w:val="auto"/>
        </w:rPr>
        <w:t>. In 2013, we and Sanofi announced that in the 52 week SARIL-RA-MOBILITY Phase 3 clinical trial in adult patients with active RA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inadequate responders to methotrexate (MTX) therapy, sarilumab treatment in combination with MTX improved disease signs and symptoms as well as physical function, and inhibited progression of joint damage. Additional data from the trial were presented at the annual meeting of the European League Against Rheumatism (EULAR) in June 2015. A summary of primary endpoints and most common AEs for this trial, as well as additional Phase 3 trials,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161290</wp:posOffset>
            </wp:positionV>
            <wp:extent cx="6817995" cy="2143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7995" cy="2143760"/>
                    </a:xfrm>
                    <a:prstGeom prst="rect">
                      <a:avLst/>
                    </a:prstGeom>
                    <a:noFill/>
                  </pic:spPr>
                </pic:pic>
              </a:graphicData>
            </a:graphic>
          </wp:anchor>
        </w:drawing>
      </w:r>
    </w:p>
    <w:p>
      <w:pPr>
        <w:spacing w:after="0" w:line="25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Completed Efficacy and Safety Studies</w:t>
      </w:r>
    </w:p>
    <w:p>
      <w:pPr>
        <w:spacing w:after="0" w:line="38"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2380" w:type="dxa"/>
            <w:vAlign w:val="bottom"/>
            <w:tcBorders>
              <w:top w:val="single" w:sz="8" w:color="auto"/>
              <w:right w:val="single" w:sz="8" w:color="auto"/>
            </w:tcBorders>
          </w:tcPr>
          <w:p>
            <w:pPr>
              <w:spacing w:after="0"/>
              <w:rPr>
                <w:sz w:val="22"/>
                <w:szCs w:val="22"/>
                <w:color w:val="auto"/>
              </w:rPr>
            </w:pPr>
          </w:p>
        </w:tc>
        <w:tc>
          <w:tcPr>
            <w:tcW w:w="2240" w:type="dxa"/>
            <w:vAlign w:val="bottom"/>
            <w:tcBorders>
              <w:top w:val="single" w:sz="8" w:color="auto"/>
              <w:right w:val="single" w:sz="8" w:color="auto"/>
            </w:tcBorders>
          </w:tcPr>
          <w:p>
            <w:pPr>
              <w:spacing w:after="0"/>
              <w:rPr>
                <w:sz w:val="22"/>
                <w:szCs w:val="22"/>
                <w:color w:val="auto"/>
              </w:rPr>
            </w:pPr>
          </w:p>
        </w:tc>
        <w:tc>
          <w:tcPr>
            <w:tcW w:w="3340" w:type="dxa"/>
            <w:vAlign w:val="bottom"/>
            <w:tcBorders>
              <w:top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Primary efficacy endpoints</w:t>
            </w:r>
          </w:p>
        </w:tc>
        <w:tc>
          <w:tcPr>
            <w:tcW w:w="106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380" w:type="dxa"/>
            <w:vAlign w:val="bottom"/>
            <w:tcBorders>
              <w:right w:val="single" w:sz="8" w:color="auto"/>
            </w:tcBorders>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Study</w:t>
            </w:r>
          </w:p>
        </w:tc>
        <w:tc>
          <w:tcPr>
            <w:tcW w:w="224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Patient group</w:t>
            </w: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Most common AEs</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auto"/>
              <w:right w:val="single" w:sz="8" w:color="auto"/>
            </w:tcBorders>
            <w:vMerge w:val="continue"/>
          </w:tcPr>
          <w:p>
            <w:pPr>
              <w:spacing w:after="0"/>
              <w:rPr>
                <w:sz w:val="22"/>
                <w:szCs w:val="22"/>
                <w:color w:val="auto"/>
              </w:rPr>
            </w:pPr>
          </w:p>
        </w:tc>
        <w:tc>
          <w:tcPr>
            <w:tcW w:w="2240" w:type="dxa"/>
            <w:vAlign w:val="bottom"/>
            <w:tcBorders>
              <w:bottom w:val="single" w:sz="8" w:color="auto"/>
              <w:right w:val="single" w:sz="8" w:color="auto"/>
            </w:tcBorders>
            <w:vMerge w:val="continue"/>
          </w:tcPr>
          <w:p>
            <w:pPr>
              <w:spacing w:after="0"/>
              <w:rPr>
                <w:sz w:val="22"/>
                <w:szCs w:val="22"/>
                <w:color w:val="auto"/>
              </w:rPr>
            </w:pPr>
          </w:p>
        </w:tc>
        <w:tc>
          <w:tcPr>
            <w:tcW w:w="2260" w:type="dxa"/>
            <w:vAlign w:val="bottom"/>
            <w:tcBorders>
              <w:bottom w:val="single" w:sz="8" w:color="auto"/>
              <w:right w:val="single" w:sz="8" w:color="auto"/>
            </w:tcBorders>
          </w:tcPr>
          <w:p>
            <w:pPr>
              <w:ind w:left="560"/>
              <w:spacing w:after="0" w:line="264" w:lineRule="exact"/>
              <w:rPr>
                <w:sz w:val="20"/>
                <w:szCs w:val="20"/>
                <w:color w:val="auto"/>
              </w:rPr>
            </w:pPr>
            <w:r>
              <w:rPr>
                <w:rFonts w:ascii="Times New Roman" w:cs="Times New Roman" w:eastAsia="Times New Roman" w:hAnsi="Times New Roman"/>
                <w:sz w:val="18"/>
                <w:szCs w:val="18"/>
                <w:b w:val="1"/>
                <w:bCs w:val="1"/>
                <w:color w:val="auto"/>
              </w:rPr>
              <w:t>ACR</w:t>
            </w:r>
            <w:r>
              <w:rPr>
                <w:rFonts w:ascii="Times New Roman" w:cs="Times New Roman" w:eastAsia="Times New Roman" w:hAnsi="Times New Roman"/>
                <w:sz w:val="25"/>
                <w:szCs w:val="25"/>
                <w:b w:val="1"/>
                <w:bCs w:val="1"/>
                <w:i w:val="1"/>
                <w:iCs w:val="1"/>
                <w:color w:val="auto"/>
                <w:vertAlign w:val="superscript"/>
              </w:rPr>
              <w:t>a</w:t>
            </w:r>
            <w:r>
              <w:rPr>
                <w:rFonts w:ascii="Times New Roman" w:cs="Times New Roman" w:eastAsia="Times New Roman" w:hAnsi="Times New Roman"/>
                <w:sz w:val="18"/>
                <w:szCs w:val="18"/>
                <w:b w:val="1"/>
                <w:bCs w:val="1"/>
                <w:color w:val="auto"/>
              </w:rPr>
              <w:t xml:space="preserve"> 20/50/70</w:t>
            </w:r>
          </w:p>
        </w:tc>
        <w:tc>
          <w:tcPr>
            <w:tcW w:w="108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18"/>
                <w:szCs w:val="18"/>
                <w:b w:val="1"/>
                <w:bCs w:val="1"/>
                <w:color w:val="auto"/>
                <w:w w:val="98"/>
              </w:rPr>
              <w:t>HAQ-DI</w:t>
            </w:r>
            <w:r>
              <w:rPr>
                <w:rFonts w:ascii="Times New Roman" w:cs="Times New Roman" w:eastAsia="Times New Roman" w:hAnsi="Times New Roman"/>
                <w:sz w:val="25"/>
                <w:szCs w:val="25"/>
                <w:b w:val="1"/>
                <w:bCs w:val="1"/>
                <w:i w:val="1"/>
                <w:iCs w:val="1"/>
                <w:color w:val="auto"/>
                <w:w w:val="98"/>
                <w:vertAlign w:val="superscript"/>
              </w:rPr>
              <w:t>b</w:t>
            </w: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18"/>
                <w:szCs w:val="18"/>
                <w:b w:val="1"/>
                <w:bCs w:val="1"/>
                <w:color w:val="auto"/>
                <w:w w:val="99"/>
              </w:rPr>
              <w:t>mTSS</w:t>
            </w:r>
            <w:r>
              <w:rPr>
                <w:rFonts w:ascii="Times New Roman" w:cs="Times New Roman" w:eastAsia="Times New Roman" w:hAnsi="Times New Roman"/>
                <w:sz w:val="25"/>
                <w:szCs w:val="25"/>
                <w:b w:val="1"/>
                <w:bCs w:val="1"/>
                <w:i w:val="1"/>
                <w:iCs w:val="1"/>
                <w:color w:val="auto"/>
                <w:w w:val="99"/>
                <w:vertAlign w:val="superscript"/>
              </w:rPr>
              <w:t>c</w:t>
            </w: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MOBILITY </w:t>
            </w:r>
            <w:r>
              <w:rPr>
                <w:rFonts w:ascii="Times New Roman" w:cs="Times New Roman" w:eastAsia="Times New Roman" w:hAnsi="Times New Roman"/>
                <w:sz w:val="14"/>
                <w:szCs w:val="14"/>
                <w:i w:val="1"/>
                <w:iCs w:val="1"/>
                <w:color w:val="auto"/>
              </w:rPr>
              <w:t>(n=1,197)</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Moderate to severe RA with</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58/37/20 (p&lt;0.0001 vs.</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0.90</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reduction</w:t>
            </w: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150mg + MTX (n=400)</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inadequate response to MTX</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placebo)</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neutrophil counts,</w:t>
            </w:r>
          </w:p>
        </w:tc>
        <w:tc>
          <w:tcPr>
            <w:tcW w:w="0" w:type="dxa"/>
            <w:vAlign w:val="bottom"/>
          </w:tcPr>
          <w:p>
            <w:pPr>
              <w:spacing w:after="0"/>
              <w:rPr>
                <w:sz w:val="1"/>
                <w:szCs w:val="1"/>
                <w:color w:val="auto"/>
              </w:rPr>
            </w:pPr>
          </w:p>
        </w:tc>
      </w:tr>
      <w:tr>
        <w:trPr>
          <w:trHeight w:val="72"/>
        </w:trPr>
        <w:tc>
          <w:tcPr>
            <w:tcW w:w="2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i w:val="1"/>
                <w:iCs w:val="1"/>
                <w:color w:val="auto"/>
              </w:rPr>
              <w:t>200mg + MTX (n=398)</w:t>
            </w:r>
          </w:p>
        </w:tc>
        <w:tc>
          <w:tcPr>
            <w:tcW w:w="2240" w:type="dxa"/>
            <w:vAlign w:val="bottom"/>
            <w:tcBorders>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in mean</w:t>
            </w:r>
          </w:p>
        </w:tc>
        <w:tc>
          <w:tcPr>
            <w:tcW w:w="0" w:type="dxa"/>
            <w:vAlign w:val="bottom"/>
          </w:tcPr>
          <w:p>
            <w:pPr>
              <w:spacing w:after="0"/>
              <w:rPr>
                <w:sz w:val="1"/>
                <w:szCs w:val="1"/>
                <w:color w:val="auto"/>
              </w:rPr>
            </w:pPr>
          </w:p>
        </w:tc>
      </w:tr>
      <w:tr>
        <w:trPr>
          <w:trHeight w:val="124"/>
        </w:trPr>
        <w:tc>
          <w:tcPr>
            <w:tcW w:w="238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66/46/25 (p&lt;0.0001 vs.</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-0.55</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0.25</w:t>
            </w: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LDL-C and</w:t>
            </w:r>
          </w:p>
        </w:tc>
        <w:tc>
          <w:tcPr>
            <w:tcW w:w="0" w:type="dxa"/>
            <w:vAlign w:val="bottom"/>
          </w:tcPr>
          <w:p>
            <w:pPr>
              <w:spacing w:after="0"/>
              <w:rPr>
                <w:sz w:val="1"/>
                <w:szCs w:val="1"/>
                <w:color w:val="auto"/>
              </w:rPr>
            </w:pPr>
          </w:p>
        </w:tc>
      </w:tr>
      <w:tr>
        <w:trPr>
          <w:trHeight w:val="122"/>
        </w:trPr>
        <w:tc>
          <w:tcPr>
            <w:tcW w:w="2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i w:val="1"/>
                <w:iCs w:val="1"/>
                <w:color w:val="auto"/>
              </w:rPr>
              <w:t>Placebo + MTX (n=399)</w:t>
            </w:r>
          </w:p>
        </w:tc>
        <w:tc>
          <w:tcPr>
            <w:tcW w:w="2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placebo)</w:t>
            </w:r>
          </w:p>
        </w:tc>
        <w:tc>
          <w:tcPr>
            <w:tcW w:w="10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700" w:type="dxa"/>
            <w:vAlign w:val="bottom"/>
            <w:vMerge w:val="restart"/>
          </w:tcPr>
          <w:p>
            <w:pPr>
              <w:ind w:left="20"/>
              <w:spacing w:after="0" w:line="160" w:lineRule="exact"/>
              <w:rPr>
                <w:sz w:val="20"/>
                <w:szCs w:val="20"/>
                <w:color w:val="auto"/>
              </w:rPr>
            </w:pPr>
            <w:r>
              <w:rPr>
                <w:rFonts w:ascii="Times New Roman" w:cs="Times New Roman" w:eastAsia="Times New Roman" w:hAnsi="Times New Roman"/>
                <w:sz w:val="18"/>
                <w:szCs w:val="18"/>
                <w:color w:val="auto"/>
              </w:rPr>
              <w:t>transaminases</w:t>
            </w:r>
          </w:p>
        </w:tc>
        <w:tc>
          <w:tcPr>
            <w:tcW w:w="0" w:type="dxa"/>
            <w:vAlign w:val="bottom"/>
          </w:tcPr>
          <w:p>
            <w:pPr>
              <w:spacing w:after="0"/>
              <w:rPr>
                <w:sz w:val="1"/>
                <w:szCs w:val="1"/>
                <w:color w:val="auto"/>
              </w:rPr>
            </w:pPr>
          </w:p>
        </w:tc>
      </w:tr>
      <w:tr>
        <w:trPr>
          <w:trHeight w:val="54"/>
        </w:trPr>
        <w:tc>
          <w:tcPr>
            <w:tcW w:w="2380" w:type="dxa"/>
            <w:vAlign w:val="bottom"/>
            <w:tcBorders>
              <w:right w:val="single" w:sz="8" w:color="auto"/>
            </w:tcBorders>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3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33/17/7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-0.29</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2.78</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TARGET </w:t>
            </w:r>
            <w:r>
              <w:rPr>
                <w:rFonts w:ascii="Times New Roman" w:cs="Times New Roman" w:eastAsia="Times New Roman" w:hAnsi="Times New Roman"/>
                <w:sz w:val="14"/>
                <w:szCs w:val="14"/>
                <w:i w:val="1"/>
                <w:iCs w:val="1"/>
                <w:color w:val="auto"/>
              </w:rPr>
              <w:t>(n=546)</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Moderate to severe active RA</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56/NA/NA (p&lt;0.001)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injection</w:t>
            </w:r>
          </w:p>
        </w:tc>
        <w:tc>
          <w:tcPr>
            <w:tcW w:w="0" w:type="dxa"/>
            <w:vAlign w:val="bottom"/>
          </w:tcPr>
          <w:p>
            <w:pPr>
              <w:spacing w:after="0"/>
              <w:rPr>
                <w:sz w:val="1"/>
                <w:szCs w:val="1"/>
                <w:color w:val="auto"/>
              </w:rPr>
            </w:pPr>
          </w:p>
        </w:tc>
      </w:tr>
      <w:tr>
        <w:trPr>
          <w:trHeight w:val="142"/>
        </w:trPr>
        <w:tc>
          <w:tcPr>
            <w:tcW w:w="2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i w:val="1"/>
                <w:iCs w:val="1"/>
                <w:color w:val="auto"/>
              </w:rPr>
              <w:t>150mg + DMARD</w:t>
            </w:r>
            <w:r>
              <w:rPr>
                <w:rFonts w:ascii="Times New Roman" w:cs="Times New Roman" w:eastAsia="Times New Roman" w:hAnsi="Times New Roman"/>
                <w:sz w:val="8"/>
                <w:szCs w:val="8"/>
                <w:i w:val="1"/>
                <w:iCs w:val="1"/>
                <w:color w:val="auto"/>
              </w:rPr>
              <w:t>d</w:t>
            </w:r>
          </w:p>
        </w:tc>
        <w:tc>
          <w:tcPr>
            <w:tcW w:w="2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 inadequate response to,</w:t>
            </w:r>
          </w:p>
        </w:tc>
        <w:tc>
          <w:tcPr>
            <w:tcW w:w="2260" w:type="dxa"/>
            <w:vAlign w:val="bottom"/>
            <w:tcBorders>
              <w:bottom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site reactions,</w:t>
            </w:r>
          </w:p>
        </w:tc>
        <w:tc>
          <w:tcPr>
            <w:tcW w:w="0" w:type="dxa"/>
            <w:vAlign w:val="bottom"/>
          </w:tcPr>
          <w:p>
            <w:pPr>
              <w:spacing w:after="0"/>
              <w:rPr>
                <w:sz w:val="1"/>
                <w:szCs w:val="1"/>
                <w:color w:val="auto"/>
              </w:rPr>
            </w:pPr>
          </w:p>
        </w:tc>
      </w:tr>
      <w:tr>
        <w:trPr>
          <w:trHeight w:val="56"/>
        </w:trPr>
        <w:tc>
          <w:tcPr>
            <w:tcW w:w="238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61/NA/NA (p&lt;0.001)</w:t>
            </w:r>
          </w:p>
        </w:tc>
        <w:tc>
          <w:tcPr>
            <w:tcW w:w="108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200mg + DMARD</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intolerant of, one or more</w:t>
            </w:r>
          </w:p>
        </w:tc>
        <w:tc>
          <w:tcPr>
            <w:tcW w:w="2260" w:type="dxa"/>
            <w:vAlign w:val="bottom"/>
            <w:tcBorders>
              <w:right w:val="single" w:sz="8" w:color="auto"/>
            </w:tcBorders>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in</w:t>
            </w:r>
          </w:p>
        </w:tc>
        <w:tc>
          <w:tcPr>
            <w:tcW w:w="0" w:type="dxa"/>
            <w:vAlign w:val="bottom"/>
          </w:tcPr>
          <w:p>
            <w:pPr>
              <w:spacing w:after="0"/>
              <w:rPr>
                <w:sz w:val="1"/>
                <w:szCs w:val="1"/>
                <w:color w:val="auto"/>
              </w:rPr>
            </w:pPr>
          </w:p>
        </w:tc>
      </w:tr>
      <w:tr>
        <w:trPr>
          <w:trHeight w:val="86"/>
        </w:trPr>
        <w:tc>
          <w:tcPr>
            <w:tcW w:w="2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i w:val="1"/>
                <w:iCs w:val="1"/>
                <w:color w:val="auto"/>
              </w:rPr>
              <w:t>Placebo + DMARD</w:t>
            </w:r>
          </w:p>
        </w:tc>
        <w:tc>
          <w:tcPr>
            <w:tcW w:w="2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tumor necrosis factor-alpha</w:t>
            </w:r>
          </w:p>
        </w:tc>
        <w:tc>
          <w:tcPr>
            <w:tcW w:w="2260" w:type="dxa"/>
            <w:vAlign w:val="bottom"/>
            <w:tcBorders>
              <w:bottom w:val="single" w:sz="8" w:color="auto"/>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neutrophil counts</w:t>
            </w:r>
          </w:p>
        </w:tc>
        <w:tc>
          <w:tcPr>
            <w:tcW w:w="0" w:type="dxa"/>
            <w:vAlign w:val="bottom"/>
          </w:tcPr>
          <w:p>
            <w:pPr>
              <w:spacing w:after="0"/>
              <w:rPr>
                <w:sz w:val="1"/>
                <w:szCs w:val="1"/>
                <w:color w:val="auto"/>
              </w:rPr>
            </w:pPr>
          </w:p>
        </w:tc>
      </w:tr>
      <w:tr>
        <w:trPr>
          <w:trHeight w:val="110"/>
        </w:trPr>
        <w:tc>
          <w:tcPr>
            <w:tcW w:w="238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34/NA/NA</w:t>
            </w:r>
          </w:p>
        </w:tc>
        <w:tc>
          <w:tcPr>
            <w:tcW w:w="10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(TNF-alpha) inhibitors</w:t>
            </w:r>
          </w:p>
        </w:tc>
        <w:tc>
          <w:tcPr>
            <w:tcW w:w="226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55" w:lineRule="exact"/>
        <w:rPr>
          <w:sz w:val="20"/>
          <w:szCs w:val="20"/>
          <w:color w:val="auto"/>
        </w:rPr>
      </w:pPr>
    </w:p>
    <w:p>
      <w:pPr>
        <w:ind w:left="760" w:hanging="347"/>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ACR = American College of Rheumatology score</w:t>
      </w:r>
    </w:p>
    <w:p>
      <w:pPr>
        <w:spacing w:after="0" w:line="95" w:lineRule="exact"/>
        <w:rPr>
          <w:rFonts w:ascii="Times New Roman" w:cs="Times New Roman" w:eastAsia="Times New Roman" w:hAnsi="Times New Roman"/>
          <w:sz w:val="14"/>
          <w:szCs w:val="14"/>
          <w:color w:val="auto"/>
        </w:rPr>
      </w:pPr>
    </w:p>
    <w:p>
      <w:pPr>
        <w:ind w:left="760" w:hanging="347"/>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HAQ-DI = the Health Assessment Question-Disability Index</w:t>
      </w:r>
    </w:p>
    <w:p>
      <w:pPr>
        <w:spacing w:after="0" w:line="95" w:lineRule="exact"/>
        <w:rPr>
          <w:rFonts w:ascii="Times New Roman" w:cs="Times New Roman" w:eastAsia="Times New Roman" w:hAnsi="Times New Roman"/>
          <w:sz w:val="14"/>
          <w:szCs w:val="14"/>
          <w:color w:val="auto"/>
        </w:rPr>
      </w:pPr>
    </w:p>
    <w:p>
      <w:pPr>
        <w:ind w:left="760" w:hanging="347"/>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mTSS = van der Heijde modified total Sharp score</w:t>
      </w:r>
    </w:p>
    <w:p>
      <w:pPr>
        <w:spacing w:after="0" w:line="95" w:lineRule="exact"/>
        <w:rPr>
          <w:rFonts w:ascii="Times New Roman" w:cs="Times New Roman" w:eastAsia="Times New Roman" w:hAnsi="Times New Roman"/>
          <w:sz w:val="14"/>
          <w:szCs w:val="14"/>
          <w:color w:val="auto"/>
        </w:rPr>
      </w:pPr>
    </w:p>
    <w:p>
      <w:pPr>
        <w:ind w:left="760" w:hanging="347"/>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DMARD = non-biologic disease modifying anti-rheumatic drugs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252095</wp:posOffset>
            </wp:positionV>
            <wp:extent cx="6817995" cy="155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7995" cy="1551940"/>
                    </a:xfrm>
                    <a:prstGeom prst="rect">
                      <a:avLst/>
                    </a:prstGeom>
                    <a:noFill/>
                  </pic:spPr>
                </pic:pic>
              </a:graphicData>
            </a:graphic>
          </wp:anchor>
        </w:drawing>
      </w:r>
    </w:p>
    <w:p>
      <w:pPr>
        <w:spacing w:after="0" w:line="39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Completed Safety Studies</w:t>
      </w:r>
    </w:p>
    <w:p>
      <w:pPr>
        <w:spacing w:after="0" w:line="3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260" w:type="dxa"/>
            <w:vAlign w:val="bottom"/>
            <w:tcBorders>
              <w:top w:val="single" w:sz="8" w:color="auto"/>
              <w:right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spacing w:after="0"/>
              <w:rPr>
                <w:sz w:val="20"/>
                <w:szCs w:val="20"/>
                <w:color w:val="auto"/>
              </w:rPr>
            </w:pPr>
          </w:p>
        </w:tc>
        <w:tc>
          <w:tcPr>
            <w:tcW w:w="450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Study met primary</w:t>
            </w:r>
          </w:p>
        </w:tc>
      </w:tr>
      <w:tr>
        <w:trPr>
          <w:trHeight w:val="238"/>
        </w:trPr>
        <w:tc>
          <w:tcPr>
            <w:tcW w:w="22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Study</w:t>
            </w:r>
          </w:p>
        </w:tc>
        <w:tc>
          <w:tcPr>
            <w:tcW w:w="22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Patient group</w:t>
            </w:r>
          </w:p>
        </w:tc>
        <w:tc>
          <w:tcPr>
            <w:tcW w:w="450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Primary endpoint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endpoint?</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ASCERTAIN </w:t>
            </w:r>
            <w:r>
              <w:rPr>
                <w:rFonts w:ascii="Times New Roman" w:cs="Times New Roman" w:eastAsia="Times New Roman" w:hAnsi="Times New Roman"/>
                <w:sz w:val="14"/>
                <w:szCs w:val="14"/>
                <w:i w:val="1"/>
                <w:iCs w:val="1"/>
                <w:color w:val="auto"/>
              </w:rPr>
              <w:t>(n=202)</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Moderate to severe active RA</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Assess safety of two subcutaneous doses of sarilumab and</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inadequate response to,</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tocilizumab in combination with DMARDs</w:t>
            </w:r>
          </w:p>
        </w:tc>
        <w:tc>
          <w:tcPr>
            <w:tcW w:w="1700" w:type="dxa"/>
            <w:vAlign w:val="bottom"/>
          </w:tcPr>
          <w:p>
            <w:pPr>
              <w:spacing w:after="0"/>
              <w:rPr>
                <w:sz w:val="18"/>
                <w:szCs w:val="18"/>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intolerant of, one or more</w:t>
            </w:r>
          </w:p>
        </w:tc>
        <w:tc>
          <w:tcPr>
            <w:tcW w:w="450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TNF-alpha inhibitors</w:t>
            </w:r>
          </w:p>
        </w:tc>
        <w:tc>
          <w:tcPr>
            <w:tcW w:w="450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EASY </w:t>
            </w:r>
            <w:r>
              <w:rPr>
                <w:rFonts w:ascii="Times New Roman" w:cs="Times New Roman" w:eastAsia="Times New Roman" w:hAnsi="Times New Roman"/>
                <w:sz w:val="14"/>
                <w:szCs w:val="14"/>
                <w:i w:val="1"/>
                <w:iCs w:val="1"/>
                <w:color w:val="auto"/>
              </w:rPr>
              <w:t>(n=217)</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Completed patients from</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 technical failures</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MOBILITY, TARGET, or</w:t>
            </w:r>
          </w:p>
        </w:tc>
        <w:tc>
          <w:tcPr>
            <w:tcW w:w="450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ASCERTAIN trials</w:t>
            </w:r>
          </w:p>
        </w:tc>
        <w:tc>
          <w:tcPr>
            <w:tcW w:w="450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Detailed results from the SARIL-RA-TARGET, SARIL-RA-EASY, and SARIL-RA-ASCERTAIN trials will be presented at future medical congresses.</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and Sanofi have also initiated additional Phase 3 studies, SARIL-RA-ONE, SARIL-RA-MONARCH, and SARIL-RA-KAKEHASI (in Japan). In addition, the SARIL-RA-HARUKA long-term safety trial was initiated in Japan in the first quarter of 2015. In the second quarter of 2015, an open-label, randomized, parallel group, single-dose Phase 1 study to assess the safety of IL-6 receptor blockade with sarilumab or tocilizumab monotherapy in Japanese patients with RA was also initiated. The broad SARIL-RA clinical development program is focused on adult populations with moderate-to-severe RA who are inadequate responders to either MTX or tumor necrosis factor alpha inhibitor therapy. Patients who complete SARIL-RA-MOBILITY, SARIL-RA-TARGET, SARIL-RA-ASCERTAIN, or SARIL-RA-ONE are offered enrollment into the ongoing SARIL-RA-EXTEND, which is an open-label, long-term safety study of sarilumab.</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Non-infectious Uveitis</w:t>
      </w:r>
    </w:p>
    <w:p>
      <w:pPr>
        <w:spacing w:after="0" w:line="27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Phase 2 SARIL-NIU-SATURN Study</w:t>
      </w:r>
      <w:r>
        <w:rPr>
          <w:rFonts w:ascii="Times New Roman" w:cs="Times New Roman" w:eastAsia="Times New Roman" w:hAnsi="Times New Roman"/>
          <w:sz w:val="18"/>
          <w:szCs w:val="18"/>
          <w:color w:val="auto"/>
        </w:rPr>
        <w:t>. A Phase 2 study, SARIL-NIU-SATURN, was initiated in 2013 and is a placebo-controlled proof-of-concept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the safety and efficacy of sarilumab in non-infectious uveitis. The study is fully enrolled.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 IL-4R Antibody) for allergic and inflammatory conditions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chronic sinusitis with nasal polyposis, and eosinophilic esophagitis. Dupilumab is a fully human monoclonal antibody generated using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technology that is designed to bind to IL-4R alpha subunit and block signaling from both IL-4 and IL-13.</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Atopic Dermatitis</w:t>
      </w:r>
    </w:p>
    <w:p>
      <w:pPr>
        <w:spacing w:after="0" w:line="27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Phase 2b Trial</w:t>
      </w:r>
      <w:r>
        <w:rPr>
          <w:rFonts w:ascii="Times New Roman" w:cs="Times New Roman" w:eastAsia="Times New Roman" w:hAnsi="Times New Roman"/>
          <w:sz w:val="18"/>
          <w:szCs w:val="18"/>
          <w:color w:val="auto"/>
        </w:rPr>
        <w:t>. In July 2014, we and Sanofi announced positive results from a Phase 2b dose-ranging study of dupilumab in adult patients with moderate-to-severe atopic dermatitis. All doses of dupilumab met the primary endpoint of a greater improvement in Eczema Severe Score Index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4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Dupilumab-treated patients showed highly statistically significant and dose-dependent improvements in additional key efficacy measures compared to placebo after 16 weeks of treatment:</w:t>
      </w:r>
    </w:p>
    <w:p>
      <w:pPr>
        <w:spacing w:after="0" w:line="81"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to 33% of dupilumab-treated patients achieved clearing or near-clearing of skin lesions, as measured by an Investigator's Global Assessment (IGA) score of 0 or 1, compared to 2% with placebo (p=0.02 to p&lt;0.0001).</w:t>
      </w: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 corticosteroid and approximately 20% received a systemic non-steroid immunosuppressant for atopic dermatitis. Approximately 60% of patients had another allergic condition, including approximately 40% of patients who had a history of asthma. The follow-up period of the study is ongoing and patients will be followed for 16 weeks after treatment.</w:t>
      </w:r>
    </w:p>
    <w:p>
      <w:pPr>
        <w:spacing w:after="0" w:line="24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In the fourth quarter of 2014, four Phase 3 trials in atopic dermatitis, LIBERTY AD CHRONOS, LIBERTY AD SOLO 1, LIBERTY 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SOLO 2, and LIBERTY AD Open label Extension, were initiated. Enrollment has been completed in the LIBERTY AD CHRONOS, LIBERTY AD SOLO 1 and LIBERTY AD SOLO 2 pivotal trials. LIBERTY AD CHRONOS is a randomized, double-blind, placebo-controlled, multi-national study with the primary objective of demonstrating the efficacy of dupilumab in adults with moderate-to-severe atopic dermatitis when administered concomitantly with topical corticosteroids through 16 weeks. Secondary objectives of the LIBERTY AD CHRONOS trial will evaluate the long-term safety and efficacy of dupilumab up to 52 weeks. The LIBERTY AD Phase 3 clinical program will consist of patients with moderate-to-severe atopic dermatitis at sites worldwide.</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November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and the determination that atopic dermatitis is a serious disease and preliminary clinical evidence indicates that the drug may demonstrate substantial improvement over existing therapies.</w:t>
      </w:r>
    </w:p>
    <w:p>
      <w:pPr>
        <w:spacing w:after="0" w:line="232"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Phase 2 Trial in Adolescents and Children</w:t>
      </w:r>
      <w:r>
        <w:rPr>
          <w:rFonts w:ascii="Times New Roman" w:cs="Times New Roman" w:eastAsia="Times New Roman" w:hAnsi="Times New Roman"/>
          <w:sz w:val="18"/>
          <w:szCs w:val="18"/>
          <w:color w:val="auto"/>
        </w:rPr>
        <w:t>. In March 2015, a Phase 2 pharmacokinetic and safety study in adolescents and children (6-17 years of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moderate-to-severe atopic dermatitis was initiated.</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Asthma</w:t>
      </w:r>
    </w:p>
    <w:p>
      <w:pPr>
        <w:spacing w:after="0" w:line="27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Phase 2b Study</w:t>
      </w:r>
      <w:r>
        <w:rPr>
          <w:rFonts w:ascii="Times New Roman" w:cs="Times New Roman" w:eastAsia="Times New Roman" w:hAnsi="Times New Roman"/>
          <w:sz w:val="18"/>
          <w:szCs w:val="18"/>
          <w:color w:val="auto"/>
        </w:rPr>
        <w:t>. In May 2015, we and Sanofi presented positive results from an interim analysis of a pivotal Phase 2b study of dupilumab in adult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moderate-to-severe asthma, who are uncontrolled despite treatment with inhaled corticosteroids and long-acting beta agonists (ICS/LABA), at the American Thoracic Society 2015 International Conference. As previously reported in 2014, the study met its primary endpoint of improving lung function in asthma patients with high blood eosinophil counts ((HEos), greater than or equal to 300 eosinophilic cells/microliter). New data presented on secondary endpoints at the American Thoracic Society 2015 International Conference included positive results in study patients with low blood eosinophil counts ((LEos), less than 300 eosinophilic cells/microliter), who are thought to be less likely to suffer from "allergic" asthma and thus less likely to respond to Type 2 helper T-cell (TH2) targeted therapies. Based on discussions with the FDA, this Phase 2b study may be considered one of two pivotal efficacy studies required for a potential dupilumab BLA in asthma.</w:t>
      </w:r>
    </w:p>
    <w:p>
      <w:pPr>
        <w:spacing w:after="0" w:line="24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results presented in May 2015 focused on LEos asthma patients. In this population, patients treated every other week with either 200 mg or 300 mg doses of dupilumab showed a greater than 8% improvement in forced expiratory volume over one second ((FEV1), a standard measure of lung function) at week 12 (p&lt;0.001), in comparison to placebo, both in combination with ICS/LABA. Additionally, the 200 mg and 300 mg every other week doses of dupilumab in combination with ICS/LABA showed 68% and 62% reductions, respectively, in adjusted annualized rate of severe exacerbations in the LEos population (p&lt;0.01 and p&lt;0.05), in comparison to placebo in combination with ICS/LABA. These results are consistent with previously reported positive results in HEos asthma patients and the overall patient population, in which the two every other week doses (200 mg and 300 mg) of dupilumab in combination with ICS/LABA demonstrated a statistically significant 12% to 15% improvement in FEV1 over placebo at week 12 and a 64% to 75% improvement in annualized rate of severe exacerbations over placebo. Dupilumab also significantly reduced mean fractional exhaled nitric oxide (FeNO) across both every other week doses tested (200 and 300 mg) and the three patient populations (overall, LEos and HEos), in a roughly dose-dependent manner. FeNO is recommended by the American Thoracic Society clinical practice guidelines to assess airway inflammation, since higher-than-normal levels of nitric oxide may be released when a patient has a chronic airway disease, such as asthma.</w:t>
      </w:r>
    </w:p>
    <w:p>
      <w:pPr>
        <w:spacing w:after="0" w:line="24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most common AE was injection site reaction, which was more frequent in the dupilumab dose groups (13% to 25%) compared to placebo (12%). Other common AEs in the study included upper respiratory tract infection (10% to 13% dupilumab; 13% placebo), headache (5% to 10% dupilumab; 8% placebo), nasopharyngitis (3% to 10% dupilumab; 6% placebo) and bronchitis (5% to 8% dupilumab; 8% placebo). The incidence of infections was balanced across treatment groups (42% to 45% dupilumab; 46% placebo), as was the incidence of serious AEs (3% to 7% dupilumab; 5% placebo).</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These results were based on a pre-specified interim analysis, which occurred when all patients had reached week 12 of the 24-week treatment period; the average treatment duration at the time of the analysis was 21.4 weeks. The primary endpoint of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study was improvement from baseline in FEV1 at week 12 in the HEos group. Final analyses on exacerbations and safety will be conducted after 24 weeks of treatment and a 16-week follow-up period.</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A Phase 3 trial, LIBERTY ASTHMA QUEST, in patients with uncontrolled persistent asthma was initiated in the second quarter of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LIBERTY ASTHMA QUEST is expected to serve as the second required pivotal efficacy study. The global, placebo-controlled Phase 3 study is expected to enroll more than 1,600 patients with uncontrolled persistent asthma and will evaluate two doses of dupilumab, 200 mg and 300 mg, subcutaneously administered every other week.</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Nasal Polyps in Patients With Chronic Sinusitis</w:t>
      </w:r>
    </w:p>
    <w:p>
      <w:pPr>
        <w:spacing w:after="0" w:line="27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Phase 2 Trial</w:t>
      </w:r>
      <w:r>
        <w:rPr>
          <w:rFonts w:ascii="Times New Roman" w:cs="Times New Roman" w:eastAsia="Times New Roman" w:hAnsi="Times New Roman"/>
          <w:sz w:val="18"/>
          <w:szCs w:val="18"/>
          <w:color w:val="auto"/>
        </w:rPr>
        <w:t>. In 2013, a Phase 2 trial in NPwCS was initiated. In September 2014, we and Sanofi announced positive results from the Phase 2 proof-of-concept study of dupilumab in patients with moderate-to-severe NPwCS who did not respond to intranasal corticosteroids. The randomized, double-blind, placebo-controlled study enrolled 60 adult patients with moderate-to-severe NPwCS. Patients in the study received 300 mg of dupilumab or placebo administered once per week subcutaneously for 16 weeks, following an initial loading dose of 600 mg. All patients in the study also received a standard-of-care nasal corticosteroid spray. Patients were eligible for the study if they continued to have severe NPwCS despite standard treatment for at least one month. Fifty percent of patients in the study had received prior surgery for their condition. Asthma was also present in 58 percent of NPwCS patients in the study. The conditions are often co-morbid and symptoms/exacerbations are frequently interdependent.</w:t>
      </w:r>
    </w:p>
    <w:p>
      <w:pPr>
        <w:spacing w:after="0" w:line="23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 study, dupilumab resulted in a statistically-significant improvement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 Detailed results of the study will be presented at an upcoming medical conference.</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Eosinophilic Esophagitis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Trial. </w:t>
      </w:r>
      <w:r>
        <w:rPr>
          <w:rFonts w:ascii="Times New Roman" w:cs="Times New Roman" w:eastAsia="Times New Roman" w:hAnsi="Times New Roman"/>
          <w:sz w:val="18"/>
          <w:szCs w:val="18"/>
          <w:color w:val="auto"/>
        </w:rPr>
        <w:t>A Phase 2 trial of dupilumab in eosinophilic esophagitis was initiated in the first quarter of 2015. EoE is a chronic allergic inflammatory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 for RSV</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w:t>
      </w:r>
    </w:p>
    <w:p>
      <w:pPr>
        <w:spacing w:after="0" w:line="2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Based on clinical results from a Phase 1 study, and following discussions with the FDA, REGN2222 entered into Phase 3 clinical studies (NURSERY). The first Phase 3 trial, NURSERY-PreTerm, is currently ongoing and enrolling patients in the Southern hemisphere (where the RSV season is from May-October).</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 NGF Antibody) for pain due to osteoarthritis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Persistent pain represents a growing unmet medical need. 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type w:val="continuous"/>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w:t>
      </w:r>
    </w:p>
    <w:p>
      <w:pPr>
        <w:spacing w:after="0" w:line="2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 Phase 2b/3 clinical study in patients with pain due to osteoarthritis was initiated in the second quarter of 2015. Fasinumab is currently on partial clinical hold by the FDA, limiting duration of trials in osteoarthritis to 16 weeks.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EYLEA, ZALTRAP, and ARCALYST. These novel "Traps" are composed of fusions between two distinct receptor components and the constant region of an antibody molecule called the "Fc region," resulting in high affinity product candidates.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34"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VelociSuite.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 VelociGene, 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mouse platform is utilized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fully human monoclonal antibodies.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was generated by exploiting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(see below), in a process in which six megabases of mouse immune gene loci were replaced, or "humanized," with corresponding human immune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to generate efficiently fully human monoclonal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drug candidates for preclinical and clinical development.</w:t>
      </w:r>
    </w:p>
    <w:p>
      <w:pPr>
        <w:spacing w:after="0" w:line="24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23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 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human monoclonal antibodies.</w:t>
      </w:r>
    </w:p>
    <w:p>
      <w:pPr>
        <w:spacing w:after="0" w:line="23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226"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Regeneron Genetics Center. </w:t>
      </w:r>
      <w:r>
        <w:rPr>
          <w:rFonts w:ascii="Times New Roman" w:cs="Times New Roman" w:eastAsia="Times New Roman" w:hAnsi="Times New Roman"/>
          <w:sz w:val="18"/>
          <w:szCs w:val="18"/>
          <w:color w:val="auto"/>
        </w:rPr>
        <w:t>In 2014, we launched a new human genetics initiative via a wholly owned subsidiary, Regeneron Genetics Center LLC. RGC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leverages de-identified clinical and molecular data from human volunteers for medically relevant</w:t>
      </w:r>
    </w:p>
    <w:p>
      <w:pPr>
        <w:sectPr>
          <w:pgSz w:w="11900" w:h="16838" w:orient="portrait"/>
          <w:cols w:equalWidth="0" w:num="1">
            <w:col w:w="11420"/>
          </w:cols>
          <w:pgMar w:left="240" w:top="126"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utilizes laboratory automation and an innovative approach to cloud computing to achieve high-quality throughput at a rate that exceeds 70,000 unique samples per year.</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 RGC has expanded on its foundational population-based collaboration with Geisinger with a number of other institutions, including Columbia University Medical Center, the Clinic for Special Children, Baylor College of Medicine, and SickKids in Toronto.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ZALTRAP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2003, we and Sanofi have been parties to a global collaboration (ZALTRAP Collaboration Agreement) for the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commercialization of ZALTRAP. In February 2015, we and Sanofi entered into an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us a percentage of aggregate net sales of ZALTRAP during each calendar year, which percentage shall be from 15% to 30%, depending on the aggregate net sales of ZALTRAP in such calendar year. We will also be paid for all quantities of ZALTRAP manufactured by us pursuant to a supply agreement through the earlier of 2021 or the date Sanofi receives regulatory approval to manufacture ZALTRAP at one of its facilities or a facility of a third party. In addition, Regeneron no longer has a contingent contractual obligation (which was approximately $461 million at December 31, 2014) to reimburse Sanofi for 50% of the development expenses that Sanofi previously funded for the development of ZALTRAP under the ZALTRAP Collaboration Agreement.</w:t>
      </w:r>
    </w:p>
    <w:p>
      <w:pPr>
        <w:spacing w:after="0" w:line="2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2007, we and Sanofi have been parties to a global, strategic collaboration to discover, develop, and commercialize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collaboration, Sanofi was responsible for funding up to $160.0 million per year of our antibody discovery activities over the period from 2010-2014, and, as amended in connection with the companies' July 2015 immuno-oncology collaboration as described below, is funding up to $145.0 million in 2015, and up to $130.0 million in each of 2016 and 2017 to identify and validate potential drug discovery targets and develop fully human monoclonal antibodies against these targets. Our discovery activities to identify and validate potential drug discovery targets in the field of immuno-oncology and develop fully human monoclonal antibodies against these targets will now be funded by Sanofi under the terms of the companies’ new immuno-oncology collaboration.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4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our collaboration agreement, Sanofi will record product sales and cost of sales for commercialized products, and Regeneron has the right to co-promote such products. We have exercised our option to co-promote Praluent in the United States. We have not exercised our option to co-promote Praluent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Immuno-Oncology. </w:t>
      </w:r>
      <w:r>
        <w:rPr>
          <w:rFonts w:ascii="Times New Roman" w:cs="Times New Roman" w:eastAsia="Times New Roman" w:hAnsi="Times New Roman"/>
          <w:sz w:val="18"/>
          <w:szCs w:val="18"/>
          <w:color w:val="auto"/>
        </w:rPr>
        <w:t>In July 2015, we and Sanofi entered into a global strategic collaboration to discover, develop, and commercialize antibody-based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will make a $265.0 million non-refundable upfront payment to us. Pursuant to the IO Discovery Agreement, we will spend up to $1,090.0 million to identify and validate potential immuno-oncology targets and develop therapeutic antibodies against such targets through clinical proof-of-concept. Sanofi will reimburse us for up to $825.0 million (IO Discovery Funding) of these costs, subject to certain annual limits,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Funding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5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will make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4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each product candidate that enters development under the IO License and Collaboration Agreement, we or Sanofi may, by giving twelve months’ notice, opt-out of further development and/or commercialization of the product, in which event the other party will retain exclusive rights to continue the development and/or commercialization of such product.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EYLEA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2006, we and Bayer HealthCare have been parties to a license and collaboration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Since inception of the agreement, we have earned $110.0 million of development milestone payments and $165.0 million of sales milestone payments from Bayer HealthCare. During the first quarter of 2015, we earned the final potential milestone payment under our Bayer HealthCare collaboration agreement in connection with EYLEA outside the United States.</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a portion of our share of EYLEA profits outside the United States will be used to reimburse Bayer HealthCare for this repayment obligation.</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PDGFR-beta antibody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January 2014, we entered into an agreement with Bayer HealthCare governing the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2014, and an additional $5.0 million development milestone payment to us in the second quarter of 2015. Further, in connection with our initial development of the PDGFR-beta antibody through completion of the first proof-of-concept study, we are eligible to receive up to $10.0 million in future development milestone payments from Bayer HealthCare, although certain of these development milestone payments could be reduced by half if Bayer HealthCare does not opt-in to the collaboration.</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We also expect to incur substantial costs related to the preparation for potential commercialization of our late-stage antibody product candidates, approximately half of which we expect to be reimbursed by Sanofi under the companies' collaboration agreement.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2015 to date were, and plans for the next twelve months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5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Trap-based Clinical Program:</w:t>
            </w:r>
          </w:p>
        </w:tc>
        <w:tc>
          <w:tcPr>
            <w:tcW w:w="39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10" w:type="dxa"/>
            <w:vAlign w:val="bottom"/>
          </w:tcPr>
          <w:p>
            <w:pPr>
              <w:spacing w:after="0" w:line="20" w:lineRule="exact"/>
              <w:rPr>
                <w:sz w:val="1"/>
                <w:szCs w:val="1"/>
                <w:color w:val="auto"/>
              </w:rPr>
            </w:pPr>
          </w:p>
        </w:tc>
        <w:tc>
          <w:tcPr>
            <w:tcW w:w="39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399"/>
        </w:trPr>
        <w:tc>
          <w:tcPr>
            <w:tcW w:w="220" w:type="dxa"/>
            <w:vAlign w:val="bottom"/>
          </w:tcPr>
          <w:p>
            <w:pPr>
              <w:spacing w:after="0"/>
              <w:rPr>
                <w:sz w:val="24"/>
                <w:szCs w:val="24"/>
                <w:color w:val="auto"/>
              </w:rPr>
            </w:pPr>
          </w:p>
        </w:tc>
        <w:tc>
          <w:tcPr>
            <w:tcW w:w="523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2015 Events to Date</w:t>
            </w:r>
          </w:p>
        </w:tc>
        <w:tc>
          <w:tcPr>
            <w:tcW w:w="390" w:type="dxa"/>
            <w:vAlign w:val="bottom"/>
          </w:tcPr>
          <w:p>
            <w:pPr>
              <w:spacing w:after="0"/>
              <w:rPr>
                <w:sz w:val="24"/>
                <w:szCs w:val="24"/>
                <w:color w:val="auto"/>
              </w:rPr>
            </w:pPr>
          </w:p>
        </w:tc>
        <w:tc>
          <w:tcPr>
            <w:tcW w:w="558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2015-2016 Plans (next 12 months)</w:t>
            </w:r>
          </w:p>
        </w:tc>
      </w:tr>
      <w:tr>
        <w:trPr>
          <w:trHeight w:val="27"/>
        </w:trPr>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45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52"/>
        </w:trPr>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Bayer HealthCare received regulatory approval for EYLEA in certain</w:t>
            </w:r>
          </w:p>
        </w:tc>
        <w:tc>
          <w:tcPr>
            <w:tcW w:w="5970" w:type="dxa"/>
            <w:vAlign w:val="bottom"/>
            <w:gridSpan w:val="2"/>
            <w:shd w:val="clear" w:color="auto" w:fill="CCEEFF"/>
          </w:tcPr>
          <w:p>
            <w:pPr>
              <w:ind w:left="190"/>
              <w:spacing w:after="0"/>
              <w:rPr>
                <w:sz w:val="20"/>
                <w:szCs w:val="20"/>
                <w:color w:val="auto"/>
              </w:rPr>
            </w:pPr>
            <w:r>
              <w:rPr>
                <w:rFonts w:ascii="Times New Roman" w:cs="Times New Roman" w:eastAsia="Times New Roman" w:hAnsi="Times New Roman"/>
                <w:sz w:val="18"/>
                <w:szCs w:val="18"/>
                <w:color w:val="auto"/>
              </w:rPr>
              <w:t>Ÿ Bayer HealthCare to file for additional ex-US regulatory approvals for</w:t>
            </w:r>
          </w:p>
        </w:tc>
      </w:tr>
      <w:tr>
        <w:trPr>
          <w:trHeight w:val="216"/>
        </w:trPr>
        <w:tc>
          <w:tcPr>
            <w:tcW w:w="220" w:type="dxa"/>
            <w:vAlign w:val="bottom"/>
            <w:shd w:val="clear" w:color="auto" w:fill="CCEEFF"/>
          </w:tcPr>
          <w:p>
            <w:pPr>
              <w:spacing w:after="0"/>
              <w:rPr>
                <w:sz w:val="18"/>
                <w:szCs w:val="18"/>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countries for the treatment of patients with wet AMD, macular edema</w:t>
            </w:r>
          </w:p>
        </w:tc>
        <w:tc>
          <w:tcPr>
            <w:tcW w:w="39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indications</w:t>
            </w:r>
          </w:p>
        </w:tc>
      </w:tr>
      <w:tr>
        <w:trPr>
          <w:trHeight w:val="234"/>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to CRVO, and DME, and continued to pursue regulatory</w:t>
            </w:r>
          </w:p>
        </w:tc>
        <w:tc>
          <w:tcPr>
            <w:tcW w:w="390" w:type="dxa"/>
            <w:vAlign w:val="bottom"/>
            <w:shd w:val="clear" w:color="auto" w:fill="CCEEFF"/>
          </w:tcPr>
          <w:p>
            <w:pPr>
              <w:ind w:left="190"/>
              <w:spacing w:after="0"/>
              <w:rPr>
                <w:sz w:val="20"/>
                <w:szCs w:val="20"/>
                <w:color w:val="auto"/>
              </w:rPr>
            </w:pPr>
            <w:r>
              <w:rPr>
                <w:rFonts w:ascii="Times New Roman" w:cs="Times New Roman" w:eastAsia="Times New Roman" w:hAnsi="Times New Roman"/>
                <w:sz w:val="18"/>
                <w:szCs w:val="18"/>
                <w:color w:val="auto"/>
              </w:rPr>
              <w:t>Ÿ</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agency decisions on applications outside the United States for</w:t>
            </w:r>
          </w:p>
        </w:tc>
      </w:tr>
      <w:tr>
        <w:trPr>
          <w:trHeight w:val="270"/>
        </w:trPr>
        <w:tc>
          <w:tcPr>
            <w:tcW w:w="220" w:type="dxa"/>
            <w:vAlign w:val="bottom"/>
            <w:shd w:val="clear" w:color="auto" w:fill="CCEEFF"/>
          </w:tcPr>
          <w:p>
            <w:pPr>
              <w:spacing w:after="0"/>
              <w:rPr>
                <w:sz w:val="23"/>
                <w:szCs w:val="23"/>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 for marketing approval in additional countries</w:t>
            </w:r>
          </w:p>
        </w:tc>
        <w:tc>
          <w:tcPr>
            <w:tcW w:w="390" w:type="dxa"/>
            <w:vAlign w:val="bottom"/>
            <w:shd w:val="clear" w:color="auto" w:fill="CCEEFF"/>
          </w:tcPr>
          <w:p>
            <w:pPr>
              <w:spacing w:after="0"/>
              <w:rPr>
                <w:sz w:val="23"/>
                <w:szCs w:val="23"/>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indications</w:t>
            </w:r>
          </w:p>
        </w:tc>
      </w:tr>
      <w:tr>
        <w:trPr>
          <w:trHeight w:val="252"/>
        </w:trPr>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Commission and Japanese MHLW approved EYLEA for</w:t>
            </w:r>
          </w:p>
        </w:tc>
        <w:tc>
          <w:tcPr>
            <w:tcW w:w="390" w:type="dxa"/>
            <w:vAlign w:val="bottom"/>
            <w:shd w:val="clear" w:color="auto" w:fill="CCEEFF"/>
          </w:tcPr>
          <w:p>
            <w:pPr>
              <w:ind w:left="190"/>
              <w:spacing w:after="0"/>
              <w:rPr>
                <w:sz w:val="20"/>
                <w:szCs w:val="20"/>
                <w:color w:val="auto"/>
              </w:rPr>
            </w:pPr>
            <w:r>
              <w:rPr>
                <w:rFonts w:ascii="Times New Roman" w:cs="Times New Roman" w:eastAsia="Times New Roman" w:hAnsi="Times New Roman"/>
                <w:sz w:val="18"/>
                <w:szCs w:val="18"/>
                <w:color w:val="auto"/>
              </w:rPr>
              <w:t>Ÿ</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and Bayer HealthCare to report 3-year data from Phase 3 DME trials</w:t>
            </w:r>
          </w:p>
        </w:tc>
      </w:tr>
      <w:tr>
        <w:trPr>
          <w:trHeight w:val="234"/>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treatment of macular edema secondary to BRVO</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52"/>
        </w:trPr>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Bayer HealthCare submitted marketing authorization application to</w:t>
            </w:r>
          </w:p>
        </w:tc>
        <w:tc>
          <w:tcPr>
            <w:tcW w:w="39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r>
      <w:tr>
        <w:trPr>
          <w:trHeight w:val="234"/>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 for the treatment of mCNV</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52"/>
        </w:trPr>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approved EYLEA for the treatment of diabetic retinopathy in</w:t>
            </w:r>
          </w:p>
        </w:tc>
        <w:tc>
          <w:tcPr>
            <w:tcW w:w="39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r>
      <w:tr>
        <w:trPr>
          <w:trHeight w:val="234"/>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with DME</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77"/>
        </w:trPr>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523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3 trial for NVG in Japan</w:t>
            </w:r>
          </w:p>
        </w:tc>
        <w:tc>
          <w:tcPr>
            <w:tcW w:w="390" w:type="dxa"/>
            <w:vAlign w:val="bottom"/>
            <w:tcBorders>
              <w:bottom w:val="single" w:sz="8" w:color="CCEEFF"/>
            </w:tcBorders>
            <w:shd w:val="clear" w:color="auto" w:fill="CCEEFF"/>
          </w:tcPr>
          <w:p>
            <w:pPr>
              <w:spacing w:after="0"/>
              <w:rPr>
                <w:sz w:val="24"/>
                <w:szCs w:val="24"/>
                <w:color w:val="auto"/>
              </w:rPr>
            </w:pPr>
          </w:p>
        </w:tc>
        <w:tc>
          <w:tcPr>
            <w:tcW w:w="5580" w:type="dxa"/>
            <w:vAlign w:val="bottom"/>
            <w:tcBorders>
              <w:bottom w:val="single" w:sz="8" w:color="CCEEFF"/>
            </w:tcBorders>
            <w:shd w:val="clear" w:color="auto" w:fill="CCEEFF"/>
          </w:tcPr>
          <w:p>
            <w:pPr>
              <w:spacing w:after="0"/>
              <w:rPr>
                <w:sz w:val="24"/>
                <w:szCs w:val="24"/>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10" w:type="dxa"/>
            <w:vAlign w:val="bottom"/>
            <w:shd w:val="clear" w:color="auto" w:fill="000000"/>
          </w:tcPr>
          <w:p>
            <w:pPr>
              <w:spacing w:after="0" w:line="20" w:lineRule="exact"/>
              <w:rPr>
                <w:sz w:val="1"/>
                <w:szCs w:val="1"/>
                <w:color w:val="auto"/>
              </w:rPr>
            </w:pPr>
          </w:p>
        </w:tc>
        <w:tc>
          <w:tcPr>
            <w:tcW w:w="39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Table of Contents</w:t>
              </w:r>
            </w:hyperlink>
          </w:p>
        </w:tc>
        <w:tc>
          <w:tcPr>
            <w:tcW w:w="204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561"/>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w:t>
            </w: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53"/>
        </w:trPr>
        <w:tc>
          <w:tcPr>
            <w:tcW w:w="1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2015 Events to Date</w:t>
            </w:r>
          </w:p>
        </w:tc>
        <w:tc>
          <w:tcPr>
            <w:tcW w:w="41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2015-2016 Plans (next 12 months)</w:t>
            </w: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 (PCSK9 Antibody)</w:t>
            </w: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BLA accepted for priority review in the United</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Ÿ  Complete patient enrollment of Phase 3</w:t>
            </w: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States</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ODYSSEY OUTCOMES trial</w:t>
            </w:r>
          </w:p>
        </w:tc>
      </w:tr>
      <w:tr>
        <w:trPr>
          <w:trHeight w:val="252"/>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Regulatory application accepted for review by the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Ÿ  Report additional results from Phase 3 ODYSSEY</w:t>
            </w: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trials</w:t>
            </w:r>
          </w:p>
        </w:tc>
      </w:tr>
      <w:tr>
        <w:trPr>
          <w:trHeight w:val="252"/>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Reported positive results from ODYSSEY</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Ÿ  File for additional regulatory approvals outside the</w:t>
            </w: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CHOICE I and CHOICE II trials</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50"/>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ODYSSEY LONG TERM 18-month trial results</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Ÿ  Decisions on regulatory applications outside the</w:t>
            </w: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The New England Journal of</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6"/>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Medicine</w:t>
            </w:r>
          </w:p>
        </w:tc>
        <w:tc>
          <w:tcPr>
            <w:tcW w:w="4100" w:type="dxa"/>
            <w:vAlign w:val="bottom"/>
          </w:tcPr>
          <w:p>
            <w:pPr>
              <w:spacing w:after="0"/>
              <w:rPr>
                <w:sz w:val="20"/>
                <w:szCs w:val="20"/>
                <w:color w:val="auto"/>
              </w:rPr>
            </w:pPr>
          </w:p>
        </w:tc>
      </w:tr>
      <w:tr>
        <w:trPr>
          <w:trHeight w:val="252"/>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Reported positive results from ODYSSEY Japan</w:t>
            </w:r>
          </w:p>
        </w:tc>
        <w:tc>
          <w:tcPr>
            <w:tcW w:w="4100" w:type="dxa"/>
            <w:vAlign w:val="bottom"/>
          </w:tcPr>
          <w:p>
            <w:pPr>
              <w:spacing w:after="0"/>
              <w:rPr>
                <w:sz w:val="21"/>
                <w:szCs w:val="21"/>
                <w:color w:val="auto"/>
              </w:rPr>
            </w:pP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trial</w:t>
            </w:r>
          </w:p>
        </w:tc>
        <w:tc>
          <w:tcPr>
            <w:tcW w:w="4100" w:type="dxa"/>
            <w:vAlign w:val="bottom"/>
          </w:tcPr>
          <w:p>
            <w:pPr>
              <w:spacing w:after="0"/>
              <w:rPr>
                <w:sz w:val="20"/>
                <w:szCs w:val="20"/>
                <w:color w:val="auto"/>
              </w:rPr>
            </w:pPr>
          </w:p>
        </w:tc>
      </w:tr>
      <w:tr>
        <w:trPr>
          <w:trHeight w:val="252"/>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CHMP adopted a positive opinion for marketing</w:t>
            </w:r>
          </w:p>
        </w:tc>
        <w:tc>
          <w:tcPr>
            <w:tcW w:w="4100" w:type="dxa"/>
            <w:vAlign w:val="bottom"/>
          </w:tcPr>
          <w:p>
            <w:pPr>
              <w:spacing w:after="0"/>
              <w:rPr>
                <w:sz w:val="21"/>
                <w:szCs w:val="21"/>
                <w:color w:val="auto"/>
              </w:rPr>
            </w:pP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authorization in EU</w:t>
            </w:r>
          </w:p>
        </w:tc>
        <w:tc>
          <w:tcPr>
            <w:tcW w:w="4100" w:type="dxa"/>
            <w:vAlign w:val="bottom"/>
          </w:tcPr>
          <w:p>
            <w:pPr>
              <w:spacing w:after="0"/>
              <w:rPr>
                <w:sz w:val="20"/>
                <w:szCs w:val="20"/>
                <w:color w:val="auto"/>
              </w:rPr>
            </w:pPr>
          </w:p>
        </w:tc>
      </w:tr>
      <w:tr>
        <w:trPr>
          <w:trHeight w:val="252"/>
        </w:trPr>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Ÿ  FDA approved Praluent for the treatment of adults</w:t>
            </w:r>
          </w:p>
        </w:tc>
        <w:tc>
          <w:tcPr>
            <w:tcW w:w="41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heterozygous familial hypercholesterolemia</w:t>
            </w:r>
          </w:p>
        </w:tc>
        <w:tc>
          <w:tcPr>
            <w:tcW w:w="4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clinical ASCVD, who require additional</w:t>
            </w:r>
          </w:p>
        </w:tc>
        <w:tc>
          <w:tcPr>
            <w:tcW w:w="41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lowering of LDL cholesterol</w:t>
            </w:r>
          </w:p>
        </w:tc>
        <w:tc>
          <w:tcPr>
            <w:tcW w:w="4100" w:type="dxa"/>
            <w:vAlign w:val="bottom"/>
          </w:tcPr>
          <w:p>
            <w:pPr>
              <w:spacing w:after="0"/>
              <w:rPr>
                <w:sz w:val="20"/>
                <w:szCs w:val="20"/>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8"/>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(IL-6R Antibody)</w:t>
            </w: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Initiated Phase 3 MONARCH study (head-to-head</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Continue patient enrollment in Phase 3 SARIL-RA</w:t>
            </w:r>
          </w:p>
        </w:tc>
      </w:tr>
      <w:tr>
        <w:trPr>
          <w:trHeight w:val="234"/>
        </w:trPr>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monotherapy study against adalimumab)</w:t>
            </w:r>
          </w:p>
        </w:tc>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program</w:t>
            </w:r>
          </w:p>
        </w:tc>
      </w:tr>
      <w:tr>
        <w:trPr>
          <w:trHeight w:val="270"/>
        </w:trPr>
        <w:tc>
          <w:tcPr>
            <w:tcW w:w="1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several studies in Japan</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Report results from additional Phase 3 trials</w:t>
            </w:r>
          </w:p>
        </w:tc>
      </w:tr>
      <w:tr>
        <w:trPr>
          <w:trHeight w:val="252"/>
        </w:trPr>
        <w:tc>
          <w:tcPr>
            <w:tcW w:w="1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results from SARIL-RA-</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Submit for regulatory approval in the United States</w:t>
            </w:r>
          </w:p>
        </w:tc>
      </w:tr>
      <w:tr>
        <w:trPr>
          <w:trHeight w:val="216"/>
        </w:trPr>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SARIL-RA-EASY, and SARIL-RA-</w:t>
            </w:r>
          </w:p>
        </w:tc>
        <w:tc>
          <w:tcPr>
            <w:tcW w:w="4100" w:type="dxa"/>
            <w:vAlign w:val="bottom"/>
            <w:shd w:val="clear" w:color="auto" w:fill="CCEEFF"/>
          </w:tcPr>
          <w:p>
            <w:pPr>
              <w:spacing w:after="0"/>
              <w:rPr>
                <w:sz w:val="18"/>
                <w:szCs w:val="18"/>
                <w:color w:val="auto"/>
              </w:rPr>
            </w:pPr>
          </w:p>
        </w:tc>
      </w:tr>
      <w:tr>
        <w:trPr>
          <w:trHeight w:val="234"/>
        </w:trPr>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ASCERTAIN trials</w:t>
            </w:r>
          </w:p>
        </w:tc>
        <w:tc>
          <w:tcPr>
            <w:tcW w:w="4100" w:type="dxa"/>
            <w:vAlign w:val="bottom"/>
            <w:shd w:val="clear" w:color="auto" w:fill="CCEEFF"/>
          </w:tcPr>
          <w:p>
            <w:pPr>
              <w:spacing w:after="0"/>
              <w:rPr>
                <w:sz w:val="20"/>
                <w:szCs w:val="20"/>
                <w:color w:val="auto"/>
              </w:rPr>
            </w:pPr>
          </w:p>
        </w:tc>
      </w:tr>
      <w:tr>
        <w:trPr>
          <w:trHeight w:val="252"/>
        </w:trPr>
        <w:tc>
          <w:tcPr>
            <w:tcW w:w="1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patient enrollment in SARIL-NIU-</w:t>
            </w:r>
          </w:p>
        </w:tc>
        <w:tc>
          <w:tcPr>
            <w:tcW w:w="4100" w:type="dxa"/>
            <w:vAlign w:val="bottom"/>
            <w:shd w:val="clear" w:color="auto" w:fill="CCEEFF"/>
          </w:tcPr>
          <w:p>
            <w:pPr>
              <w:spacing w:after="0"/>
              <w:rPr>
                <w:sz w:val="21"/>
                <w:szCs w:val="21"/>
                <w:color w:val="auto"/>
              </w:rPr>
            </w:pPr>
          </w:p>
        </w:tc>
      </w:tr>
      <w:tr>
        <w:trPr>
          <w:trHeight w:val="216"/>
        </w:trPr>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SATURN Phase 2 study in</w:t>
            </w:r>
          </w:p>
        </w:tc>
        <w:tc>
          <w:tcPr>
            <w:tcW w:w="4100" w:type="dxa"/>
            <w:vAlign w:val="bottom"/>
            <w:shd w:val="clear" w:color="auto" w:fill="CCEEFF"/>
          </w:tcPr>
          <w:p>
            <w:pPr>
              <w:spacing w:after="0"/>
              <w:rPr>
                <w:sz w:val="18"/>
                <w:szCs w:val="18"/>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non-infectious uveitis</w:t>
            </w:r>
          </w:p>
        </w:tc>
        <w:tc>
          <w:tcPr>
            <w:tcW w:w="4100" w:type="dxa"/>
            <w:vAlign w:val="bottom"/>
            <w:tcBorders>
              <w:bottom w:val="single" w:sz="8" w:color="CCEEFF"/>
            </w:tcBorders>
            <w:shd w:val="clear" w:color="auto" w:fill="CCEEFF"/>
          </w:tcPr>
          <w:p>
            <w:pPr>
              <w:spacing w:after="0"/>
              <w:rPr>
                <w:sz w:val="20"/>
                <w:szCs w:val="20"/>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118" w:right="239" w:bottom="1440" w:gutter="0" w:footer="0" w:header="0"/>
        </w:sectPr>
      </w:pPr>
    </w:p>
    <w:p>
      <w:pPr>
        <w:ind w:left="40"/>
        <w:spacing w:after="0"/>
        <w:tabs>
          <w:tab w:leader="none" w:pos="3300" w:val="left"/>
        </w:tabs>
        <w:rPr>
          <w:sz w:val="20"/>
          <w:szCs w:val="20"/>
          <w:color w:val="auto"/>
        </w:rPr>
      </w:pPr>
      <w:r>
        <w:rPr>
          <w:rFonts w:ascii="Times New Roman" w:cs="Times New Roman" w:eastAsia="Times New Roman" w:hAnsi="Times New Roman"/>
          <w:sz w:val="18"/>
          <w:szCs w:val="18"/>
          <w:b w:val="1"/>
          <w:bCs w:val="1"/>
          <w:i w:val="1"/>
          <w:iCs w:val="1"/>
          <w:color w:val="auto"/>
        </w:rPr>
        <w:t>Dupilumab (IL-4R Antibody)</w:t>
      </w:r>
      <w:r>
        <w:rPr>
          <w:sz w:val="20"/>
          <w:szCs w:val="20"/>
          <w:color w:val="auto"/>
        </w:rPr>
        <w:tab/>
      </w:r>
      <w:r>
        <w:rPr>
          <w:rFonts w:ascii="Times New Roman" w:cs="Times New Roman" w:eastAsia="Times New Roman" w:hAnsi="Times New Roman"/>
          <w:sz w:val="18"/>
          <w:szCs w:val="18"/>
          <w:color w:val="auto"/>
        </w:rPr>
        <w:t>Ÿ  Initiated Phase 2 study in EoE</w:t>
      </w:r>
    </w:p>
    <w:p>
      <w:pPr>
        <w:spacing w:after="0" w:line="283" w:lineRule="exact"/>
        <w:rPr>
          <w:sz w:val="20"/>
          <w:szCs w:val="20"/>
          <w:color w:val="auto"/>
        </w:rPr>
      </w:pPr>
    </w:p>
    <w:p>
      <w:pPr>
        <w:ind w:left="3580" w:right="380" w:hanging="261"/>
        <w:spacing w:after="0" w:line="281" w:lineRule="auto"/>
        <w:tabs>
          <w:tab w:leader="none" w:pos="3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2 study in atopic dermatitis in adolescents and children</w:t>
      </w:r>
    </w:p>
    <w:p>
      <w:pPr>
        <w:spacing w:after="0" w:line="1" w:lineRule="exact"/>
        <w:rPr>
          <w:rFonts w:ascii="Times New Roman" w:cs="Times New Roman" w:eastAsia="Times New Roman" w:hAnsi="Times New Roman"/>
          <w:sz w:val="18"/>
          <w:szCs w:val="18"/>
          <w:color w:val="auto"/>
        </w:rPr>
      </w:pPr>
    </w:p>
    <w:p>
      <w:pPr>
        <w:ind w:left="3580" w:hanging="261"/>
        <w:spacing w:after="0"/>
        <w:tabs>
          <w:tab w:leader="none" w:pos="3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3 study in asthma</w:t>
      </w:r>
    </w:p>
    <w:p>
      <w:pPr>
        <w:spacing w:after="0" w:line="63" w:lineRule="exact"/>
        <w:rPr>
          <w:rFonts w:ascii="Times New Roman" w:cs="Times New Roman" w:eastAsia="Times New Roman" w:hAnsi="Times New Roman"/>
          <w:sz w:val="18"/>
          <w:szCs w:val="18"/>
          <w:color w:val="auto"/>
        </w:rPr>
      </w:pPr>
    </w:p>
    <w:p>
      <w:pPr>
        <w:ind w:left="3580" w:hanging="261"/>
        <w:spacing w:after="0" w:line="266" w:lineRule="auto"/>
        <w:tabs>
          <w:tab w:leader="none" w:pos="3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pivotal Phase 2b data in asthma at the American Thoracic Society 2015 International Conference</w:t>
      </w:r>
    </w:p>
    <w:p>
      <w:pPr>
        <w:spacing w:after="0" w:line="14" w:lineRule="exact"/>
        <w:rPr>
          <w:rFonts w:ascii="Times New Roman" w:cs="Times New Roman" w:eastAsia="Times New Roman" w:hAnsi="Times New Roman"/>
          <w:sz w:val="18"/>
          <w:szCs w:val="18"/>
          <w:color w:val="auto"/>
        </w:rPr>
      </w:pPr>
    </w:p>
    <w:p>
      <w:pPr>
        <w:ind w:left="3580" w:right="220" w:hanging="261"/>
        <w:spacing w:after="0" w:line="276" w:lineRule="auto"/>
        <w:tabs>
          <w:tab w:leader="none" w:pos="3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 Phase 3 atopic dermatitis pivotal trials</w:t>
      </w:r>
    </w:p>
    <w:p>
      <w:pPr>
        <w:spacing w:after="0" w:line="20" w:lineRule="exact"/>
        <w:rPr>
          <w:sz w:val="20"/>
          <w:szCs w:val="20"/>
          <w:color w:val="auto"/>
        </w:rPr>
      </w:pPr>
      <w:r>
        <w:rPr>
          <w:sz w:val="20"/>
          <w:szCs w:val="20"/>
          <w:color w:val="auto"/>
        </w:rPr>
        <w:br w:type="column"/>
      </w:r>
    </w:p>
    <w:p>
      <w:pPr>
        <w:ind w:left="268" w:right="40" w:hanging="268"/>
        <w:spacing w:after="0" w:line="282"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patient enrollment in various Phase 2 and Phase 3 studies</w:t>
      </w:r>
    </w:p>
    <w:p>
      <w:pPr>
        <w:spacing w:after="0" w:line="1935" w:lineRule="exact"/>
        <w:rPr>
          <w:sz w:val="20"/>
          <w:szCs w:val="20"/>
          <w:color w:val="auto"/>
        </w:rPr>
      </w:pPr>
    </w:p>
    <w:p>
      <w:pPr>
        <w:sectPr>
          <w:pgSz w:w="11900" w:h="16838" w:orient="portrait"/>
          <w:cols w:equalWidth="0" w:num="2">
            <w:col w:w="7220" w:space="212"/>
            <w:col w:w="3988"/>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w:t>
            </w:r>
          </w:p>
        </w:tc>
        <w:tc>
          <w:tcPr>
            <w:tcW w:w="41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Completed Phase 1 study</w:t>
            </w:r>
          </w:p>
        </w:tc>
        <w:tc>
          <w:tcPr>
            <w:tcW w:w="41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Continue patient enrollment in pivotal study</w:t>
            </w:r>
          </w:p>
        </w:tc>
      </w:tr>
      <w:tr>
        <w:trPr>
          <w:trHeight w:val="302"/>
        </w:trPr>
        <w:tc>
          <w:tcPr>
            <w:tcW w:w="3200" w:type="dxa"/>
            <w:vAlign w:val="bottom"/>
            <w:tcBorders>
              <w:bottom w:val="single" w:sz="8" w:color="CCEEFF"/>
            </w:tcBorders>
            <w:shd w:val="clear" w:color="auto" w:fill="CCEEFF"/>
          </w:tcPr>
          <w:p>
            <w:pPr>
              <w:spacing w:after="0"/>
              <w:rPr>
                <w:sz w:val="24"/>
                <w:szCs w:val="24"/>
                <w:color w:val="auto"/>
              </w:rPr>
            </w:pPr>
          </w:p>
        </w:tc>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Initiated NURSERY Pre-Term pivotal study</w:t>
            </w:r>
          </w:p>
        </w:tc>
        <w:tc>
          <w:tcPr>
            <w:tcW w:w="4100" w:type="dxa"/>
            <w:vAlign w:val="bottom"/>
            <w:tcBorders>
              <w:bottom w:val="single" w:sz="8" w:color="CCEEFF"/>
            </w:tcBorders>
            <w:shd w:val="clear" w:color="auto" w:fill="CCEEFF"/>
          </w:tcPr>
          <w:p>
            <w:pPr>
              <w:spacing w:after="0"/>
              <w:rPr>
                <w:sz w:val="24"/>
                <w:szCs w:val="24"/>
                <w:color w:val="auto"/>
              </w:rPr>
            </w:pPr>
          </w:p>
        </w:tc>
      </w:tr>
      <w:tr>
        <w:trPr>
          <w:trHeight w:val="218"/>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41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Ÿ  Initiated sixteen-week Phase 2b/3 study in</w:t>
            </w:r>
          </w:p>
        </w:tc>
        <w:tc>
          <w:tcPr>
            <w:tcW w:w="4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Ÿ  Continue patient enrollment in Phase 2b/3 study</w:t>
            </w:r>
          </w:p>
        </w:tc>
      </w:tr>
      <w:tr>
        <w:trPr>
          <w:trHeight w:val="234"/>
        </w:trPr>
        <w:tc>
          <w:tcPr>
            <w:tcW w:w="320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osteoarthritis</w:t>
            </w:r>
          </w:p>
        </w:tc>
        <w:tc>
          <w:tcPr>
            <w:tcW w:w="4100" w:type="dxa"/>
            <w:vAlign w:val="bottom"/>
          </w:tcPr>
          <w:p>
            <w:pPr>
              <w:spacing w:after="0"/>
              <w:rPr>
                <w:sz w:val="20"/>
                <w:szCs w:val="20"/>
                <w:color w:val="auto"/>
              </w:rPr>
            </w:pPr>
          </w:p>
        </w:tc>
      </w:tr>
      <w:tr>
        <w:trPr>
          <w:trHeight w:val="270"/>
        </w:trPr>
        <w:tc>
          <w:tcPr>
            <w:tcW w:w="3200" w:type="dxa"/>
            <w:vAlign w:val="bottom"/>
          </w:tcPr>
          <w:p>
            <w:pPr>
              <w:spacing w:after="0"/>
              <w:rPr>
                <w:sz w:val="23"/>
                <w:szCs w:val="23"/>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Ÿ  On partial clinical hold by the FDA</w:t>
            </w:r>
          </w:p>
        </w:tc>
        <w:tc>
          <w:tcPr>
            <w:tcW w:w="4100" w:type="dxa"/>
            <w:vAlign w:val="bottom"/>
          </w:tcPr>
          <w:p>
            <w:pPr>
              <w:spacing w:after="0"/>
              <w:rPr>
                <w:sz w:val="23"/>
                <w:szCs w:val="23"/>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REGN1500 (Angptl-3 Antibody)</w:t>
            </w: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Initiated Phase 2 study</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Complete patient enrollment in Phase 1 and Phase</w:t>
            </w:r>
          </w:p>
        </w:tc>
      </w:tr>
      <w:tr>
        <w:trPr>
          <w:trHeight w:val="295"/>
        </w:trPr>
        <w:tc>
          <w:tcPr>
            <w:tcW w:w="3200" w:type="dxa"/>
            <w:vAlign w:val="bottom"/>
            <w:tcBorders>
              <w:bottom w:val="single" w:sz="8" w:color="CCEEFF"/>
            </w:tcBorders>
            <w:shd w:val="clear" w:color="auto" w:fill="CCEEFF"/>
          </w:tcPr>
          <w:p>
            <w:pPr>
              <w:spacing w:after="0"/>
              <w:rPr>
                <w:sz w:val="24"/>
                <w:szCs w:val="24"/>
                <w:color w:val="auto"/>
              </w:rPr>
            </w:pPr>
          </w:p>
        </w:tc>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Ÿ  On partial clinical hold by the FDA</w:t>
            </w:r>
          </w:p>
        </w:tc>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 studies</w:t>
            </w:r>
          </w:p>
        </w:tc>
      </w:tr>
      <w:tr>
        <w:trPr>
          <w:trHeight w:val="20"/>
        </w:trPr>
        <w:tc>
          <w:tcPr>
            <w:tcW w:w="320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 (continued):</w:t>
            </w:r>
          </w:p>
        </w:tc>
        <w:tc>
          <w:tcPr>
            <w:tcW w:w="408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7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2015 Events to Date</w:t>
            </w:r>
          </w:p>
        </w:tc>
        <w:tc>
          <w:tcPr>
            <w:tcW w:w="40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2015-2016 Plans (next 12 months)</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REGN1033 (GDF8 Antibody)</w:t>
            </w: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Ÿ  Phase 2 proof-of-concept study in elderly men and</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Determine future development plan</w:t>
            </w:r>
          </w:p>
        </w:tc>
      </w:tr>
      <w:tr>
        <w:trPr>
          <w:trHeight w:val="216"/>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women with sarcopenia met its primary endpoint,</w:t>
            </w:r>
          </w:p>
        </w:tc>
        <w:tc>
          <w:tcPr>
            <w:tcW w:w="40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while secondary, functional endpoints were mixed.</w:t>
            </w:r>
          </w:p>
        </w:tc>
        <w:tc>
          <w:tcPr>
            <w:tcW w:w="40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Ÿ  Sanofi elected not to continue co-development</w:t>
            </w:r>
          </w:p>
        </w:tc>
        <w:tc>
          <w:tcPr>
            <w:tcW w:w="408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 (Feld1 Antibody)</w:t>
            </w:r>
          </w:p>
        </w:tc>
        <w:tc>
          <w:tcPr>
            <w:tcW w:w="4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Ÿ  Continued patient enrollment in Phase 2 study</w:t>
            </w: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Ÿ  Complete patient enrollment in Phase 2 study</w:t>
            </w:r>
          </w:p>
        </w:tc>
      </w:tr>
      <w:tr>
        <w:trPr>
          <w:trHeight w:val="214"/>
        </w:trPr>
        <w:tc>
          <w:tcPr>
            <w:tcW w:w="3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REGN2176-3 (PDGFR-beta Antibody in</w:t>
            </w:r>
          </w:p>
        </w:tc>
        <w:tc>
          <w:tcPr>
            <w:tcW w:w="4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Ÿ  Received Fast Track designation from the FDA for</w:t>
            </w:r>
          </w:p>
        </w:tc>
        <w:tc>
          <w:tcPr>
            <w:tcW w:w="4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Ÿ  Continue patient enrollment in Phase 2 study</w:t>
            </w:r>
          </w:p>
        </w:tc>
      </w:tr>
      <w:tr>
        <w:trPr>
          <w:trHeight w:val="238"/>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combination with EYLEA)</w:t>
            </w:r>
          </w:p>
        </w:tc>
        <w:tc>
          <w:tcPr>
            <w:tcW w:w="3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treatment of patients with wet AMD</w:t>
            </w:r>
          </w:p>
        </w:tc>
        <w:tc>
          <w:tcPr>
            <w:tcW w:w="40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Ÿ  Initiated Phase 2 study</w:t>
            </w:r>
          </w:p>
        </w:tc>
        <w:tc>
          <w:tcPr>
            <w:tcW w:w="408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REGN1400 (ErbB3 Antibody)</w:t>
            </w:r>
          </w:p>
        </w:tc>
        <w:tc>
          <w:tcPr>
            <w:tcW w:w="3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Ÿ  Determine future development plan</w:t>
            </w:r>
          </w:p>
        </w:tc>
      </w:tr>
      <w:tr>
        <w:trPr>
          <w:trHeight w:val="237"/>
        </w:trPr>
        <w:tc>
          <w:tcPr>
            <w:tcW w:w="3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REGN1154 (target not disclosed)</w:t>
            </w:r>
          </w:p>
        </w:tc>
        <w:tc>
          <w:tcPr>
            <w:tcW w:w="38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Ÿ  Determine future development plan</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REGN1193 (GCGR Antibody)</w:t>
            </w:r>
          </w:p>
        </w:tc>
        <w:tc>
          <w:tcPr>
            <w:tcW w:w="4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Ÿ  Complete patient enrollment in Phase 1 study</w:t>
            </w:r>
          </w:p>
        </w:tc>
      </w:tr>
      <w:tr>
        <w:trPr>
          <w:trHeight w:val="237"/>
        </w:trPr>
        <w:tc>
          <w:tcPr>
            <w:tcW w:w="3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 (CD20 and CD3 Antibody)</w:t>
            </w:r>
          </w:p>
        </w:tc>
        <w:tc>
          <w:tcPr>
            <w:tcW w:w="4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4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Ÿ  Complete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4"/>
        </w:trPr>
        <w:tc>
          <w:tcPr>
            <w:tcW w:w="3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REGN910-3 (Ang2 Antibody co-</w:t>
            </w: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Ÿ  Completed patient enrollment in Phase 1 study</w:t>
            </w:r>
          </w:p>
        </w:tc>
        <w:tc>
          <w:tcPr>
            <w:tcW w:w="4080" w:type="dxa"/>
            <w:vAlign w:val="bottom"/>
            <w:shd w:val="clear" w:color="auto" w:fill="CCEEFF"/>
          </w:tcPr>
          <w:p>
            <w:pPr>
              <w:spacing w:after="0"/>
              <w:rPr>
                <w:sz w:val="18"/>
                <w:szCs w:val="18"/>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formulated with EYLEA)</w:t>
            </w:r>
          </w:p>
        </w:tc>
        <w:tc>
          <w:tcPr>
            <w:tcW w:w="380" w:type="dxa"/>
            <w:vAlign w:val="bottom"/>
            <w:tcBorders>
              <w:bottom w:val="single" w:sz="8" w:color="CCEEFF"/>
            </w:tcBorders>
            <w:shd w:val="clear" w:color="auto" w:fill="CCEEFF"/>
          </w:tcPr>
          <w:p>
            <w:pPr>
              <w:spacing w:after="0"/>
              <w:rPr>
                <w:sz w:val="23"/>
                <w:szCs w:val="23"/>
                <w:color w:val="auto"/>
              </w:rPr>
            </w:pPr>
          </w:p>
        </w:tc>
        <w:tc>
          <w:tcPr>
            <w:tcW w:w="378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shd w:val="clear" w:color="auto" w:fill="CCEEFF"/>
          </w:tcPr>
          <w:p>
            <w:pPr>
              <w:spacing w:after="0"/>
              <w:rPr>
                <w:sz w:val="23"/>
                <w:szCs w:val="23"/>
                <w:color w:val="auto"/>
              </w:rPr>
            </w:pPr>
          </w:p>
        </w:tc>
      </w:tr>
      <w:tr>
        <w:trPr>
          <w:trHeight w:val="237"/>
        </w:trPr>
        <w:tc>
          <w:tcPr>
            <w:tcW w:w="3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REGN2810 (PD-1 Antibody)</w:t>
            </w:r>
          </w:p>
        </w:tc>
        <w:tc>
          <w:tcPr>
            <w:tcW w:w="4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Ÿ  Initiated Phase 1 study</w:t>
            </w:r>
          </w:p>
        </w:tc>
        <w:tc>
          <w:tcPr>
            <w:tcW w:w="4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Ÿ  Continue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results of operations discussion below reflects certain revisions to previously-issued financial statements. See Note 4 of the Notes to Condensed Consolidated Financial Statements for a description of such revisions.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2015 and 2014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for the three months ended June 30, 2015 and 2014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665.7</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7"/>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7"/>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Revenues for the three months ended June 30, 2015 and 2014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4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We received marketing approval from the FDA for EYLEA for the treatment of wet AMD in 2011, macular edema following CRVO in 2012, DME in July 2014, macular edema following BRVO in October 2014, and diabetic retinopathy in patients with DME in March 2015. For the three months ended June 30, 2015, EYLEA net product sales increased to $654.6 million from $414.8 million for the three months ended June 30, 2014 due to higher sales volume. For both the three months ended June 30, 2015 and 2014, we also recognized ARCALYST net product sales of $3.2 million.</w:t>
      </w:r>
    </w:p>
    <w:p>
      <w:pPr>
        <w:spacing w:after="0" w:line="23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2015 and 2014, we recorded 69% and 73%, respectively, of our total gross product revenue from sales to Besse Medical, a subsidiary of AmerisourceBergen Corporation.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primarily consisted of reimbursement for research and development expenses that we incurred, partly offset by sharing of pre-launch commercialization expenses, in connection with the companies' Antibody Collaboration.</w:t>
      </w:r>
    </w:p>
    <w:p>
      <w:pPr>
        <w:spacing w:after="0" w:line="365"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related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Antibody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ZALTRAP</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second quarter of 2015, Sanofi's reimbursement of our antibody research and development expenses consisted of $56.4 million under our Antibody Discovery Agreement and $155.1 million under our License and Collaboration Agreement, compared to $42.9 million and $95.0 million, respectively, in the second quarter of 2014. The higher reimbursement of research and development costs in the second quarter of 2015, compared to the same period in 2014, was primarily due to increased research and pre-clinical activities under our Antibody Discovery Agreement and increased development activities for dupilumab.</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Effective in the second and fourth quarters of 2014, we and Sanofi began sharing pre-launch commercial expenses related to Praluent and sarilumab, respectively, in accordance with the companies' License and Collaboration Agreement. Consequently, we began recording our share of losses in connection with commercialization of these two antibody product candidates. Reimbursement of Regeneron commercialization-related expenses represents reimbursement of internal and external costs in connection with</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type w:val="continuous"/>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preparing to commercialize these antibody product candidates. We and Sanofi incurred higher commercialization expenses for Praluent in anticipation of an FDA decision on the BLA for Praluent in July 2015.</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Sanofi antibody revenue includes recognition of deferred revenue from an $85.0 million up-front payment and other payments. As of June 30, 2015, $64.1 million of the up-front and other payments was deferred and will be recognized as revenue in future periods.</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September 2003, we and Sanofi entered into a ZALTRAP Collaboration Agreement to jointly develop and commercialize ZALTRAP. Under the terms of ZALTRAP Collaboration Agreement, we and Sanofi shared profits and losses on sales of ZALTRAP outside of Japan, and we were entitled to receive a percentage of sales of ZALTRAP in Japan. Our share of the loss in connection with the commercialization of ZALTRAP in the second quarter of 2014 represents our share of the costs of launching and commercializing ZALTRAP, partly offset by net product sales. As described above under "Collaboration Agreements - Collaborations with Sanofi - </w:t>
      </w:r>
      <w:r>
        <w:rPr>
          <w:rFonts w:ascii="Times New Roman" w:cs="Times New Roman" w:eastAsia="Times New Roman" w:hAnsi="Times New Roman"/>
          <w:sz w:val="18"/>
          <w:szCs w:val="18"/>
          <w:i w:val="1"/>
          <w:iCs w:val="1"/>
          <w:color w:val="auto"/>
        </w:rPr>
        <w:t>ZALTRAP</w:t>
      </w:r>
      <w:r>
        <w:rPr>
          <w:rFonts w:ascii="Times New Roman" w:cs="Times New Roman" w:eastAsia="Times New Roman" w:hAnsi="Times New Roman"/>
          <w:sz w:val="18"/>
          <w:szCs w:val="18"/>
          <w:color w:val="auto"/>
        </w:rPr>
        <w:t>" and below in the "</w:t>
      </w:r>
      <w:r>
        <w:rPr>
          <w:rFonts w:ascii="Times New Roman" w:cs="Times New Roman" w:eastAsia="Times New Roman" w:hAnsi="Times New Roman"/>
          <w:sz w:val="18"/>
          <w:szCs w:val="18"/>
          <w:i w:val="1"/>
          <w:iCs w:val="1"/>
          <w:color w:val="auto"/>
        </w:rPr>
        <w:t>Six Months Ended June 30, 2015 and 2014"</w:t>
      </w:r>
      <w:r>
        <w:rPr>
          <w:rFonts w:ascii="Times New Roman" w:cs="Times New Roman" w:eastAsia="Times New Roman" w:hAnsi="Times New Roman"/>
          <w:sz w:val="18"/>
          <w:szCs w:val="18"/>
          <w:color w:val="auto"/>
        </w:rPr>
        <w:t xml:space="preserve"> section, in February 2015, we entered into an Amended ZALTRAP Agreement with Sanofi which amended and restated the ZALTRAP Collaboration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primarily consisted of recognition of our share of profits in connection with commercialization of EYLEA outside the United States.</w:t>
      </w:r>
    </w:p>
    <w:p>
      <w:pPr>
        <w:spacing w:after="0" w:line="230"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Bayer HealthCare Collaboration Revenue</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milestones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PDGFR-beta antibody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HealthCare commenced sales of EYLEA outside the United States for the treatment of wet AMD in 2012, macular edema secondary to CRVO in 2013, visual impairment due to DME in the third quarter of 2014, mCNV (in Japan) in the fourth quarter of 2014, and macular edema following BRVO in the second quarter of 2015. Regeneron's net profit in connection with commercialization of EYLEA outside the United States is summarized below.</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 the</w:t>
            </w:r>
          </w:p>
        </w:tc>
        <w:tc>
          <w:tcPr>
            <w:tcW w:w="140" w:type="dxa"/>
            <w:vAlign w:val="bottom"/>
          </w:tcPr>
          <w:p>
            <w:pPr>
              <w:spacing w:after="0"/>
              <w:rPr>
                <w:sz w:val="17"/>
                <w:szCs w:val="17"/>
                <w:color w:val="auto"/>
              </w:rPr>
            </w:pPr>
          </w:p>
        </w:tc>
        <w:tc>
          <w:tcPr>
            <w:tcW w:w="246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40" w:type="dxa"/>
            <w:vAlign w:val="bottom"/>
            <w:gridSpan w:val="2"/>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 incurred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Bayer HealthCare in accordance with Regeneron's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obligation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second quarter of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second quarter of 2014, we earned a $15.0 million sales milestone payment from Bayer HealthCare upon total aggregate net sales of EYLEA outside the United States exceeding $700 million over a twelve-month period.</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In addition, other EYLEA revenue includes reimbursements for producing EYLEA commercial supplies for Bayer HealthCare, and recognition of deferred revenue related to EYLEA up-front and 2007 non-substantive milestone payments from Bayer HealthCare. As of June 30, 2015, $12.5 million of the EYLEA up-front and 2007 milestone payments was deferred and will be recognized ratably as revenue in future periods.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Agreements - Collaborations with Bayer HealthCare - </w:t>
      </w:r>
      <w:r>
        <w:rPr>
          <w:rFonts w:ascii="Times New Roman" w:cs="Times New Roman" w:eastAsia="Times New Roman" w:hAnsi="Times New Roman"/>
          <w:sz w:val="18"/>
          <w:szCs w:val="18"/>
          <w:i w:val="1"/>
          <w:iCs w:val="1"/>
          <w:color w:val="auto"/>
        </w:rPr>
        <w:t>PDGFR-beta antibody outside the United States.</w:t>
      </w:r>
      <w:r>
        <w:rPr>
          <w:rFonts w:ascii="Times New Roman" w:cs="Times New Roman" w:eastAsia="Times New Roman" w:hAnsi="Times New Roman"/>
          <w:sz w:val="18"/>
          <w:szCs w:val="18"/>
          <w:color w:val="auto"/>
        </w:rPr>
        <w:t>" Bayer HealthCare is also obligated to reimburse us for 50% of development milestone payments to Sanofi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acquisition of rights to antibodies targeting the PDGF family of receptors in May 2013. In that regard, Bayer HealthCare made a $5.0 million development milestone payment to us in the second quarter of 2015, which was recognized as revenue in the quarter and included in "Cost-sharing of REGN2176-3 development expenses" in the table above.</w:t>
      </w:r>
    </w:p>
    <w:p>
      <w:pPr>
        <w:spacing w:after="0" w:line="24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PDGFR-beta antibody revenue consists of recognition of deferred revenue related to the PDGFR-beta up-front payment and non-substantive milestones received in the first quarter of 2014. As of June 30, 2015, $14.7 million of the PDGFR-beta up-front and 2014 milestone payments was deferred and will be recognized ratably as revenue in future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second quarter of both 2015 and 2014, we recognized $5.9 million of revenue related to this agreement. As of June 30, 2015, $69.2 million of the August 2010 technology licensing payment received from Astellas was deferred and will be recognized as revenue in future periods.</w:t>
      </w:r>
    </w:p>
    <w:p>
      <w:pPr>
        <w:spacing w:after="0" w:line="23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connection with the February 2015 Amended ZALTRAP Agreement with Sanofi, we recorded $3.2 million of revenue in the second quarter of 2015 primarily related to a percentage of net sales of ZALTRAP in the second quarter of 2015.</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under a June 2009 agreement with Novartis, we receive royalties on worldwide sales of Novartis' Ilaris (canakinumab). In the second quarter of 2015 and 2014, technology licensing and other revenue included $2.2 million and $1.9 million, respectively, of royalties from Novartis.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$653.8 million in the second quarter of 2015 from $437.6 million in the second quarter of 2014. Our average headcount in the second quarter of 2015 increased to 3,574 from 2,549 in the same period in 2014,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Operating expenses in the second quarter of 2015 and 2014 included a total of $94.3 million and $64.8 million, respectively, of non-cash compensation expense related to employee stock option and restricted stock awards (Non-cash Compensation Expense). The increase in total Non-cash Compensation Expense in the second quarter of 2015 was primarily attributable to the higher fair market value of our Common Stock on the date of our annual employee option grants made in December 2014 compared to recent prior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$390.3 million in the second quarter of 2015 from $294.5 million in the same period of 2014. The following table summarizes the major categories of our research and development expenses:</w:t>
      </w:r>
    </w:p>
    <w:p>
      <w:pPr>
        <w:spacing w:after="0" w:line="230"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3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6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and Sanofi</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40" w:hanging="160"/>
        <w:spacing w:after="0" w:line="247" w:lineRule="auto"/>
        <w:tabs>
          <w:tab w:leader="none" w:pos="1156"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Non-cash Compensation Expense of $51.2 million for the three months ended June 30, 2015 and $37.3 million for the three months ended June 30, 2014.</w:t>
      </w:r>
    </w:p>
    <w:p>
      <w:pPr>
        <w:jc w:val="both"/>
        <w:ind w:left="1140" w:hanging="160"/>
        <w:spacing w:after="0" w:line="228" w:lineRule="auto"/>
        <w:tabs>
          <w:tab w:leader="none" w:pos="11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Also includes Non-cash Compensation Expense of $8.8 million for the three months ended June 30, 2015 and $6.5 million for the three months ended June 30, 2014.</w:t>
      </w:r>
    </w:p>
    <w:p>
      <w:pPr>
        <w:spacing w:after="0" w:line="1" w:lineRule="exact"/>
        <w:rPr>
          <w:rFonts w:ascii="Times New Roman" w:cs="Times New Roman" w:eastAsia="Times New Roman" w:hAnsi="Times New Roman"/>
          <w:sz w:val="25"/>
          <w:szCs w:val="25"/>
          <w:color w:val="auto"/>
          <w:vertAlign w:val="superscript"/>
        </w:rPr>
      </w:pPr>
    </w:p>
    <w:p>
      <w:pPr>
        <w:jc w:val="both"/>
        <w:ind w:left="1140" w:hanging="160"/>
        <w:spacing w:after="0" w:line="232" w:lineRule="auto"/>
        <w:tabs>
          <w:tab w:leader="none" w:pos="1205"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due primarily to additional costs for clinical studies of dupilumab, partly offset by lower Praluent-, REGN1033-, and EYLEA-related costs. Clinical manufacturing costs increased primarily due to additional costs related to manufacturing drug supplies of dupilumab. Research and other development costs increased primarily due to a $10.0 million development milestone payment to Sanofi in the second quarter of 2015 related to our 2013 acquisition of PDGF in ophthalmology from Sanofi. Cost-sharing of Bayer HealthCare and Sanofi development expenses primarily consists of costs related to our obligation to fund 20% of Sanofi's Phase 3 Praluent and sarilumab development costs. These costs decreased due to lower development costs incurred by Sanofi for Praluent, as well as lower development costs incurred by Sanofi for sarilumab and by Bayer HealthCare for EYLEA.</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respective development expenses which they incur and we are obligated to reimburse. Our estimates of research and development costs for clinical development programs are shown below:</w:t>
      </w: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Project Costs</w:t>
            </w:r>
          </w:p>
        </w:tc>
        <w:tc>
          <w:tcPr>
            <w:tcW w:w="280" w:type="dxa"/>
            <w:vAlign w:val="bottom"/>
          </w:tcPr>
          <w:p>
            <w:pPr>
              <w:spacing w:after="0"/>
              <w:rPr>
                <w:sz w:val="17"/>
                <w:szCs w:val="17"/>
                <w:color w:val="auto"/>
              </w:rPr>
            </w:pPr>
          </w:p>
        </w:tc>
        <w:tc>
          <w:tcPr>
            <w:tcW w:w="146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4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$174.6 million in the second quarter of 2015 from $96.7 million in the second quarter of 2014 primarily due to higher headcount and related costs, higher Non-cash Compensation Expense principally for the reason described under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above, higher commercialization expenses related to Praluent, sarilumab, and EYLEA, and higher costs associated with the Branded Prescription Drug Fee. Selling, general, and administrative expenses included $32.2 million and $20.5 million of Non-cash Compensation Expense in the second quarter of 2015 and 2014,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Cost of goods sold was $60.9 million in the second quarter of 2015 and $29.9 million in the second quarter of 2014. Cost of goods sold, which primarily consists of royalties, as well as costs in connection with producing EYLEA commercial supplies and various start-up costs in connection with our Limerick, Ireland commercial manufacturing facility, increased principally due to the increase in U.S. EYLEA net product sales. In addition, in the second quarter of 2015 and 2014, cost of goods sold included inventory write-downs and reserves totaling $6.4 million and $0.8 million, respectively. We record a charge to cost of goods sold to write down our inventory to its estimated realizable value if certain batches or units of product do not meet quality specifications or are expected to expire prior to sale.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collaboration and contract manufacturing, which includes costs we incur in connection with producing commercial drug supplies for Sanofi and Bayer HealthCare, increased to $28.0 million in the second quarter of 2015 from $16.4 million in the second quarter of 2014. This increase was primarily due to royalties payable to Genentech in connection with higher sales of EYLEA outside the United States, as well as the recognition of costs associated with commercial supplies of EYLEA.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Total other expenses (net of other income) decreased to $16.8 million in the second quarter of 2015 from $19.3 million in the second quarter of 2014. Interest expense in the second quarter of 2015 and 2014 primarily includes interest associated with our 1.875% convertible senior notes (the Notes), including amortization of the note discount and debt issuance costs, and interest associated with our facility lease obligations. Interest expense in the second quarter of 2015 decreased compared to the second quarter of 2014 primarily due to conversions of a substantial principal amount of our Notes since the second quarter of 2014. In addition, in the second quarter of 2015 and 2014, we recognized a $16.0 million and $10.8 million loss, respectively, in connection with Notes which were surrendered for conversion during those quarters.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2015 and 2014, we recorded income tax expense of $133.4 million and $112.5 million, respectively. The effective tax rate was 40.7% and 53.9% for the second quarter of 2015 and 2014, respectively. The second quarter 2015 effective tax rate was negatively impacted, compared to the U.S. federal statutory rate, by (i) losses incurred in foreign jurisdictions with rates lower than the U.S. federal statutory rate, (ii) the non-tax deductible Branded Prescription Drug Fee, and (iii) expiration, at the end of 2014, of the federal tax credit for increased research activities.</w:t>
      </w:r>
    </w:p>
    <w:p>
      <w:pPr>
        <w:spacing w:after="0" w:line="275" w:lineRule="exact"/>
        <w:rPr>
          <w:sz w:val="20"/>
          <w:szCs w:val="20"/>
          <w:color w:val="auto"/>
        </w:rPr>
      </w:pPr>
    </w:p>
    <w:p>
      <w:pPr>
        <w:jc w:val="both"/>
        <w:ind w:firstLine="243"/>
        <w:spacing w:after="0" w:line="329" w:lineRule="auto"/>
        <w:rPr>
          <w:sz w:val="20"/>
          <w:szCs w:val="20"/>
          <w:color w:val="auto"/>
        </w:rPr>
      </w:pPr>
      <w:r>
        <w:rPr>
          <w:rFonts w:ascii="Times New Roman" w:cs="Times New Roman" w:eastAsia="Times New Roman" w:hAnsi="Times New Roman"/>
          <w:sz w:val="18"/>
          <w:szCs w:val="18"/>
          <w:color w:val="auto"/>
        </w:rPr>
        <w:t>The effective tax rate for the second quarter of 2014 was negatively impacted, compared to the U.S. federal statutory rate, by losses incurred in foreign jurisdictions with rates lower than the U.S. federal statutory rate and expiration at the end of 2013 of the federal tax credit for increased research activities.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2015 and 2014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for the six months ended June 30, 2015 and 2014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Revenues for the six months ended June 30, 2015 and 2014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For the six months ended June 30, 2015, EYLEA net product sales increased to $1,195.7 million from $773.8 million for the six months ended June 30, 2014 due to higher sales volume. For the six months ended June 30, 2015 and 2014, we also recognized ARCALYST net product sales of $6.7 million and $6.6 million, respectively.</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2015 and 2014, we recorded 69% and 76%, respectively, of our total gross product revenue from sales to Besse Medical, a subsidiary of AmerisourceBergen Corporation.</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type w:val="continuous"/>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primarily consisted of reimbursement for research and development expenses that we incurred, partly offset by sharing of pre-launch commercialization expenses, in connection with the companies' Antibody Collaboration.</w:t>
      </w:r>
    </w:p>
    <w:p>
      <w:pPr>
        <w:spacing w:after="0" w:line="37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first half of 2015, Sanofi's reimbursement of our antibody research and development expenses consisted of $102.4 million under our Antibody Discovery Agreement and $277.9 million under our License and Collaboration Agreement, compared to $83.1 million and $181.6 million, respectively, in the first half of 2014. The higher reimbursement of research and development costs in the first half of 2015, compared to the same period in 2014, was primarily due to increased research and pre-clinical activities under our Antibody Discovery Agreement and increased development activities for dupilumab, Praluent, and REGN2222.</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Effective in the second and fourth quarters of 2014, we and Sanofi began sharing pre-launch commercial expenses related to Praluent and sarilumab, respectively, in accordance with the companies' License and Collaboration Agreement. Consequently, we began recording our share of losses in connection with commercialization of these two antibody product candidates. Reimbursement of Regeneron commercialization-related expenses represents reimbursement of internal and external costs in connection with preparing to commercialize these antibody product candidates. We and Sanofi have incurred higher commercialization expenses for Praluent in anticipation of an FDA decision on the BLA for Praluent in July 2015.</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September 2003, we and Sanofi entered into a ZALTRAP Collaboration Agreement to jointly develop and commercialize ZALTRAP. Under the terms of ZALTRAP Collaboration Agreement, we and Sanofi shared profits and losses on sales of ZALTRAP outside of Japan, and we were entitled to receive a percentage of sales of ZALTRAP in Japan. Our share of the loss in connection with the commercialization of ZALTRAP in the first half of 2014 represents our share of the costs of commercializing ZALTRAP, partly offset by net product sales.</w:t>
      </w:r>
    </w:p>
    <w:p>
      <w:pPr>
        <w:spacing w:after="0" w:line="232"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As described above under "Collaboration Agreements - Collaborations with Sanofi - </w:t>
      </w:r>
      <w:r>
        <w:rPr>
          <w:rFonts w:ascii="Times New Roman" w:cs="Times New Roman" w:eastAsia="Times New Roman" w:hAnsi="Times New Roman"/>
          <w:sz w:val="18"/>
          <w:szCs w:val="18"/>
          <w:i w:val="1"/>
          <w:iCs w:val="1"/>
          <w:color w:val="auto"/>
        </w:rPr>
        <w:t>ZALTRAP</w:t>
      </w:r>
      <w:r>
        <w:rPr>
          <w:rFonts w:ascii="Times New Roman" w:cs="Times New Roman" w:eastAsia="Times New Roman" w:hAnsi="Times New Roman"/>
          <w:sz w:val="18"/>
          <w:szCs w:val="18"/>
          <w:color w:val="auto"/>
        </w:rPr>
        <w:t>", in February 2015, we entered into an Amended ZALTRAP Agreement with Sanofi which amended and restated the ZALTRAP Collaboration Agreement. As a result, in the first quarter of 2015 we recognized $14.9 million of previously deferred revenue under the ZALTRAP Collaboration Agreement, related to (i) amounts that were previously reimbursed by Sanofi for manufacturing commercial supplies of ZALTRAP since our risk of inventory loss under the collaboration no longer existed, and (ii) the unamortized portion of up-front payments from Sanofi as we had no further performance obligations.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primarily consisted of recognition of our share of profits in connection with commercialization of EYLEA outside the United States and sales milestones achieved.</w:t>
      </w:r>
    </w:p>
    <w:p>
      <w:pPr>
        <w:spacing w:after="0" w:line="239"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Bayer HealthCare Collaboration Revenue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28"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 the</w:t>
            </w:r>
          </w:p>
        </w:tc>
        <w:tc>
          <w:tcPr>
            <w:tcW w:w="280" w:type="dxa"/>
            <w:vAlign w:val="bottom"/>
          </w:tcPr>
          <w:p>
            <w:pPr>
              <w:spacing w:after="0"/>
              <w:rPr>
                <w:sz w:val="18"/>
                <w:szCs w:val="18"/>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40" w:type="dxa"/>
            <w:vAlign w:val="bottom"/>
            <w:gridSpan w:val="2"/>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half of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half of 2015, we earned a $15.0 million sales milestone payment from Bayer HealthCare upon total aggregate net sales of specific commercial supplies of EYLEA outside the United States exceeding $200 million over a twelve-month period. In the first half of 2014, we earned three $15.0 million sales milestone payments from Bayer HealthCare upon total aggregate net sales of EYLEA outside the United States exceeding $500 million, $600 million, and $700 million, respectively, over a twelve-month period.</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Cost-sharing of our global EYLEA development expenses with Bayer HealthCare decreased in the first half of 2015 compared to the same period in 2014. In January 2014, Bayer HealthCare decided to participate in the global development and commercialization of EYLEA outside the United States for the treatment of macular edema following BRVO. In connection with</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type w:val="continuous"/>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agreed-upon global EYLEA development expenses incurred in connection with BRVO are being shared equally, and any future profits or losses on sales of EYLEA outside of the United States for the treatment of macular edema following BRVO are also shared (for countries other than Japan). We are entitled to receive a tiered percentage of EYLEA net sales in Japan.</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In addition, other EYLEA revenue includes reimbursements for producing EYLEA commercial supplies for Bayer HealthCare, and recognition of deferred revenue related to EYLEA up-front and 2007 non-substantive milestone payments from Bayer HealthCare.</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Agreements - Collaborations with Bayer HealthCare - </w:t>
      </w:r>
      <w:r>
        <w:rPr>
          <w:rFonts w:ascii="Times New Roman" w:cs="Times New Roman" w:eastAsia="Times New Roman" w:hAnsi="Times New Roman"/>
          <w:sz w:val="18"/>
          <w:szCs w:val="18"/>
          <w:i w:val="1"/>
          <w:iCs w:val="1"/>
          <w:color w:val="auto"/>
        </w:rPr>
        <w:t>PDGFR-beta antibody outside the United States.</w:t>
      </w:r>
      <w:r>
        <w:rPr>
          <w:rFonts w:ascii="Times New Roman" w:cs="Times New Roman" w:eastAsia="Times New Roman" w:hAnsi="Times New Roman"/>
          <w:sz w:val="18"/>
          <w:szCs w:val="18"/>
          <w:color w:val="auto"/>
        </w:rPr>
        <w:t>" Bayer HealthCare is also obligated to reimburse us for 50% of development milestone payments to Sanofi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acquisition of rights to antibodies targeting the PDGF family of receptors in May 2013. In that regard, Bayer HealthCare made a $5.0 million development milestone payment to us in the second quarter of 2015, which was recognized as revenue in the quarter and included in "Cost-sharing of REGN2176-3 development expenses" in the table above.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half of both 2015 and 2014, we recognized $11.8 million of revenue related to this agreement.</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the February 2015 Amended ZALTRAP Agreement with Sanofi, we recorded $23.0 million of revenue in the first half of 2015 primarily related to (i) manufacturing ZALTRAP commercial supplies for Sanofi and (ii) a percentage of net sales of ZALTRAP from July 1, 2014 (the effective date of the Amended ZALTRAP Agreement) through June 30, 2015.</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addition, under a June 2009 agreement with Novartis, we receive royalties on worldwide sales of Novartis' Ilaris. In the first half of 2015 and 2014, technology licensing and other revenue included $4.3 million and $3.5 million, respectively, of royalties from Novartis.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$1,239.8 million in the first half of 2015 from $871.8 million in the first half of 2014. Our average headcount in the first half of 2015 increased to 3,320 from 2,469 in the same period in 2014,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Operating expenses in the first half of 2015 and 2014 included a total of $198.0 million and $140.6 million, respectively, of Non-cash Compensation Expense. The increase in total Non-cash Compensation Expense in the first half of 2015 was primarily attributable to the higher fair market value of our Common Stock on the date of our annual employee option grants made in December 2014 compared to recent prior years.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$733.4 million in the first half of 2015 from $581.9 million in the same period of 2014. The following table summarizes the major categories of our research and development expenses:</w:t>
      </w:r>
    </w:p>
    <w:p>
      <w:pPr>
        <w:spacing w:after="0" w:line="239"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3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6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and Sanofi</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40" w:hanging="160"/>
        <w:spacing w:after="0" w:line="229" w:lineRule="auto"/>
        <w:tabs>
          <w:tab w:leader="none" w:pos="117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Non-cash Compensation Expense of $101.4 million for the six months ended June 30, 2015 and $74.9 million for the six months ended June 30, 2014.</w:t>
      </w:r>
    </w:p>
    <w:p>
      <w:pPr>
        <w:jc w:val="both"/>
        <w:ind w:left="1140" w:hanging="160"/>
        <w:spacing w:after="0" w:line="232" w:lineRule="auto"/>
        <w:tabs>
          <w:tab w:leader="none" w:pos="1208"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manufacturing facility. Also includes Non-cash Compensation Expense of $18.1 million for the six months ended June 30, 2015 and $12.2 million for the six months ended June 30, 2014.</w:t>
      </w:r>
    </w:p>
    <w:p>
      <w:pPr>
        <w:spacing w:after="0" w:line="2" w:lineRule="exact"/>
        <w:rPr>
          <w:rFonts w:ascii="Times New Roman" w:cs="Times New Roman" w:eastAsia="Times New Roman" w:hAnsi="Times New Roman"/>
          <w:sz w:val="25"/>
          <w:szCs w:val="25"/>
          <w:color w:val="auto"/>
          <w:vertAlign w:val="superscript"/>
        </w:rPr>
      </w:pPr>
    </w:p>
    <w:p>
      <w:pPr>
        <w:jc w:val="both"/>
        <w:ind w:left="1140" w:hanging="160"/>
        <w:spacing w:after="0" w:line="232" w:lineRule="auto"/>
        <w:tabs>
          <w:tab w:leader="none" w:pos="1205"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primarily due to additional costs for clinical studies of dupilumab, partly offset by lower Praluent- and EYLEA-related costs. Clinical manufacturing costs increased primarily due to additional costs related to manufacturing drug supplies of Praluent and dupilumab.</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respective development expenses which they incur and we are obligated to reimburse. Our estimates of research and development costs for clinical development programs are shown below:</w:t>
      </w: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Project Costs</w:t>
            </w:r>
          </w:p>
        </w:tc>
        <w:tc>
          <w:tcPr>
            <w:tcW w:w="280" w:type="dxa"/>
            <w:vAlign w:val="bottom"/>
          </w:tcPr>
          <w:p>
            <w:pPr>
              <w:spacing w:after="0"/>
              <w:rPr>
                <w:sz w:val="17"/>
                <w:szCs w:val="17"/>
                <w:color w:val="auto"/>
              </w:rPr>
            </w:pPr>
          </w:p>
        </w:tc>
        <w:tc>
          <w:tcPr>
            <w:tcW w:w="146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reasons described above under "Research and Development Expenses" for the three months ended June 30, 2015 and 2014,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$333.6 million in the first half of 2015 from $200.0 million in the first half of 2014 primarily due to higher headcount and related costs, higher Non-cash Compensation Expense principally for the reason described under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above, higher commercialization-related expenses related to Praluent, sarilumab, and EYLEA, and higher costs associated with the Branded Prescription Drug Fee. Selling, general, and administrative expenses included $74.3 million and $52.4 million of Non-cash Compensation Expense in the first half of 2015 and 2014,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Cost of goods sold was $103.4 million in the first half of 2015 and $57.4 million in the first half of 2014. Cost of goods sold, which primarily consists of royalties, as well as costs in connection with producing EYLEA commercial supplies and various start-up costs in connection with our Limerick, Ireland commercial manufacturing facility, increased principally due to the increase in U.S. EYLEA net product sales. In addition, in the first half of 2015 and 2014, cost of goods sold included inventory write-downs and reserves totaling $8.1 million and $1.9 million, respectively. We record a charge to cost of goods sold to write down our inventory to its estimated realizable value if certain batches or units of product do not meet quality specifications or are expected to expire prior to sale.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 of collaboration and contract manufacturing, which includes costs we incur in connection with producing commercial drug supplies for Sanofi and Bayer HealthCare, increased to $69.4 million in the first half of 2015 from $32.5 million in the first half of 2014. This increase was primarily due to the recognition of costs associated with commercial supplies of ZALTRAP, as well as royalties payable to Genentech in connection with higher sales of EYLEA outside the United States and the recognition of costs associated with commercial supplies of EYLEA. Under our collaboration arrangements, when the product is sold by our collaborators to third-party customers, our risk of inventory loss no longer exists, and we therefore recognize our related manufacturing costs for the sold product as cost of collaboration manufacturing. However, as described above, in February 2015, we entered into an Amended ZALTRAP Agreement with Sanofi. As a result, in the first quarter of 2015 we recognized as expense $20.2 million of previously inventoried costs for ZALTRAP commercial supplies that were shipped to Sanofi because our risk of inventory loss no longer exists under the Amended ZALTRAP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Total other expenses (net of other income) decreased to $23.9 million in the first half of 2015 from $30.0 million in the first half of 2014. Interest expense in the first half of 2015 and 2014 primarily includes interest associated with our Notes, including amortization of the note discount and debt issuance costs, and interest associated with our facility lease obligations. Interest expense in the first half of 2015 decreased compared to the first half of 2014 primarily due to conversions of a substantial principal amount of our Notes since the second quarter of 2014. In addition, in the first half of 2015 and 2014, we recognized a $16.9 million and a $10.8 million loss, respectively, in connection with Notes which were surrendered for conversion during the respective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half of 2015 and 2014, we recorded income tax expense of $333.9 million and $225.0 million, respectively. The effective tax rate was 55.2% and 57.7% for the first half of 2015 and 2014, respectively. The first half 2015 effective tax rate was negatively impacted, compared to the U.S. federal statutory rate, by (i) losses incurred in foreign jurisdictions with rates lower than the U.S. federal statutory rate, (ii) the non-tax deductible Branded Prescription Drug Fee, and (iii) expiration, at the end of 2014, of the federal tax credit for increased research activities.</w:t>
      </w:r>
    </w:p>
    <w:p>
      <w:pPr>
        <w:spacing w:after="0" w:line="275" w:lineRule="exact"/>
        <w:rPr>
          <w:sz w:val="20"/>
          <w:szCs w:val="20"/>
          <w:color w:val="auto"/>
        </w:rPr>
      </w:pPr>
    </w:p>
    <w:p>
      <w:pPr>
        <w:jc w:val="both"/>
        <w:ind w:firstLine="243"/>
        <w:spacing w:after="0" w:line="305" w:lineRule="auto"/>
        <w:rPr>
          <w:sz w:val="20"/>
          <w:szCs w:val="20"/>
          <w:color w:val="auto"/>
        </w:rPr>
      </w:pPr>
      <w:r>
        <w:rPr>
          <w:rFonts w:ascii="Times New Roman" w:cs="Times New Roman" w:eastAsia="Times New Roman" w:hAnsi="Times New Roman"/>
          <w:sz w:val="18"/>
          <w:szCs w:val="18"/>
          <w:color w:val="auto"/>
        </w:rPr>
        <w:t>The effective tax rate for the first half of 2014 was negatively impacted, compared to the U.S. federal statutory rate, by (i) losses incurred in foreign jurisdictions with rates lower than the federal statutory rate, (ii) expiration at the end of 2013 of the federal tax credit for increased research activities, and (iii) New York State tax legislation enacted in the first quarter of 2014. This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3.9% for the first half of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sources and uses of cash discussion below reflects certain revisions to previously-issued financial statements. See Notes 1 and 4 of the Notes to Condensed Consolidated Financial Statements for a description of such revisions.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Six Months Ended June 30, 2015 and 2014</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June 30, 2015, we had $1,193.8 million in cash, cash equivalents, and marketable securities compared with $1,360.6 million as of December 31, 2014. Additionally, as of June 30, 2015, we had borrowing availability of $750.0 million under a revolving credit facility that was entered into during the first quarter of 2015 (see further description under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$156.1 million in the first half of 2015. Our net income of $270.7 million in the first half of 2015 included Non-cash Compensation Expense of $198.0 million and depreciation and amortization of $31.3 million. In addition, deferred tax assets as of June 30, 2015 increased by $59.1 million, compared to December 31, 2014, primarily due to an increase in Non-cash Compensation Expense, partly offset by a reduction in deferred revenue.</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of June 30, 2015, Sanofi, Bayer HealthCare, and trade accounts receivable increased by $418.8 million, compared to December 31, 2014, primarily due to higher U.S. EYLEA sales and higher amounts due from Sanofi in connection with the companies' Antibody Collaboration. Inventories as of June 30, 2015 increased by $49.9 million, compared to December 31, 2014, primarily due to increased production of EYLEA commercial supplies. Accounts payable, accrued expenses, and other liabilities increased by $129.3 million as of June 30, 2015, compared to December 31, 2014, primarily due to (i) higher accruals for sales-related charges (including the impact of the Branded Prescription Drug Fee) and deductions, and royalties related to EYLEA, and (ii) higher expenditures in connection with our expanding research and development activities.</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$389.9 million in the first half of 2014. Our net income of $164.7 million in the first half of 2014 included Non-cash Compensation Expense of $140.6 million and depreciation and amortization of $24.5 million. In addition, deferred tax assets as of June 30, 2014 increased by $19.1 million, compared to end-of-year 2013, primarily due to an increase in Non-cash Compensation Expense, partly offset by the reduction of our deferred tax assets related to the New York State tax legislation enacted in the first quarter of 2014, which reduced our New York State income tax rate to zero percent effective in 2014.</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June 30, 2014, Sanofi, Bayer HealthCare, and trade accounts receivable decreased by $84.8 million, compared to December 31, 2013, primarily due to lower trade accounts receivable resulting from shortened payment terms to certain of our U.S. EYLEA customers effective January 2014, partly offset by higher amounts receivable from Bayer HealthCare in connection with the commercialization of EYLEA outside the United States. Inventories increased by $37.3 million, compared to December 31, 2013, primarily in connection with increased production of EYLEA commercial supplies.</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$501.1 million and $354.4 million in the first half of 2015 and 2014, respectively. In the first half of 2015 and 2014, purchases of marketable securities exceeded sales or maturities by $147.1 million and $218.7 million, respectively. Capital expenditures were $354.1 million and $135.7 million in the first half of 2015 and 2014, respectively. Capital expenditures in the first half of 2015 primarily included costs in connection with renovations of our Limerick, Ireland manufacturing facility and tenant improvement and associated costs related to two new buildings under construction at our leased Tarrytown, New York facilities. In addition, in April 2015, we acquired an approximate 100-acre parcel of undeveloped land adjacent to our current Tarrytown, New York location for an aggregate purchase price of $73.0 million. We intend to develop this property to accommodate and support our growth, primarily in connection with expanding our existing research and development and office space. Capital expenditures in the first half of 2014 primarily included costs in connection with purchasing manufacturing equipment, expanding our Rensselaer, New York manufacturing facilities, tenant improvement and associated costs related to our leased facilities in Tarrytown, New York, and the acquisition and renovations of our Limerick, Ireland manufacturing facility..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$86.9 million in the first half of 2015 and $28.9 million in the first half of 2014. In the first half of 2015, proceeds in connection with facility and capital leases obligations primarily relates to reimbursements of $27.4 million we received from our landlord for tenant improvement costs in connection with our leased facilities in Tarrytown, New York. In the first half of 2015 and 2014, $144.0 million and $61.1 million principal amount of our Notes, respectively,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first half of 2015 and 2014, we paid an aggregate amount of $124.5 million and $143.0 million to warrant holders to reduce the maximum number of shares of Common Stock issuable upon exercise of the warrants. Proceeds from issuances of Common Stock, in connection with exercises of employee stock options, were $115.8 million in the first half of 2015, compared to $63.1 million in the first half of 2014. In addition, payments for employee tax obligations in connection with stock option exercises and vesting of restricted stock were $35.9 million in the first half of 2015 compared to $65.0 million in the first half of 2014. Cash flows from financing activities also increased by $248.7 million and $235.6 million in the first half of 2015 and 2014, respectively, due to utilization of excess tax benefits in connection with stock option exercises, which offset cash tax obligations.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June 30, 2015.</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June 30,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Collaboration with Sanofi</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under "Collaboration Agreements - Collaborations with Sanofi", in July 2015, we and Sanofi entered into a global strategic collaboration to discover, develop, and commercialize antibody-based cancer treatments in the field of immuno-oncology. The IO Collaboration is governed by an IO Discovery Agreement and an IO License and Collaboration Agreement. In connection with the IO Discovery Agreement, Sanofi will make a $265.0 million non-refundable upfront payment to us. Pursuant to the IO Discovery Agreement, we will spend up to $1,090.0 million to identify and validate potential immuno-oncology targets and develop therapeutic antibodies against such targets through clinical proof-of-concept. Sanofi will reimburse us for up to $825.0 million of these costs, subject to certain annual limits, to identify and validate potential immuno-oncology targets and develop therapeutic antibodies against such targets through clinical proof-of-concept.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w:t>
      </w:r>
    </w:p>
    <w:p>
      <w:pPr>
        <w:sectPr>
          <w:pgSz w:w="11900" w:h="16838" w:orient="portrait"/>
          <w:cols w:equalWidth="0" w:num="1">
            <w:col w:w="11420"/>
          </w:cols>
          <w:pgMar w:left="240" w:top="126"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type w:val="continuous"/>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attributable to clinical development of antibody product candidates under the IO Discovery Agreement from our share of future profits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4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will make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4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have principal control over the development of REGN2810 and will lead commercialization activities in the Unites States, subject to Sanofi’s right to co-promote,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April 2013, we entered into a new lease agreement for approximately 297,000 square feet of additional new laboratory and office space to be constructed in two new buildings (the Buildings), which are expected to be completed in the third quarter of 2015, at our current Tarrytown, New York location. The term of the lease, which commenced during the second half of 2014, is approximately 15 years and contains three renewal options to extend the term of the lease by five years each. The lease provides for (i) monthly payments over its term, which are expected to commence in the fourth quarter of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Financial Accounting Standards Board (FASB) authoritative guidance. Consequently, in addition to capitalizing the tenant improvements, we capitalize the landlord's costs of constructing these new facilities, offset by a corresponding facility lease obligation. In addition, we recognize, as additional facility lease obligation, reimbursements from our landlord for tenant improvement costs that we incurred since, under FASB authoritative guidance, such payments that we receive from our landlord are deemed to be a financing obligation. We will allocate a portion of our future lease payments to the Buildings and the land on which the Buildings are being constructed. The land element of the lease is treated for accounting purposes as an operating lease. As of June 30, 2015 and December 31, 2014, the Buildings' facility lease obligation balance was $200.2 million and $152.8 million,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cash expenditures for property, plant, and equipment totaled $354.1 million in the first half of 2015 and $135.7 million in the first half of 2014 (as described under "</w:t>
      </w: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 above). We expect to incur capital expenditures of approximately $320 million to $395 million in the second half of 2015 primarily in connection with renovating our new Limerick, Ireland facility, tenant improvements primarily related to the two new buildings under construction at our leased Tarrytown, New York facilities, and expanding and renovating a portion of our manufacturing facilities at our Rensselaer, New York facility.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expect continued increases in our expenditures, particularly in connection with our research and development activities (including preclinical and clinical testing), capital expenditures, costs related to the preparation for potential commercialization of our late-stage antibody product candidates, and commercialization of EYLEA and Praluent. We believe that our existing capital resources, borrowing availability under our revolving credit facility, funds generated by anticipated EYLEA net product sales, and, as described above under "Collaboration Agreements", funding for reimbursement of development costs that we are entitled to receive under our collaboration agreements with Sanofi and Bayer HealthCare, will enable us to meet our projected operating needs for the foreseeable future.</w:t>
      </w:r>
    </w:p>
    <w:p>
      <w:pPr>
        <w:spacing w:after="0" w:line="24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Under our collaboration agreements with Sanofi and Bayer HealthCare,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EYLEA collaboration with Bayer HealthCare, our percentage on product sales in Japan) otherwise payable to us, unless, in some cases, we elect to reimburse these expenses at a faster rate. In particular, as of December 31, 2014, our contingent reimbursement obligation to Bayer HealthCare for EYLEA was approximately $262 million and our contingent reimbursement obligation to Sanofi in connection with the companies' Antibody Collaboration was approximately $1,308 million. Therefore, we expect that, for the foreseeable future, a portion of our share of profits from sales of EYLEA outside the United States and a portion of our share of profits, if any, from sales of Praluent will be used to reimburse our collaborator for this obligation.</w:t>
      </w:r>
    </w:p>
    <w:p>
      <w:pPr>
        <w:spacing w:after="0" w:line="24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enter into research collaboration and licensing agreements that may require us to pay amounts upon the achievement of various development and commercial milestones, which, in the aggregate, could be significant. For example, in May 2013, we acquired from Sanofi full exclusive rights to antibodies targeting the PDGF family of receptors and ligands in ophthalmology and all other indications; consequently, we are obligated to pay up to $20.0 million in potential additional development milestones as well as royalties on any future sales of PDGF antibodies. Additionally, if required by the agreement, we may be required to make royalty payments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certain of our product candidates, we may be required to pay additional royalties or share the profits from such sales pursuant to our license or collaboration agreements. In addition, under the provisions of the Patient Protection and Affordable Care Act (PPACA) and the Health Care and Education Reconciliation Act of 2010, the Branded Prescription Drug Fee is imposed on pharmaceutical manufacturers that sell branded prescription drugs to specified government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programs. This fee is allocated to companies, including Regeneron, based on their market share of total branded prescription drug sales into these government programs.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the first half of 2015 and 2014, we made cash payments of $35.9 million and $65.0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2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June 2015, we received notification that an additional $2.0 million principal amount of our Notes were surrendered for conversion, and settlement is anticipated during the third quarter of 2015.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our Note hedges, for which we expect to receive shares of Common Stock approximately equal to the number of shares we will be required to issue to settle the non-cash portion of the related Note conversions. In future periods, other holders of these debt securities may surrender their Notes for conversion.</w:t>
      </w:r>
    </w:p>
    <w:p>
      <w:pPr>
        <w:spacing w:after="0" w:line="24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repurchase or retire our outstanding Notes, or other outstanding securities, through cash purchases or exchanges for other securities, in open market purchases, privately negotiated transactions, or otherwise.</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Due primarily to the amounts of our tax credit carry-forwards available for tax purposes, which totaled approximately $143 million as of December 31, 2014, and potential excess tax benefits in connection with stock option exercises, we expect our cash income tax payments for 2015 to be significantly less than the income tax expense recorded in our financial statements in 2015, which is based on an effective tax rate. However, we expect our cash income tax payments in 2015 to be substantially higher than such payments in 2014.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 new standard related to revenue recognition,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interim and annual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Around Market Risk" of our Annual Report on Form 10-K for the fiscal year ended December 31, 2014 (filed February 12, 2015). There have been no material changes to our market risks or to our management of such risks as of June 30, 2015.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June 30, 2015 that has materially affected, or is reasonably likely to materially affect, our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including those described in our Annual Report on Form 10-K for the year ended December 31, 2014 (filed February 12, 2015), our Quarterly Report on Form 10-Q for the quarterly period ended March 31, 2015 (filed May 7, 2015),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Praluent (alirocumab) Injection</w:t>
      </w:r>
    </w:p>
    <w:p>
      <w:pPr>
        <w:spacing w:after="0" w:line="283"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As previously reported, we are currently parties to patent infringement proceedings initiated by Amgen Inc. against us and Sanofi relating to Praluent, the antibody to PCSK9 for LDL cholesterol reduction we are jointly developing and commercializing with Sanofi. In its April 21, 2015 Scheduling Order, the court set a trial date of March 7,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Patents Owned by Genentech and City of Hope</w:t>
      </w:r>
    </w:p>
    <w:p>
      <w:pPr>
        <w:spacing w:after="0" w:line="28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On July 27, 2015, we and Sanofi-Aventis U.S. LLC filed a complaint in the United States District Court for the Central District of California (Los Angeles division) seeking a declaratory judgment of invalidity, as well as non-infringement by the manufacture, use, sale, offer of sale, or importation of Praluent (alirocumab), of U.S. Patent No. 7,923,221 jointly owned by Genentech, Inc. (Genentech) and City of Hope relating to the production of recombinant antibodies in host cells. On the same day, we and Sanofi-Aventis U.S. LLC initiated an inter partes review in the United States Patent and Trademark Office seeking a declaration of invalidity of U.S. Patent No. 6,331,415 jointly owned by Genentech and City of Hope relating to the production of recombinant antibodies in host cells.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EYLEA</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If we or Bayer HealthCare are unable to continue to commercialize EYLEA, our business, prospects, operating results, and financial condition will be materially harmed.</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six months ended June 30, 2015 and 2014, EYLEA net sales in the United States represented 64% and 60%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significant ongoing regulatory obligations and oversight with respect to EYLEA for its currently approved indications in the United States, EU, and other countries where the product is approved. If we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w:t>
      </w:r>
      <w:r>
        <w:rPr>
          <w:rFonts w:ascii="Times New Roman" w:cs="Times New Roman" w:eastAsia="Times New Roman" w:hAnsi="Times New Roman"/>
          <w:sz w:val="18"/>
          <w:szCs w:val="18"/>
          <w:color w:val="auto"/>
        </w:rPr>
        <w:t>"), we may lose marketing approval, which would materially harm our business, prospects,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If we fail to meet the stringent requirements of governmental regulation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30"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Our sales in the United States of EYLEA are dependent, in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Times New Roman" w:cs="Times New Roman" w:eastAsia="Times New Roman" w:hAnsi="Times New Roman"/>
          <w:sz w:val="18"/>
          <w:szCs w:val="18"/>
          <w:i w:val="1"/>
          <w:iCs w:val="1"/>
          <w:color w:val="auto"/>
        </w:rPr>
        <w:t>The successful commercialization of our marketed products, as well as our late-stage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EYLEA is subject to strong competition.</w:t>
      </w:r>
    </w:p>
    <w:p>
      <w:pPr>
        <w:spacing w:after="0" w:line="283" w:lineRule="exact"/>
        <w:rPr>
          <w:sz w:val="20"/>
          <w:szCs w:val="20"/>
          <w:color w:val="auto"/>
        </w:rPr>
      </w:pPr>
    </w:p>
    <w:p>
      <w:pPr>
        <w:jc w:val="both"/>
        <w:ind w:firstLine="216"/>
        <w:spacing w:after="0" w:line="217" w:lineRule="auto"/>
        <w:rPr>
          <w:sz w:val="20"/>
          <w:szCs w:val="20"/>
          <w:color w:val="auto"/>
        </w:rPr>
      </w:pPr>
      <w:r>
        <w:rPr>
          <w:rFonts w:ascii="Times New Roman" w:cs="Times New Roman" w:eastAsia="Times New Roman" w:hAnsi="Times New Roman"/>
          <w:sz w:val="18"/>
          <w:szCs w:val="18"/>
          <w:color w:val="auto"/>
        </w:rPr>
        <w:t>The market for eye disease products is very competitive. Novartis and Genentech are collaborating on the commercialization and further development of a VEGF antibody fragment,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(ranibizumab), for the treatment of wet AMD, macular edema following RVO, DME, visual impairment due to mCNV, diabetic retinopathy in patients with DME, and other eye indications.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approved by the FDA in June 2006 for the treatment of wet AMD, in June 2010 for the treatment of macular edema following RVO (including CRVO and BRVO), in August 2012 for the treatment of DME, and in February 2015 for the treatment of diabetic retinopathy in patients with DME.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was also approved by the EMA for wet AMD in January 2007, for DME in January 2011, for the treatment of macular edema following RVO (including CRVO and BRVO) in June 2011, and for mCNV in July 2013. Competitors are also exploring the development of a biosimilar version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particular, Pfenex Inc. is developing PF582, which is currently in a Phase 1b/2a trial in patients with wet AMD. Other competitive or potentially competitive products include Allergan's Ozurdex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(dexamethasone intravitreal implant) (approved by the FDA in June 2009 for the treatment of macular edema following RVO and in September 2014 for the treatment of DME) and Alimera Sciences' Iluvien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21" w:lineRule="auto"/>
        <w:rPr>
          <w:sz w:val="20"/>
          <w:szCs w:val="20"/>
          <w:color w:val="auto"/>
        </w:rPr>
      </w:pPr>
      <w:r>
        <w:rPr>
          <w:rFonts w:ascii="Times New Roman" w:cs="Times New Roman" w:eastAsia="Times New Roman" w:hAnsi="Times New Roman"/>
          <w:sz w:val="18"/>
          <w:szCs w:val="18"/>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a non-inferiority Phase 3 trial comparing RTH258 (ESBA1008) and EYLEA in December 2014. Allergan is developing abicipar pegol (an anti-VEGF-A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wet AMD and related conditions and a Phase 2 trial has been completed. Additionally, companies are developing products (or combinations of products) to treat wet AMD that act by blocking VEGF and VEGF receptors, as well as other targets (for example, PDGF). Ophthotech Corporation is developing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including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EYLEA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Genentech has completed a Phase 1 trial of a bi-specific antibody targeting both VEGF and Ang2 for wet AMD.</w:t>
      </w:r>
    </w:p>
    <w:p>
      <w:pPr>
        <w:spacing w:after="0" w:line="254" w:lineRule="exact"/>
        <w:rPr>
          <w:sz w:val="20"/>
          <w:szCs w:val="20"/>
          <w:color w:val="auto"/>
        </w:rPr>
      </w:pPr>
    </w:p>
    <w:p>
      <w:pPr>
        <w:jc w:val="both"/>
        <w:ind w:firstLine="243"/>
        <w:spacing w:after="0" w:line="217" w:lineRule="auto"/>
        <w:rPr>
          <w:sz w:val="20"/>
          <w:szCs w:val="20"/>
          <w:color w:val="auto"/>
        </w:rPr>
      </w:pPr>
      <w:r>
        <w:rPr>
          <w:rFonts w:ascii="Times New Roman" w:cs="Times New Roman" w:eastAsia="Times New Roman" w:hAnsi="Times New Roman"/>
          <w:sz w:val="18"/>
          <w:szCs w:val="18"/>
          <w:color w:val="auto"/>
        </w:rPr>
        <w:t>In addition, ophthalmologists are using with success off-label, third-party repackaged versions of Genentech's approved VEGF antagonist,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wet AMD, DME, and RVO. The relatively low cost of therapy with repackaged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in patients with wet AMD presents a significant competitive challenge in this indication. Competitors (including Amgen) are also developing a biosimilar version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Long-term, controlled clinical trials comparing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treatment of wet AMD are being conducted. One-year data from the Comparison of Age-Related Macular Degeneration Treatments Trial (CATT) were reported in April 2011 and indicated that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was non-inferior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in the primary efficacy endpoint of mean visual acuity gain at 52 weeks. Two-year data from CATT were reported in April 2012 and indicated that monthly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non-inferior to monthly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mean visual acuity gain; as-needed dosing was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non-inferior to monthly dosing.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being evaluated in eye diseases in trials that have been initiated in the United Kingdom, Canada, Brazil, Mexico, Germany, Israel, and other countries. Furthermore,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present significant competitive challenges as doctors and patients have had significant experience using these medicines. Moreover, the reported results of the CATT study, combined with the relatively low cost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 See also "Risks Related to Commercialization of Products - </w:t>
      </w:r>
      <w:r>
        <w:rPr>
          <w:rFonts w:ascii="Times New Roman" w:cs="Times New Roman" w:eastAsia="Times New Roman" w:hAnsi="Times New Roman"/>
          <w:sz w:val="18"/>
          <w:szCs w:val="18"/>
          <w:i w:val="1"/>
          <w:iCs w:val="1"/>
          <w:color w:val="auto"/>
        </w:rPr>
        <w:t>We may be unsuccessful in continuing the commercialization of our marketed products or in commercializing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or new indications for our marketed products, if approved, which would materially and adversely affect our business, profitability, and future prospects</w:t>
      </w:r>
      <w:r>
        <w:rPr>
          <w:rFonts w:ascii="Times New Roman" w:cs="Times New Roman" w:eastAsia="Times New Roman" w:hAnsi="Times New Roman"/>
          <w:sz w:val="18"/>
          <w:szCs w:val="18"/>
          <w:color w:val="auto"/>
        </w:rPr>
        <w:t>" below.</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product sales could be reduced by imports from countries where our products are available at lower prices.</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These practices are of particular relevance to the EU, where they have been encouraged by the current regulatory framework. These types of imports of our products may exert pressure on the pricing of our products in a particular market or reduce our or our collaborators' sales, thereby adversely affecting our results of operations. In addition, there have been proposals to legalize the import of pharmaceuticals from outside the United States. If such legislation were enacted, our future revenues could be reduced.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0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 In addition, a failure to maintain regulatory approval for EYLEA's and Praluent's currently approved indications (including for any of the reasons discussed below under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w:t>
      </w:r>
      <w:r>
        <w:rPr>
          <w:rFonts w:ascii="Times New Roman" w:cs="Times New Roman" w:eastAsia="Times New Roman" w:hAnsi="Times New Roman"/>
          <w:sz w:val="18"/>
          <w:szCs w:val="18"/>
          <w:color w:val="auto"/>
        </w:rPr>
        <w:t>") may result in the loss of marketing approval and the ability to generate EYLEA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Praluent product sales revenue (as applicable), which would materially and negatively impact our business, prospects, operating results, and financial condition.</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4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42"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(including based on the rare pediatric disease priority review voucher, which we and Sanofi used in connection with the BLA submission for Praluent),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3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30"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EYLEA is being studied in diseases of the eye in addition to those covered by its currently approved indications.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frequent ocular adverse events were conjunctival hemorrhage, macular degeneration, eye pain, retinal hemorrhage, and vitreous floaters. These and other complications or side effects could harm the development and/or commercialization of EYLEA.</w:t>
      </w:r>
    </w:p>
    <w:p>
      <w:pPr>
        <w:spacing w:after="0" w:line="212"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38"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and, if approved, product candidates may be used with drug delivery devices, which have their own regulatory and other risks.</w:t>
      </w:r>
    </w:p>
    <w:p>
      <w:pPr>
        <w:spacing w:after="0" w:line="297"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color w:val="auto"/>
        </w:rPr>
        <w:t>Some of our products (such as Praluent) and, if approved,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has been the subject of opposition proceedings in the European Patent Office, as described in Part I, Item 3. "Legal Proceedings" of our Annual Report on Form 10-K for the year ended December 31, 2014.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47"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1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either because of the way the antibodies are discovered or produced or because of a proprietary composition covering an antibody or the antibody's target.</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and our U.S. Patent No. 8,502,018, both of which concern genetically altered mice capable of producing chimeric antibodies that are part human and part mouse, as described in Part I, Item 3. "Legal Proceedings" of our Annual Report on Form 10-K for the year ended December 31, 2014 and Part II, Item 1. "Legal Proceedings" of our Quarterly Report on Form 10-Q for the quarterly period ended March 31, 2015. In addition, we are currently parties to patent infringement proceedings initiated by Amgen against us and Sanofi relating to Praluent, the antibody to PCSK9 for LDL cholesterol reduction we are jointly developing and commercializing with Sanofi, as described in Part I, Item 3. "Legal Proceedings" of our Annual Report on Form 10-K for the year ended December 31, 2014, and Part II, Item 1. "Legal Proceedings" of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dupilumab, an antibody to IL-4R, for the treatment of atopic dermatitis, asthma, chronic sinusitis with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As described in Part II, Item 1. "Legal Proceedings" of this report, we and Sanofi-Aventis U.S. LLC initiated invalidity actions against patents jointly owned by Genentech and City of Hope relating to the production of recombinant antibodies in host cells. We currently produce our antibody product and antibody product candidates using recombinant antibodies from host cells and may choose to produce additional antibody product candidates in this manner. Neither ARCALYST nor EYLEA is a recombinant antibody. Genentech has licensed these patents to several different companies under confidential license agreements. If we desire a license for any of our antibody products or product candidates as part of a settlement for these invalidity actions and are unable to obtain a license on commercially reasonable terms or at all, we may be restricted in our ability to make recombinant antibodies in, or to import them into, the United States. Further, we are aware of a number of patent applications of others that, if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granted with claims as currently drafted, may cover our current or planned activities. It could be determined that our products and/or actions in manufacturing or selling our product candidates infringe such patents.</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26"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are insufficient to protect our proprietary rights, our business and competitive position will be harmed,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or PPACA, enacted in 2010, there is an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commercialize Praluent and, if approved, our product candidates or other indications for our marketed products, and to advance our clinical pipeline.</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manufacturing facilities would be inadequate to produce the active pharmaceutical ingredients of (a) EYLEA, Praluent,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EYLEA, Praluent,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EYLEA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3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6" w:lineRule="exact"/>
        <w:rPr>
          <w:sz w:val="20"/>
          <w:szCs w:val="20"/>
          <w:color w:val="auto"/>
        </w:rPr>
      </w:pPr>
    </w:p>
    <w:p>
      <w:pPr>
        <w:jc w:val="both"/>
        <w:ind w:firstLine="243"/>
        <w:spacing w:after="0" w:line="228" w:lineRule="auto"/>
        <w:rPr>
          <w:sz w:val="20"/>
          <w:szCs w:val="20"/>
          <w:color w:val="auto"/>
        </w:rPr>
      </w:pPr>
      <w:r>
        <w:rPr>
          <w:rFonts w:ascii="Times New Roman" w:cs="Times New Roman" w:eastAsia="Times New Roman" w:hAnsi="Times New Roman"/>
          <w:sz w:val="18"/>
          <w:szCs w:val="18"/>
          <w:color w:val="auto"/>
        </w:rPr>
        <w:t>Currently, we have three marketed products, EYLEA, Praluent, and ARCALYST. While we have established our own sales and marketing organization for EYLEA and Praluent in the United States for their currently approved indications, our commercialization experience is still relatively limited and we have no sales, marketing, commercial, or distribution capabilities outside the United States. In addition, EYLEA faces intense competition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from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both of which have been on the market for a number of years and, potentially, from new competitive products currently in clinical development. We expect Praluent also to face intense competition, as described in further detail below under "</w:t>
      </w:r>
      <w:r>
        <w:rPr>
          <w:rFonts w:ascii="Times New Roman" w:cs="Times New Roman" w:eastAsia="Times New Roman" w:hAnsi="Times New Roman"/>
          <w:sz w:val="18"/>
          <w:szCs w:val="18"/>
          <w:i w:val="1"/>
          <w:iCs w:val="1"/>
          <w:color w:val="auto"/>
        </w:rPr>
        <w:t>Our marketed products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competition, and our product candidates or new indications for our marketed products, if any are approved for marketing, may face significant competition.</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EYLEA;</w:t>
      </w:r>
    </w:p>
    <w:p>
      <w:pPr>
        <w:spacing w:after="0" w:line="9" w:lineRule="exact"/>
        <w:rPr>
          <w:rFonts w:ascii="Times New Roman" w:cs="Times New Roman" w:eastAsia="Times New Roman" w:hAnsi="Times New Roman"/>
          <w:sz w:val="18"/>
          <w:szCs w:val="18"/>
          <w:color w:val="auto"/>
        </w:rPr>
      </w:pPr>
    </w:p>
    <w:p>
      <w:pPr>
        <w:ind w:left="660" w:right="20" w:hanging="328"/>
        <w:spacing w:after="0" w:line="21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communicate to the marketplace the benefits of the dosing regimen of EYLEA as compared to the dosing regimen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willingness of retinal specialists and patients to switch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EYLEA;</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of EYLEA in the face of competitive products, including those currently in clinical development;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implemented in the United States, including reporting and disclosure requirements of such laws and regulations and the potential impact of such requirements on physician prescription practices.</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30"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36"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8"/>
          <w:szCs w:val="18"/>
          <w:color w:val="auto"/>
        </w:rPr>
        <w:t xml:space="preserve">The market for eye disease products is very competitive, as described in greater detail above under "Risks Related to Commercialization of EYLEA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success of EYLEA is subject to strong competition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216"/>
        <w:spacing w:after="0" w:line="249" w:lineRule="auto"/>
        <w:rPr>
          <w:sz w:val="20"/>
          <w:szCs w:val="20"/>
          <w:color w:val="auto"/>
        </w:rPr>
      </w:pPr>
      <w:r>
        <w:rPr>
          <w:rFonts w:ascii="Times New Roman" w:cs="Times New Roman" w:eastAsia="Times New Roman" w:hAnsi="Times New Roman"/>
          <w:sz w:val="18"/>
          <w:szCs w:val="18"/>
          <w:color w:val="auto"/>
        </w:rPr>
        <w:t>There is significant actual and potential future competition for Praluent, the PCSK9 antibody we are developing and commercializing in collaboration with Sanofi. Amgen's PCSK9 program is currently the most advanced of the competitors, having already received marketing authorization from the European Commission for its PCSK9 inhibitor Repatha</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8"/>
          <w:szCs w:val="18"/>
          <w:color w:val="auto"/>
        </w:rPr>
        <w:t xml:space="preserve"> (evolocumab) and submitted a BLA for Repatha with the FDA. Amgen may obtain marketing approval for Repatha in one or more countries before Praluent is approved in those countries. Several other companies, including Pfizer and Eli Lilly, also have development programs for antibodies against PCSK9. Alnylam, in partnership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Praluent. Certain late-stage inhibitors of cholesterylester transfer protein (CETP), such as Merck's anacetrapib and Eli Lilly's evacetrapib, lower LDL-C and may be launched with supporting data from outcomes trials prior to the completion of our own outcomes trial for Praluent. Another oral agent that lowers LDL-C and that may potentially compete with Praluent is Esperion's ETC-1002.</w:t>
      </w:r>
    </w:p>
    <w:p>
      <w:pPr>
        <w:spacing w:after="0" w:line="246"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Our earlier-stage clinical candidates in development are all fully human monoclonal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0"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rheumatoid arthritis, and several other companies, including Johnson &amp; Johnson (in partnership with GlaxoSmithKline), Alder Biopharmaceuticals, Ablynx (in partnership with AbbVie), R-Pharm, and Pfizer have antibodies against IL-6 or IL-6R in clinical development. A number of companies are developing antibodies that, if approved, may compete with dupilumab, our IL-4R antibody, if it is approved, including Roche (an antibody against IL-13), Teva (an antibody against IL-5), AstraZeneca (antibodies against IL-5R and IL-13), Novartis (a combination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antibody against IL-4 and IL-13), and Amgen (in partnership with AstraZeneca) (an antibody against thymic stromal lymphopoietin, or TSLP). For muscle-wasting conditions, Pfizer, Eli Lilly, Bristol-Myers Squibb, and Atara Biotherapeutics have anti-GDF8 monoclonal antibodies in development, and Novartis has a competing antibody targeting ActRIIB. For RSV, competitors have antibodies in clinical development, including AstraZeneca (in partnership with AIMM Therapeutics).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the Centers for Medicare and Medicaid Services of the Department of Health and Human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rather than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EYLEA and Praluent for their currently approved indications will likely continue to be too expensive for most patients to afford without health insurance coverage, if third-party payers, including Medicare and Medicaid in the United States, do not continue to provide adequate coverage and reimbursement for EYLEA or do not provide adequate coverage and reimbursement for Praluent, our ability to successfully market them would be materially adversely impacted. There is a risk that third-party payers, including Medicare and Medicaid in the United States, may not cover and/or reimburse our current and future products at levels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9"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six months ended June 30, 2015 and 2014, we recorded 69% and 76%,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4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As part of the PPACA, the federal government has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June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47"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overseas funds in an efficient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we obtain from research institutions and our collaborators.</w:t>
      </w:r>
    </w:p>
    <w:p>
      <w:pPr>
        <w:spacing w:after="0" w:line="28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Most health care providers, including research institutions from which we or our collaborators obtain patient information, are subject to privacy and security regulations promulgated under the Health Insurance Portability and Accountability Act of 1996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Regeneron is not a HIPAA-covered entity and our clinical research efforts are not directly regulated by HIPAA, so we are not subject to civil penalties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international data protection laws, including the EU Data Protection Directive and legislation of the EU member states implementing it, may apply to some or all of the clinical data obtained from our collaborators outside of the U.S. Failure by those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information, as well as the providers who share this information with us, may have statutory or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97" w:lineRule="exact"/>
        <w:rPr>
          <w:sz w:val="20"/>
          <w:szCs w:val="20"/>
          <w:color w:val="auto"/>
        </w:rPr>
      </w:pPr>
    </w:p>
    <w:p>
      <w:pPr>
        <w:jc w:val="both"/>
        <w:ind w:firstLine="243"/>
        <w:spacing w:after="0" w:line="270"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5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REGN1033, and decided not to opt in to the REGN1154, REGN1193, REGN1500, and other programs.</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w:t>
      </w:r>
    </w:p>
    <w:p>
      <w:pPr>
        <w:spacing w:after="0" w:line="234"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We cannot assure you that regulatory approvals will be received for EYLEA in additional indications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have invested in the protection of data and information technology, there can be no assurance that our efforts will prevent service interruptions or security breaches.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June 30, 2015, we had $390.6 million in cash and cash equivalents and $803.3 million in marketable securities (including $46.1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 particular net product sales of EYLEA;</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fluctuations in market share for, our marketed products, especially EYLEA and Praluent;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products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European Patent Office and in the U.S. Patent and Trademark Office;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owned by a small number of our principal shareholders, and our largest shareholder, Sanofi, has been increasing its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June 30, 2015, our five largest shareholders plus Dr. Schleifer, our Chief Executive Officer, beneficially owned approximately 48.8% of our outstanding shares of Common Stock, assuming, in the case of our Chief Executive Officer, the conversion of his Class A Stock into Common Stock and the exercise of all options held by him which are exercisable within 60 days of June 30, 2015. As of June 30, 2015, Sanofi beneficially owned 22,859,144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July 2014, Sanofi disclosed in an amendment to its Schedule 13D filed with the SEC its intention to purchase additional shares of our Common Stock to progressively increase its beneficial ownership in 2014 and 2015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June 30, 2015, holders of Class A Stock held 16.1%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2015:</w:t>
      </w:r>
    </w:p>
    <w:p>
      <w:pPr>
        <w:spacing w:after="0" w:line="242" w:lineRule="exact"/>
        <w:rPr>
          <w:sz w:val="20"/>
          <w:szCs w:val="20"/>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10.2% of our outstanding shares of Common Stock, assuming conversion of their Class A Stock into Common Stock and the exercise of all options held by such persons which are exercisable within 60 days of June 30, 2015, and 21.7% of the combined voting power of our outstanding shares of Common Stock and Class A Stock, assuming the exercise of all options held by such persons which are exercisable within 60 days of June 30, 2015;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48.8% of our outstanding shares of Common Stock, assuming, in the case of our Chief Executive Officer, the conversion of his Class A Stock into Common Stock and the exercise of all options held by him which are exercisable within 60 days of June 30, 2015. In addition, these five shareholders plus our Chief Executive Officer held approximately 54.4% of the combined voting power of our outstanding shares of Common Stock and Class A Stock, assuming the exercise of all options held by our Chief Executive Officer which are exercisable within 60 days of June 30, 2015.</w:t>
      </w:r>
    </w:p>
    <w:p>
      <w:pPr>
        <w:spacing w:after="0" w:line="24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w:t>
      </w:r>
    </w:p>
    <w:p>
      <w:pPr>
        <w:spacing w:after="0" w:line="234"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June 30, 2015, an aggregate principal amount of $33.3 million of the notes and 3,122,015 warrants (subject to adjustment from time to time as provided in the applicable warrant agreements) remained outstanding.</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9"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or (v) other specified events, such as a liquidation or dissolution of our company.</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as described above under "</w:t>
      </w:r>
      <w:r>
        <w:rPr>
          <w:rFonts w:ascii="Times New Roman" w:cs="Times New Roman" w:eastAsia="Times New Roman" w:hAnsi="Times New Roman"/>
          <w:sz w:val="18"/>
          <w:szCs w:val="18"/>
          <w:i w:val="1"/>
          <w:iCs w:val="1"/>
          <w:color w:val="auto"/>
        </w:rPr>
        <w:t>Our existing shareholders may be able to exert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 These contractual provisions may also have the effect of deterring,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delaying, or preventing an acquisition or other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second quarter of 2015, we settled the conversion of $127.3 million principal amount of our 1.875% convertible senior notes through the payment of $127.3 million in cash (equal to the principal amount of the converted notes) and issuance of 1,252,816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1,252,808 shares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second quarter of 2015.</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7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27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Number (or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7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7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27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7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7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7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7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6/1/2015-6/30/2015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1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5"/>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60" w:type="dxa"/>
            <w:vAlign w:val="bottom"/>
            <w:gridSpan w:val="5"/>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Restated Certificate of Incorporation, as amended.</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458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9"/>
              </w:rPr>
              <w:t>Regeneron Pharmaceuticals, Inc. Cash Incentive Bonus Plan.</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4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58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Tenth Amendment to Lease, by and between BMR-Landmark at Eastview LLC and the Registrant, entered into as</w:t>
            </w:r>
          </w:p>
        </w:tc>
        <w:tc>
          <w:tcPr>
            <w:tcW w:w="0" w:type="dxa"/>
            <w:vAlign w:val="bottom"/>
          </w:tcPr>
          <w:p>
            <w:pPr>
              <w:spacing w:after="0"/>
              <w:rPr>
                <w:sz w:val="1"/>
                <w:szCs w:val="1"/>
                <w:color w:val="auto"/>
              </w:rPr>
            </w:pPr>
          </w:p>
        </w:tc>
      </w:tr>
      <w:tr>
        <w:trPr>
          <w:trHeight w:val="241"/>
        </w:trPr>
        <w:tc>
          <w:tcPr>
            <w:tcW w:w="74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October 25, 2012.</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58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Fourteenth Amendment to Lease, by and between BMR-Landmark at Eastview LLC and the Registrant, entered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into as of October 25, 2013.</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4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58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Fifteenth Amendment to Lease, by and between BMR-Landmark at Eastview LLC and the Registrant, entered into</w:t>
            </w:r>
          </w:p>
        </w:tc>
        <w:tc>
          <w:tcPr>
            <w:tcW w:w="0" w:type="dxa"/>
            <w:vAlign w:val="bottom"/>
          </w:tcPr>
          <w:p>
            <w:pPr>
              <w:spacing w:after="0"/>
              <w:rPr>
                <w:sz w:val="1"/>
                <w:szCs w:val="1"/>
                <w:color w:val="auto"/>
              </w:rPr>
            </w:pPr>
          </w:p>
        </w:tc>
      </w:tr>
      <w:tr>
        <w:trPr>
          <w:trHeight w:val="241"/>
        </w:trPr>
        <w:tc>
          <w:tcPr>
            <w:tcW w:w="74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June 12, 2014.</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58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Sixteenth Amendment to Lease, by and between BMR-Landmark at Eastview LLC and the Registrant, entered into</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 of June 30, 2015.</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4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580" w:type="dxa"/>
            <w:vAlign w:val="bottom"/>
            <w:gridSpan w:val="1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Amendment to Mt. Pleasant Lease, by and between BMR-Landmark at Eastview LLC and the Registrant,</w:t>
            </w:r>
          </w:p>
        </w:tc>
        <w:tc>
          <w:tcPr>
            <w:tcW w:w="0" w:type="dxa"/>
            <w:vAlign w:val="bottom"/>
          </w:tcPr>
          <w:p>
            <w:pPr>
              <w:spacing w:after="0"/>
              <w:rPr>
                <w:sz w:val="1"/>
                <w:szCs w:val="1"/>
                <w:color w:val="auto"/>
              </w:rPr>
            </w:pPr>
          </w:p>
        </w:tc>
      </w:tr>
      <w:tr>
        <w:trPr>
          <w:trHeight w:val="241"/>
        </w:trPr>
        <w:tc>
          <w:tcPr>
            <w:tcW w:w="74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entered into as of June 30, 2015.</w:t>
            </w:r>
          </w:p>
        </w:tc>
        <w:tc>
          <w:tcPr>
            <w:tcW w:w="6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58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gridSpan w:val="1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43"/>
        </w:trPr>
        <w:tc>
          <w:tcPr>
            <w:tcW w:w="13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58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Interactive Data File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40" w:type="dxa"/>
            <w:vAlign w:val="bottom"/>
            <w:gridSpan w:val="4"/>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XBRL Taxonomy Extension Calculation Linkbase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80" w:type="dxa"/>
            <w:vAlign w:val="bottom"/>
            <w:gridSpan w:val="5"/>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XBRL Taxonomy Extension Definition Document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20" w:type="dxa"/>
            <w:vAlign w:val="bottom"/>
            <w:gridSpan w:val="8"/>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8"/>
              </w:rPr>
              <w:t>_______</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40" w:right="980" w:hanging="364"/>
        <w:spacing w:after="0" w:line="282" w:lineRule="auto"/>
        <w:tabs>
          <w:tab w:leader="none" w:pos="1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Form 8-K for Regeneron Pharmaceuticals, Inc. (the "Registrant"), filed June 17, 2015.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6"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OF THE CERTIFICATE OF INCORPORATION OF</w:t>
      </w:r>
    </w:p>
    <w:p>
      <w:pPr>
        <w:spacing w:after="0" w:line="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805 of the Business Corporation Law</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being the Senior Vice President, General Counsel and Secretary of Regeneron Pharmaceuticals, Inc. (the “Corporation”), hereby certifies that:</w:t>
      </w:r>
    </w:p>
    <w:p>
      <w:pPr>
        <w:spacing w:after="0" w:line="162" w:lineRule="exact"/>
        <w:rPr>
          <w:sz w:val="20"/>
          <w:szCs w:val="20"/>
          <w:color w:val="auto"/>
        </w:rPr>
      </w:pPr>
    </w:p>
    <w:p>
      <w:pPr>
        <w:ind w:left="1020" w:hanging="31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Regeneron Pharmaceuticals, Inc.</w:t>
      </w:r>
    </w:p>
    <w:p>
      <w:pPr>
        <w:spacing w:after="0" w:line="225" w:lineRule="exact"/>
        <w:rPr>
          <w:rFonts w:ascii="Times New Roman" w:cs="Times New Roman" w:eastAsia="Times New Roman" w:hAnsi="Times New Roman"/>
          <w:sz w:val="18"/>
          <w:szCs w:val="18"/>
          <w:color w:val="auto"/>
        </w:rPr>
      </w:pPr>
    </w:p>
    <w:p>
      <w:pPr>
        <w:ind w:left="1020" w:hanging="31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was filed with the Department of State of the State of New York on January 11, 1988.</w:t>
      </w:r>
    </w:p>
    <w:p>
      <w:pPr>
        <w:spacing w:after="0" w:line="225" w:lineRule="exact"/>
        <w:rPr>
          <w:rFonts w:ascii="Times New Roman" w:cs="Times New Roman" w:eastAsia="Times New Roman" w:hAnsi="Times New Roman"/>
          <w:sz w:val="18"/>
          <w:szCs w:val="18"/>
          <w:color w:val="auto"/>
        </w:rPr>
      </w:pPr>
    </w:p>
    <w:p>
      <w:pPr>
        <w:ind w:right="60" w:firstLine="708"/>
        <w:spacing w:after="0" w:line="256" w:lineRule="auto"/>
        <w:tabs>
          <w:tab w:leader="none" w:pos="10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IV of the Corporation’s Certificate of Incorporation, relating to the aggregate number of shares of capital stock which the Corporation shall have the authority to issue, is amended so as to increase the number of authorized shares of all classes of capital stock of the Corporation from two hundred and thirty million (230,000,000) shares to three hundred and ninety million (390,000,000) shares and by increasing the number of authorized shares of common stock, par value $0.001 per share, from one hundred and sixty million (160,000,000) shares to three hundred and twenty million (320,000,000) shares. No changes are being made to the number of the Corporation’s shares of authorized Class A Stock, par value $0.001 per share, or authorized preferred stock, par value $0.01 per share.</w:t>
      </w:r>
    </w:p>
    <w:p>
      <w:pPr>
        <w:spacing w:after="0" w:line="187" w:lineRule="exact"/>
        <w:rPr>
          <w:rFonts w:ascii="Times New Roman" w:cs="Times New Roman" w:eastAsia="Times New Roman" w:hAnsi="Times New Roman"/>
          <w:sz w:val="18"/>
          <w:szCs w:val="18"/>
          <w:color w:val="auto"/>
        </w:rPr>
      </w:pPr>
    </w:p>
    <w:p>
      <w:pPr>
        <w:ind w:right="40" w:firstLine="708"/>
        <w:spacing w:after="0" w:line="282" w:lineRule="auto"/>
        <w:tabs>
          <w:tab w:leader="none" w:pos="10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foregoing amendment, the first paragraph of Article IV of the Corporation’s Certificate of Incorporation is amended to read in its entirety as follows:</w:t>
      </w:r>
    </w:p>
    <w:p>
      <w:pPr>
        <w:spacing w:after="0" w:line="16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 xml:space="preserve">“Article IV.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right="200" w:firstLine="648"/>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all classes of capital stock which the Corporation shall have the authority to issue is three hundred and ninety million (390,000,000) shares, consisting of (a) 320,000,000 shares of common stock, par value $0.001 per share (“Common Stock”); (b) 40,000,000 shares of Class A Stock, par value $0.001 per share (“Class A Stock”; Common Stock and Class A Stock are referred to herein, collectively, as the “Common Shares”); and (c) 30,000,000 shares of preferred stock, par value $0.01 per share.”</w:t>
      </w:r>
    </w:p>
    <w:p>
      <w:pPr>
        <w:spacing w:after="0" w:line="180" w:lineRule="exact"/>
        <w:rPr>
          <w:sz w:val="20"/>
          <w:szCs w:val="20"/>
          <w:color w:val="auto"/>
        </w:rPr>
      </w:pPr>
    </w:p>
    <w:p>
      <w:pPr>
        <w:ind w:right="40" w:firstLine="708"/>
        <w:spacing w:after="0" w:line="282" w:lineRule="auto"/>
        <w:tabs>
          <w:tab w:leader="none" w:pos="10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effected hereby was authorized by the vote of the Board of Directors followed by a vote of a majority of all outstanding shares entitled to vote thereon at a meeting of shareholders.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signed this Certificate this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June, 2015.</w:t>
      </w:r>
    </w:p>
    <w:p>
      <w:pPr>
        <w:spacing w:after="0" w:line="30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19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Joseph J. LaRosa</w:t>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Senior Vice President, General Counsel and Secretary</w:t>
      </w:r>
    </w:p>
    <w:p>
      <w:pPr>
        <w:sectPr>
          <w:pgSz w:w="11900" w:h="16838" w:orient="portrait"/>
          <w:cols w:equalWidth="0" w:num="1">
            <w:col w:w="11080"/>
          </w:cols>
          <w:pgMar w:left="580" w:top="360" w:right="239" w:bottom="1440" w:gutter="0" w:footer="0" w:header="0"/>
        </w:sectPr>
      </w:pPr>
    </w:p>
    <w:bookmarkStart w:id="86" w:name="page87"/>
    <w:bookmarkEnd w:id="86"/>
    <w:p>
      <w:pPr>
        <w:jc w:val="center"/>
        <w:ind w:right="-279"/>
        <w:spacing w:after="0"/>
        <w:rPr>
          <w:sz w:val="20"/>
          <w:szCs w:val="20"/>
          <w:color w:val="auto"/>
        </w:rPr>
      </w:pPr>
      <w:r>
        <w:rPr>
          <w:rFonts w:ascii="Times New Roman" w:cs="Times New Roman" w:eastAsia="Times New Roman" w:hAnsi="Times New Roman"/>
          <w:sz w:val="18"/>
          <w:szCs w:val="18"/>
          <w:color w:val="auto"/>
        </w:rPr>
        <w:t>CERTIFICATE OF CHANGE</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197485</wp:posOffset>
            </wp:positionV>
            <wp:extent cx="342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UNDER SECTION 805-A OF THE BUSINESS CORPORATION LAW</w:t>
      </w:r>
    </w:p>
    <w:p>
      <w:pPr>
        <w:spacing w:after="0" w:line="200" w:lineRule="exact"/>
        <w:rPr>
          <w:sz w:val="20"/>
          <w:szCs w:val="20"/>
          <w:color w:val="auto"/>
        </w:rPr>
      </w:pPr>
    </w:p>
    <w:p>
      <w:pPr>
        <w:spacing w:after="0" w:line="241" w:lineRule="exact"/>
        <w:rPr>
          <w:sz w:val="20"/>
          <w:szCs w:val="20"/>
          <w:color w:val="auto"/>
        </w:rPr>
      </w:pPr>
    </w:p>
    <w:p>
      <w:pPr>
        <w:ind w:left="580" w:hanging="347"/>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is </w:t>
      </w:r>
      <w:r>
        <w:rPr>
          <w:rFonts w:ascii="Times New Roman" w:cs="Times New Roman" w:eastAsia="Times New Roman" w:hAnsi="Times New Roman"/>
          <w:sz w:val="18"/>
          <w:szCs w:val="18"/>
          <w:u w:val="single" w:color="auto"/>
          <w:color w:val="auto"/>
        </w:rPr>
        <w:t>REGENERON PHARMACEUTICALS, INC.</w:t>
      </w:r>
    </w:p>
    <w:p>
      <w:pPr>
        <w:spacing w:after="0" w:line="117"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said corporation was filed by the Department of State on the </w:t>
      </w:r>
      <w:r>
        <w:rPr>
          <w:rFonts w:ascii="Times New Roman" w:cs="Times New Roman" w:eastAsia="Times New Roman" w:hAnsi="Times New Roman"/>
          <w:sz w:val="18"/>
          <w:szCs w:val="18"/>
          <w:u w:val="single" w:color="auto"/>
          <w:color w:val="auto"/>
        </w:rPr>
        <w:t>1/11/1988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was authorized by the Board of Directors:</w:t>
      </w:r>
    </w:p>
    <w:p>
      <w:pPr>
        <w:spacing w:after="0" w:line="11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To change the post office address to which the Secretary of State shall mail a copy of process in any action or proceeding against the corporation which may be served on him to: c/o C T Corporation System, 111 Eighth Avenue, New York, N.Y. 10011.</w:t>
      </w:r>
    </w:p>
    <w:p>
      <w:pPr>
        <w:spacing w:after="0" w:line="54" w:lineRule="exact"/>
        <w:rPr>
          <w:sz w:val="20"/>
          <w:szCs w:val="20"/>
          <w:color w:val="auto"/>
        </w:rPr>
      </w:pPr>
    </w:p>
    <w:p>
      <w:pPr>
        <w:ind w:right="160" w:firstLine="230"/>
        <w:spacing w:after="0" w:line="282" w:lineRule="auto"/>
        <w:rPr>
          <w:sz w:val="20"/>
          <w:szCs w:val="20"/>
          <w:color w:val="auto"/>
        </w:rPr>
      </w:pPr>
      <w:r>
        <w:rPr>
          <w:rFonts w:ascii="Times New Roman" w:cs="Times New Roman" w:eastAsia="Times New Roman" w:hAnsi="Times New Roman"/>
          <w:sz w:val="18"/>
          <w:szCs w:val="18"/>
          <w:color w:val="auto"/>
        </w:rPr>
        <w:t>To designate C T CORPORATION SYSTEM, 111 Eighth Avenue, New York, N.Y. 10011 as its registered agent in New York upon whom all process against the corporation may be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Beth F.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319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Beth F. Levine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Vice President, Assoc. General Counsel &amp;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w:t>
      </w:r>
    </w:p>
    <w:p>
      <w:pPr>
        <w:sectPr>
          <w:pgSz w:w="11900" w:h="16838" w:orient="portrait"/>
          <w:cols w:equalWidth="0" w:num="1">
            <w:col w:w="11160"/>
          </w:cols>
          <w:pgMar w:left="240" w:top="837" w:right="49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REGENERON PHARMACEUTICALS,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UNDER SECTION 807 THE BUSINESS CORPORATION LAW</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undersigned hereby certify that:</w:t>
      </w:r>
    </w:p>
    <w:p>
      <w:pPr>
        <w:spacing w:after="0" w:line="117" w:lineRule="exact"/>
        <w:rPr>
          <w:sz w:val="20"/>
          <w:szCs w:val="20"/>
          <w:color w:val="auto"/>
        </w:rPr>
      </w:pPr>
    </w:p>
    <w:p>
      <w:pPr>
        <w:ind w:left="420" w:hanging="187"/>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Regeneron Pharmaceuticals, Inc. (the “Corporation”).</w:t>
      </w:r>
    </w:p>
    <w:p>
      <w:pPr>
        <w:spacing w:after="0" w:line="117"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was filed with the Department of State of the State of New York on January 11, 1988.</w:t>
      </w:r>
    </w:p>
    <w:p>
      <w:pPr>
        <w:spacing w:after="0" w:line="117" w:lineRule="exact"/>
        <w:rPr>
          <w:rFonts w:ascii="Times New Roman" w:cs="Times New Roman" w:eastAsia="Times New Roman" w:hAnsi="Times New Roman"/>
          <w:sz w:val="18"/>
          <w:szCs w:val="18"/>
          <w:color w:val="auto"/>
        </w:rPr>
      </w:pPr>
    </w:p>
    <w:p>
      <w:pPr>
        <w:ind w:right="340" w:firstLine="233"/>
        <w:spacing w:after="0" w:line="282" w:lineRule="auto"/>
        <w:tabs>
          <w:tab w:leader="none" w:pos="4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restates the Certificate of Incorporation, as heretofore amended, without amendment or change to read as herein set forth in full.</w:t>
      </w:r>
    </w:p>
    <w:p>
      <w:pPr>
        <w:spacing w:after="0" w:line="53"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has been authorized by resolution duly adopted by the Corporation’s Board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Certificate of Incorporation, as heretofore amended, is hereby restated to be and read in its entirety as follows:</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u w:val="single" w:color="auto"/>
          <w:color w:val="auto"/>
        </w:rPr>
        <w:t>NAME OF CORPORATION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Regeneron Pharmaceuticals, Inc. (the “Corporation”).</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auto"/>
        </w:rPr>
        <w:t>CORPORATE PURPOSES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purpose or purposes for which the Corporation is formed is as follows, to wit:</w:t>
      </w:r>
    </w:p>
    <w:p>
      <w:pPr>
        <w:spacing w:after="0" w:line="117" w:lineRule="exact"/>
        <w:rPr>
          <w:sz w:val="20"/>
          <w:szCs w:val="20"/>
          <w:color w:val="auto"/>
        </w:rPr>
      </w:pPr>
    </w:p>
    <w:p>
      <w:pPr>
        <w:ind w:right="460" w:firstLine="447"/>
        <w:spacing w:after="0" w:line="282" w:lineRule="auto"/>
        <w:rPr>
          <w:sz w:val="20"/>
          <w:szCs w:val="20"/>
          <w:color w:val="auto"/>
        </w:rPr>
      </w:pPr>
      <w:r>
        <w:rPr>
          <w:rFonts w:ascii="Times New Roman" w:cs="Times New Roman" w:eastAsia="Times New Roman" w:hAnsi="Times New Roman"/>
          <w:sz w:val="18"/>
          <w:szCs w:val="18"/>
          <w:color w:val="auto"/>
        </w:rPr>
        <w:t>To own, operate, manage and do everything normally associated with conducting the business of chemists, druggists, manufacturers, researchers, distributors, and dealers in medical, pharmaceutical, chemical and other preparations and compounds.</w:t>
      </w:r>
    </w:p>
    <w:p>
      <w:pPr>
        <w:spacing w:after="0" w:line="54" w:lineRule="exact"/>
        <w:rPr>
          <w:sz w:val="20"/>
          <w:szCs w:val="20"/>
          <w:color w:val="auto"/>
        </w:rPr>
      </w:pPr>
    </w:p>
    <w:p>
      <w:pPr>
        <w:ind w:firstLine="447"/>
        <w:spacing w:after="0" w:line="266" w:lineRule="auto"/>
        <w:rPr>
          <w:sz w:val="20"/>
          <w:szCs w:val="20"/>
          <w:color w:val="auto"/>
        </w:rPr>
      </w:pPr>
      <w:r>
        <w:rPr>
          <w:rFonts w:ascii="Times New Roman" w:cs="Times New Roman" w:eastAsia="Times New Roman" w:hAnsi="Times New Roman"/>
          <w:sz w:val="18"/>
          <w:szCs w:val="18"/>
          <w:color w:val="auto"/>
        </w:rPr>
        <w:t>To engage in any lawful act or activity for which corporations may be formed under the Business Corporation Law. The Corporation is not formed to engage in any act or activity requiring the consent or approval of any state official, department, board, agency or other body without such consent or approval first being obtained.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own, operate, manage, acquire and deal in property, real and personal, which may be necessary to the conduct of the business.</w:t>
      </w:r>
    </w:p>
    <w:p>
      <w:pPr>
        <w:spacing w:after="0" w:line="117" w:lineRule="exact"/>
        <w:rPr>
          <w:sz w:val="20"/>
          <w:szCs w:val="20"/>
          <w:color w:val="auto"/>
        </w:rPr>
      </w:pPr>
    </w:p>
    <w:p>
      <w:pPr>
        <w:ind w:right="260" w:firstLine="447"/>
        <w:spacing w:after="0" w:line="282" w:lineRule="auto"/>
        <w:rPr>
          <w:sz w:val="20"/>
          <w:szCs w:val="20"/>
          <w:color w:val="auto"/>
        </w:rPr>
      </w:pPr>
      <w:r>
        <w:rPr>
          <w:rFonts w:ascii="Times New Roman" w:cs="Times New Roman" w:eastAsia="Times New Roman" w:hAnsi="Times New Roman"/>
          <w:sz w:val="18"/>
          <w:szCs w:val="18"/>
          <w:color w:val="auto"/>
        </w:rPr>
        <w:t>The Corporation shall have all of the powers enumerated in Section 202 of the Business Corporation Law, subject to any limitations provided in the Business Corporation Law or any other statutes in the State of New York.</w:t>
      </w:r>
    </w:p>
    <w:p>
      <w:pPr>
        <w:spacing w:after="0" w:line="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u w:val="single" w:color="auto"/>
          <w:color w:val="auto"/>
        </w:rPr>
        <w:t>COUNTY OF OFFICE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county in which the office of the Corporation is to be located in the State of New York is New York.</w:t>
      </w:r>
    </w:p>
    <w:p>
      <w:pPr>
        <w:spacing w:after="0" w:line="1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117" w:lineRule="exact"/>
        <w:rPr>
          <w:sz w:val="20"/>
          <w:szCs w:val="20"/>
          <w:color w:val="auto"/>
        </w:rPr>
      </w:pPr>
    </w:p>
    <w:p>
      <w:pPr>
        <w:ind w:right="40" w:firstLine="447"/>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all classes of capital stock which the Corporation shall have the authority to issue is two hundred and thirty million (230,000,000) shares, consisting of (a) 160,000,000 shares of common stock, par value $.001 per share (“Common Stock”), (b) 40,000,000 shares of Class A Stock, par value $.001 per share (the “Class A Stock”, and collectively, such Common Stock and Class A Stock are referred to herein as the “Common Shares”), and (c) 30,000,000 shares of preferred stock, par value $.01 per share.</w:t>
      </w:r>
    </w:p>
    <w:p>
      <w:pPr>
        <w:sectPr>
          <w:pgSz w:w="11900" w:h="16838" w:orient="portrait"/>
          <w:cols w:equalWidth="0" w:num="1">
            <w:col w:w="11360"/>
          </w:cols>
          <w:pgMar w:left="240" w:top="783" w:right="299" w:bottom="1440" w:gutter="0" w:footer="0" w:header="0"/>
        </w:sectPr>
      </w:pPr>
    </w:p>
    <w:bookmarkStart w:id="88" w:name="page89"/>
    <w:bookmarkEnd w:id="88"/>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ind w:right="20" w:firstLine="447"/>
        <w:spacing w:after="0" w:line="266" w:lineRule="auto"/>
        <w:rPr>
          <w:sz w:val="20"/>
          <w:szCs w:val="20"/>
          <w:color w:val="auto"/>
        </w:rPr>
      </w:pPr>
      <w:r>
        <w:rPr>
          <w:rFonts w:ascii="Times New Roman" w:cs="Times New Roman" w:eastAsia="Times New Roman" w:hAnsi="Times New Roman"/>
          <w:sz w:val="18"/>
          <w:szCs w:val="18"/>
          <w:color w:val="auto"/>
        </w:rPr>
        <w:t>The Board of Directors is hereby expressly authorized, by resolution or resolutions, to provide, out of the unissued and undesignated shares of preferred stock, for one or more series of preferred stock. Before any shares of any such series are issued, the Board of Directors shall fix, and hereby is expressly empowered to fix, by resolution or resolutions, the following provisions of the shares thereof:</w:t>
      </w:r>
    </w:p>
    <w:p>
      <w:pPr>
        <w:spacing w:after="0" w:line="68" w:lineRule="exact"/>
        <w:rPr>
          <w:sz w:val="20"/>
          <w:szCs w:val="20"/>
          <w:color w:val="auto"/>
        </w:rPr>
      </w:pPr>
    </w:p>
    <w:p>
      <w:pPr>
        <w:ind w:left="880" w:hanging="422"/>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shares to constitute such series, and the stated value thereof if different from the par value thereof;</w:t>
      </w:r>
    </w:p>
    <w:p>
      <w:pPr>
        <w:spacing w:after="0" w:line="117" w:lineRule="exact"/>
        <w:rPr>
          <w:rFonts w:ascii="Times New Roman" w:cs="Times New Roman" w:eastAsia="Times New Roman" w:hAnsi="Times New Roman"/>
          <w:sz w:val="18"/>
          <w:szCs w:val="18"/>
          <w:color w:val="auto"/>
        </w:rPr>
      </w:pPr>
    </w:p>
    <w:p>
      <w:pPr>
        <w:ind w:right="340" w:firstLine="458"/>
        <w:spacing w:after="0" w:line="282" w:lineRule="auto"/>
        <w:tabs>
          <w:tab w:leader="none" w:pos="8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53" w:lineRule="exact"/>
        <w:rPr>
          <w:rFonts w:ascii="Times New Roman" w:cs="Times New Roman" w:eastAsia="Times New Roman" w:hAnsi="Times New Roman"/>
          <w:sz w:val="18"/>
          <w:szCs w:val="18"/>
          <w:color w:val="auto"/>
        </w:rPr>
      </w:pPr>
    </w:p>
    <w:p>
      <w:pPr>
        <w:jc w:val="both"/>
        <w:ind w:firstLine="458"/>
        <w:spacing w:after="0" w:line="266" w:lineRule="auto"/>
        <w:tabs>
          <w:tab w:leader="none" w:pos="8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stock of any other class or any other series of this class;</w:t>
      </w:r>
    </w:p>
    <w:p>
      <w:pPr>
        <w:spacing w:after="0" w:line="68" w:lineRule="exact"/>
        <w:rPr>
          <w:rFonts w:ascii="Times New Roman" w:cs="Times New Roman" w:eastAsia="Times New Roman" w:hAnsi="Times New Roman"/>
          <w:sz w:val="18"/>
          <w:szCs w:val="18"/>
          <w:color w:val="auto"/>
        </w:rPr>
      </w:pPr>
    </w:p>
    <w:p>
      <w:pPr>
        <w:ind w:right="120" w:firstLine="458"/>
        <w:spacing w:after="0" w:line="261" w:lineRule="auto"/>
        <w:tabs>
          <w:tab w:leader="none" w:pos="8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the Corporation, and, if so, the terms and conditions of such redemption, including the manner of selecting shares for redemption if less than all shares of such series are to be redeemed, the date or dates upon or after which they shall be redeemable, and the amount per share payable in case of redemption, which amount may vary under different conditions and at different redemption dates;</w:t>
      </w:r>
    </w:p>
    <w:p>
      <w:pPr>
        <w:spacing w:after="0" w:line="71" w:lineRule="exact"/>
        <w:rPr>
          <w:rFonts w:ascii="Times New Roman" w:cs="Times New Roman" w:eastAsia="Times New Roman" w:hAnsi="Times New Roman"/>
          <w:sz w:val="18"/>
          <w:szCs w:val="18"/>
          <w:color w:val="auto"/>
        </w:rPr>
      </w:pPr>
    </w:p>
    <w:p>
      <w:pPr>
        <w:jc w:val="both"/>
        <w:ind w:right="520" w:firstLine="458"/>
        <w:spacing w:after="0" w:line="266" w:lineRule="auto"/>
        <w:tabs>
          <w:tab w:leader="none" w:pos="8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shares of such series upon, and the rights of the holders of such series in, the voluntary or involuntary liquidation, dissolution or winding up, or upon any distribution of the assets, of the Corporation, and whether such rights shall be in preference to, or in another relation to, the comparable rights of any other class or classes or series of stock;</w:t>
      </w:r>
    </w:p>
    <w:p>
      <w:pPr>
        <w:spacing w:after="0" w:line="68" w:lineRule="exact"/>
        <w:rPr>
          <w:rFonts w:ascii="Times New Roman" w:cs="Times New Roman" w:eastAsia="Times New Roman" w:hAnsi="Times New Roman"/>
          <w:sz w:val="18"/>
          <w:szCs w:val="18"/>
          <w:color w:val="auto"/>
        </w:rPr>
      </w:pPr>
    </w:p>
    <w:p>
      <w:pPr>
        <w:ind w:right="60" w:firstLine="458"/>
        <w:spacing w:after="0" w:line="266" w:lineRule="auto"/>
        <w:tabs>
          <w:tab w:leader="none" w:pos="8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relative to the operation thereof;</w:t>
      </w:r>
    </w:p>
    <w:p>
      <w:pPr>
        <w:spacing w:after="0" w:line="68" w:lineRule="exact"/>
        <w:rPr>
          <w:rFonts w:ascii="Times New Roman" w:cs="Times New Roman" w:eastAsia="Times New Roman" w:hAnsi="Times New Roman"/>
          <w:sz w:val="18"/>
          <w:szCs w:val="18"/>
          <w:color w:val="auto"/>
        </w:rPr>
      </w:pPr>
    </w:p>
    <w:p>
      <w:pPr>
        <w:ind w:right="240" w:firstLine="458"/>
        <w:spacing w:after="0" w:line="266" w:lineRule="auto"/>
        <w:tabs>
          <w:tab w:leader="none" w:pos="8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convertible into, or exchangeable for, shares of stock of any other series of this class or any other securities and, if so, the price or prices or the rate or rates of conversion or exchange and the method, if any, of adjusting the same, and any other terms and conditions of conversion or exchange;</w:t>
      </w:r>
    </w:p>
    <w:p>
      <w:pPr>
        <w:spacing w:after="0" w:line="68" w:lineRule="exact"/>
        <w:rPr>
          <w:rFonts w:ascii="Times New Roman" w:cs="Times New Roman" w:eastAsia="Times New Roman" w:hAnsi="Times New Roman"/>
          <w:sz w:val="18"/>
          <w:szCs w:val="18"/>
          <w:color w:val="auto"/>
        </w:rPr>
      </w:pPr>
    </w:p>
    <w:p>
      <w:pPr>
        <w:ind w:right="140" w:firstLine="458"/>
        <w:spacing w:after="0" w:line="266" w:lineRule="auto"/>
        <w:tabs>
          <w:tab w:leader="none" w:pos="8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shares of such series are outstanding upon the payments of dividends or the making of other distributions on, and upon the purchase, redemption or other acquisition by the Corporation of, the Common Stock or shares of stock of any other class or any other series of this class;</w:t>
      </w:r>
    </w:p>
    <w:p>
      <w:pPr>
        <w:spacing w:after="0" w:line="68" w:lineRule="exact"/>
        <w:rPr>
          <w:rFonts w:ascii="Times New Roman" w:cs="Times New Roman" w:eastAsia="Times New Roman" w:hAnsi="Times New Roman"/>
          <w:sz w:val="18"/>
          <w:szCs w:val="18"/>
          <w:color w:val="auto"/>
        </w:rPr>
      </w:pPr>
    </w:p>
    <w:p>
      <w:pPr>
        <w:ind w:right="280" w:firstLine="458"/>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Corporation or upon the issue of any additional stock, including additional shares of such series or of any other series of this class or of any other class; and</w:t>
      </w:r>
    </w:p>
    <w:p>
      <w:pPr>
        <w:spacing w:after="0" w:line="53" w:lineRule="exact"/>
        <w:rPr>
          <w:rFonts w:ascii="Times New Roman" w:cs="Times New Roman" w:eastAsia="Times New Roman" w:hAnsi="Times New Roman"/>
          <w:sz w:val="18"/>
          <w:szCs w:val="18"/>
          <w:color w:val="auto"/>
        </w:rPr>
      </w:pPr>
    </w:p>
    <w:p>
      <w:pPr>
        <w:ind w:left="980" w:hanging="522"/>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9" w:lineRule="exact"/>
        <w:rPr>
          <w:sz w:val="20"/>
          <w:szCs w:val="20"/>
          <w:color w:val="auto"/>
        </w:rPr>
      </w:pPr>
    </w:p>
    <w:p>
      <w:pPr>
        <w:jc w:val="both"/>
        <w:ind w:right="60" w:firstLine="447"/>
        <w:spacing w:after="0" w:line="261" w:lineRule="auto"/>
        <w:rPr>
          <w:sz w:val="20"/>
          <w:szCs w:val="20"/>
          <w:color w:val="auto"/>
        </w:rPr>
      </w:pPr>
      <w:r>
        <w:rPr>
          <w:rFonts w:ascii="Times New Roman" w:cs="Times New Roman" w:eastAsia="Times New Roman" w:hAnsi="Times New Roman"/>
          <w:sz w:val="18"/>
          <w:szCs w:val="18"/>
          <w:color w:val="auto"/>
        </w:rPr>
        <w:t>The powers, preferences and relative, participating, optional and other special rights of each series of preferred stock, and the qualifications, limitations of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thereon shall accrue and/or be cumulative.</w:t>
      </w:r>
    </w:p>
    <w:p>
      <w:pPr>
        <w:spacing w:after="0" w:line="72"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 and Class A Stock</w:t>
      </w:r>
    </w:p>
    <w:p>
      <w:pPr>
        <w:spacing w:after="0" w:line="117" w:lineRule="exact"/>
        <w:rPr>
          <w:rFonts w:ascii="Times New Roman" w:cs="Times New Roman" w:eastAsia="Times New Roman" w:hAnsi="Times New Roman"/>
          <w:sz w:val="18"/>
          <w:szCs w:val="18"/>
          <w:color w:val="auto"/>
        </w:rPr>
      </w:pPr>
    </w:p>
    <w:p>
      <w:pPr>
        <w:ind w:right="140" w:firstLine="458"/>
        <w:spacing w:after="0" w:line="282" w:lineRule="auto"/>
        <w:tabs>
          <w:tab w:leader="none" w:pos="87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hereinafter expressly set forth in Section 2, and subject to the rights of the holders of preferred stock at any time outstanding, the Class A Stock and the Common Stock, both of which are</w:t>
      </w:r>
    </w:p>
    <w:p>
      <w:pPr>
        <w:sectPr>
          <w:pgSz w:w="11900" w:h="16838" w:orient="portrait"/>
          <w:cols w:equalWidth="0" w:num="1">
            <w:col w:w="11420"/>
          </w:cols>
          <w:pgMar w:left="240" w:top="364" w:right="239" w:bottom="1440" w:gutter="0" w:footer="0" w:header="0"/>
        </w:sectPr>
      </w:pPr>
    </w:p>
    <w:bookmarkStart w:id="89" w:name="page90"/>
    <w:bookmarkEnd w:id="89"/>
    <w:p>
      <w:pPr>
        <w:ind w:right="20"/>
        <w:spacing w:after="0" w:line="282" w:lineRule="auto"/>
        <w:rPr>
          <w:sz w:val="20"/>
          <w:szCs w:val="20"/>
          <w:color w:val="auto"/>
        </w:rPr>
      </w:pPr>
      <w:r>
        <w:rPr>
          <w:rFonts w:ascii="Times New Roman" w:cs="Times New Roman" w:eastAsia="Times New Roman" w:hAnsi="Times New Roman"/>
          <w:sz w:val="18"/>
          <w:szCs w:val="18"/>
          <w:color w:val="auto"/>
        </w:rPr>
        <w:t>classes of common stock, shall have the same rights and privileges and shall rank equally, share ratably and be identical in respects as to all matters, including rights in liquidation.</w:t>
      </w:r>
    </w:p>
    <w:p>
      <w:pPr>
        <w:spacing w:after="0" w:line="54" w:lineRule="exact"/>
        <w:rPr>
          <w:sz w:val="20"/>
          <w:szCs w:val="20"/>
          <w:color w:val="auto"/>
        </w:rPr>
      </w:pPr>
    </w:p>
    <w:p>
      <w:pPr>
        <w:ind w:right="400" w:firstLine="458"/>
        <w:spacing w:after="0" w:line="282" w:lineRule="auto"/>
        <w:tabs>
          <w:tab w:leader="none" w:pos="8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expressly provided by law, and subject to any voting rights provided to holders of preferred stock by this Certificate of Incorporation the Common Shares have exclusive voting rights on all matters requiring a vote of shareholders.</w:t>
      </w:r>
    </w:p>
    <w:p>
      <w:pPr>
        <w:spacing w:after="0" w:line="54" w:lineRule="exact"/>
        <w:rPr>
          <w:sz w:val="20"/>
          <w:szCs w:val="20"/>
          <w:color w:val="auto"/>
        </w:rPr>
      </w:pPr>
    </w:p>
    <w:p>
      <w:pPr>
        <w:ind w:right="140" w:firstLine="447"/>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on all matters to be voted on by the shareholders of the Corporation. The holders of Class A Stock shall be entitled to ten votes per share on all matters to be voted on by the shareholders of the Corporation.</w:t>
      </w:r>
    </w:p>
    <w:p>
      <w:pPr>
        <w:spacing w:after="0" w:line="54"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Certificate of Incorporation or as required by law, the holders of shares of Class A Stock and the holders of shares of Common Stock shall vote together as one class on all matters submitted to a vote of shareholders of the Corporation.</w:t>
      </w:r>
    </w:p>
    <w:p>
      <w:pPr>
        <w:spacing w:after="0" w:line="54" w:lineRule="exact"/>
        <w:rPr>
          <w:sz w:val="20"/>
          <w:szCs w:val="20"/>
          <w:color w:val="auto"/>
        </w:rPr>
      </w:pPr>
    </w:p>
    <w:p>
      <w:pPr>
        <w:ind w:right="20" w:firstLine="458"/>
        <w:spacing w:after="0" w:line="253"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Subject to the rights of the holders of preferred stock, and subject to any other provisions of this Certificate of Incorporation, as it may be amended from time to time, holders of Class A Stock and Common Stock shall be entitled to receive such dividends and other distributions in cash, in property or in shares of the Corporation as may be declared thereon by the Board of Directors from time to time out of assets or funds of the Corporation legally available therefore; provided, however, that no cash, property or share dividend or distribution may be declared or paid on the outstanding shares of either the Class A Stock or the Common Stock unless an identical per share dividend or distribution is simultaneously declared and paid on the outstanding shares of the other such class of common stock; provided, further, however, that a dividend of shares may be declared and paid in Class A Stock to holders of Class A Stock and in Common Stock to holders of Common Stock if the number of shares paid per share to holders of Class A Stock and to holders of Common Stock shall be the same. If the Corporation shall in any manner subdivide, combine or reclassify the outstanding shares of Class A Stock or Common Stock, the outstanding shares of the other such class of common stock shall be subdivided, combined or reclassified proportionally in the same manner and on the same basis as the outstanding shares of Class A Stock or Common Stock, as the case may be, have been subdivided, combined or reclassified.</w:t>
      </w:r>
    </w:p>
    <w:p>
      <w:pPr>
        <w:spacing w:after="0" w:line="84" w:lineRule="exact"/>
        <w:rPr>
          <w:rFonts w:ascii="Times New Roman" w:cs="Times New Roman" w:eastAsia="Times New Roman" w:hAnsi="Times New Roman"/>
          <w:sz w:val="18"/>
          <w:szCs w:val="18"/>
          <w:color w:val="auto"/>
        </w:rPr>
      </w:pPr>
    </w:p>
    <w:p>
      <w:pPr>
        <w:ind w:left="900" w:hanging="442"/>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are not convertible into or exchangeable for shares of Class A Stock or any other shares of securities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color w:val="auto"/>
        </w:rPr>
      </w:pPr>
    </w:p>
    <w:p>
      <w:pPr>
        <w:ind w:right="60" w:firstLine="683"/>
        <w:spacing w:after="0" w:line="282" w:lineRule="auto"/>
        <w:tabs>
          <w:tab w:leader="none" w:pos="11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Stock may be converted, at any time and at the option of the holder thereof, into one fully paid and nonassessable share of Common Stock.</w:t>
      </w:r>
    </w:p>
    <w:p>
      <w:pPr>
        <w:spacing w:after="0" w:line="53" w:lineRule="exact"/>
        <w:rPr>
          <w:rFonts w:ascii="Times New Roman" w:cs="Times New Roman" w:eastAsia="Times New Roman" w:hAnsi="Times New Roman"/>
          <w:sz w:val="18"/>
          <w:szCs w:val="18"/>
          <w:color w:val="auto"/>
        </w:rPr>
      </w:pPr>
    </w:p>
    <w:p>
      <w:pPr>
        <w:ind w:left="880" w:hanging="422"/>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683"/>
        <w:spacing w:after="0" w:line="256" w:lineRule="auto"/>
        <w:tabs>
          <w:tab w:leader="none" w:pos="11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Transfer by a Holder, other than to a “Permitted Transferee” of such Holder, shares of Class A Stock so Transferred shall, at midnight on the thirtieth day after delivery of written notice by the Corporation to such Holder that such Transfer has been made to a person other than a Permitted Transferee (for purposes of this paragraph (1),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automatic conversion of Class A Stock shall not occur if such shares of Class A Stock, prior to the Conversion Time, are Transferred back to such Holder or to one or more Permitted Transferees of such Holder.</w:t>
      </w:r>
    </w:p>
    <w:p>
      <w:pPr>
        <w:spacing w:after="0" w:line="79"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2(e): A “Permitted Transferee” of a Holder shall mean, the following:</w:t>
      </w:r>
    </w:p>
    <w:p>
      <w:pPr>
        <w:spacing w:after="0" w:line="117" w:lineRule="exact"/>
        <w:rPr>
          <w:rFonts w:ascii="Times New Roman" w:cs="Times New Roman" w:eastAsia="Times New Roman" w:hAnsi="Times New Roman"/>
          <w:sz w:val="18"/>
          <w:szCs w:val="18"/>
          <w:color w:val="auto"/>
        </w:rPr>
      </w:pPr>
    </w:p>
    <w:p>
      <w:pPr>
        <w:ind w:left="1120" w:hanging="212"/>
        <w:spacing w:after="0"/>
        <w:tabs>
          <w:tab w:leader="none" w:pos="11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Holder, the Corporation or any one or more of its directly or indirectly wholly owned subsidiaries;</w:t>
      </w:r>
    </w:p>
    <w:p>
      <w:pPr>
        <w:spacing w:after="0" w:line="117" w:lineRule="exact"/>
        <w:rPr>
          <w:rFonts w:ascii="Times New Roman" w:cs="Times New Roman" w:eastAsia="Times New Roman" w:hAnsi="Times New Roman"/>
          <w:sz w:val="18"/>
          <w:szCs w:val="18"/>
          <w:color w:val="auto"/>
        </w:rPr>
      </w:pPr>
    </w:p>
    <w:p>
      <w:pPr>
        <w:ind w:left="1180" w:hanging="272"/>
        <w:spacing w:after="0"/>
        <w:tabs>
          <w:tab w:leader="none" w:pos="11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who is a natural person:</w:t>
      </w:r>
    </w:p>
    <w:p>
      <w:pPr>
        <w:spacing w:after="0" w:line="117" w:lineRule="exact"/>
        <w:rPr>
          <w:rFonts w:ascii="Times New Roman" w:cs="Times New Roman" w:eastAsia="Times New Roman" w:hAnsi="Times New Roman"/>
          <w:sz w:val="18"/>
          <w:szCs w:val="18"/>
          <w:color w:val="auto"/>
        </w:rPr>
      </w:pPr>
    </w:p>
    <w:p>
      <w:pPr>
        <w:ind w:right="440" w:firstLine="1358"/>
        <w:spacing w:after="0" w:line="266" w:lineRule="auto"/>
        <w:tabs>
          <w:tab w:leader="none" w:pos="1645"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of such Holder (the “Spouse”), any lineal ancestor of such Holder or of the Spouse, and any person who is a lineal descendent of a grandparent of such Holder or of the Spouse, or a spouse of any such lineal descendent or such lineal ancestor (collectively, the “Family Members”);</w:t>
      </w:r>
    </w:p>
    <w:p>
      <w:pPr>
        <w:sectPr>
          <w:pgSz w:w="11900" w:h="16838" w:orient="portrait"/>
          <w:cols w:equalWidth="0" w:num="1">
            <w:col w:w="11400"/>
          </w:cols>
          <w:pgMar w:left="240" w:top="364" w:right="259" w:bottom="1440" w:gutter="0" w:footer="0" w:header="0"/>
        </w:sectPr>
      </w:pPr>
    </w:p>
    <w:bookmarkStart w:id="90" w:name="page91"/>
    <w:bookmarkEnd w:id="90"/>
    <w:p>
      <w:pPr>
        <w:ind w:left="-8" w:right="80" w:firstLine="1358"/>
        <w:spacing w:after="0" w:line="253" w:lineRule="auto"/>
        <w:tabs>
          <w:tab w:leader="none" w:pos="162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trust (including a voting trust) exclusively for the benefit of one or more of (x) such Holder, (y) one or more of his or her Family Members or (z) any organization to which contributions are deductible under 501(c)(3) of the Internal Revenue Code of 1986, as amended or any successor provision (the “Internal Revenue Code”) or for estate or gift tax purposes (a “Charitable 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trust may include a general or special power of appointment for such Holder or Family Members (a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by reason of any change in the beneficiaries of such Trust, such Trust would not have qualified, at the time of the Transfer of Class A Stock to such Trust (for purposes of this sub-paragraph (B), the “Transfer Date”), as a Permitted Transferee, all shares of Class A Stock so Transferred to such Trust shall, at midnight on the thirtieth day after delivery of written notice by the Corporation to the trustee of such Trust of such change of beneficiary (for purposes of this sub-paragraph (B),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automatic conversion of such shares of Class A Stock shall not occur if, prior to the Conversion Time, (x) by reason of additional changes in the beneficiary of such Trust, such Trust would again have qualified as a “Permitted Transferee” of such Holder on the Transfer Date, or (y) such Trust Transfers such shares of Class A Stock to one or more persons who would qualify as a Permitted Transferee of the Holder who Transferred such shares to such Trust as if such Holder did not so Transfer such shares;</w:t>
      </w:r>
    </w:p>
    <w:p>
      <w:pPr>
        <w:spacing w:after="0" w:line="80" w:lineRule="exact"/>
        <w:rPr>
          <w:rFonts w:ascii="Times New Roman" w:cs="Times New Roman" w:eastAsia="Times New Roman" w:hAnsi="Times New Roman"/>
          <w:sz w:val="18"/>
          <w:szCs w:val="18"/>
          <w:color w:val="auto"/>
        </w:rPr>
      </w:pPr>
    </w:p>
    <w:p>
      <w:pPr>
        <w:ind w:left="1632" w:hanging="282"/>
        <w:spacing w:after="0"/>
        <w:tabs>
          <w:tab w:leader="none" w:pos="163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Charitable Organization established solely by one or more of such Holder or a Family Member;</w:t>
      </w:r>
    </w:p>
    <w:p>
      <w:pPr>
        <w:spacing w:after="0" w:line="117" w:lineRule="exact"/>
        <w:rPr>
          <w:rFonts w:ascii="Times New Roman" w:cs="Times New Roman" w:eastAsia="Times New Roman" w:hAnsi="Times New Roman"/>
          <w:sz w:val="18"/>
          <w:szCs w:val="18"/>
          <w:color w:val="auto"/>
        </w:rPr>
      </w:pPr>
    </w:p>
    <w:p>
      <w:pPr>
        <w:ind w:left="-8" w:right="40" w:firstLine="1358"/>
        <w:spacing w:after="0" w:line="266" w:lineRule="auto"/>
        <w:tabs>
          <w:tab w:leader="none" w:pos="163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Retirement Account, as defined in Section 408(a) of the Internal Revenue Code, of which such Holder is a participant or beneficiary, provided that such Holder has the power to direct the investment of funds deposited into such Individual Retirement Account and to control the voting of securities held by such Individual Retirement Account (an “IRA”);</w:t>
      </w:r>
    </w:p>
    <w:p>
      <w:pPr>
        <w:spacing w:after="0" w:line="68" w:lineRule="exact"/>
        <w:rPr>
          <w:rFonts w:ascii="Times New Roman" w:cs="Times New Roman" w:eastAsia="Times New Roman" w:hAnsi="Times New Roman"/>
          <w:sz w:val="18"/>
          <w:szCs w:val="18"/>
          <w:color w:val="auto"/>
        </w:rPr>
      </w:pPr>
    </w:p>
    <w:p>
      <w:pPr>
        <w:ind w:left="-8" w:right="420" w:firstLine="1358"/>
        <w:spacing w:after="0" w:line="266" w:lineRule="auto"/>
        <w:tabs>
          <w:tab w:leader="none" w:pos="161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pension, profit sharing, stock bonus or other type of plan or trust of which such Holder is a participant or beneficiary and which satisfies the requirements for qualification under Section 401(k) of the Internal Revenue Code, provided that such Holder has the power to direct the investment of funds deposited into such plan or trust and to control the voting of securities held by such plan or trust (a “Plan”);</w:t>
      </w:r>
    </w:p>
    <w:p>
      <w:pPr>
        <w:spacing w:after="0" w:line="68" w:lineRule="exact"/>
        <w:rPr>
          <w:rFonts w:ascii="Times New Roman" w:cs="Times New Roman" w:eastAsia="Times New Roman" w:hAnsi="Times New Roman"/>
          <w:sz w:val="18"/>
          <w:szCs w:val="18"/>
          <w:color w:val="auto"/>
        </w:rPr>
      </w:pPr>
    </w:p>
    <w:p>
      <w:pPr>
        <w:ind w:left="-8" w:right="200" w:firstLine="1358"/>
        <w:spacing w:after="0" w:line="270" w:lineRule="auto"/>
        <w:tabs>
          <w:tab w:leader="none" w:pos="1607"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corporation or partnership directly or indirectly controlled, individually or as a group, only by such Holder and/or any of his Permitted Transferees as determined under this clause (ii);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by reason of any change in the direct or indirect control of such corporation or partnership, such corporation or partnership would not have qualified, at the time of the Transfer of Class A Stock to such corporation or partnership, as a Permitted Transferee of such Holder, all shares of Class A Stock so Transferred to such corporation or partnership shall in the manner set forth in paragraph</w:t>
      </w:r>
    </w:p>
    <w:p>
      <w:pPr>
        <w:spacing w:after="0" w:line="2"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be converted into an equal number of shares of Common Stock; and</w:t>
      </w:r>
    </w:p>
    <w:p>
      <w:pPr>
        <w:spacing w:after="0" w:line="98" w:lineRule="exact"/>
        <w:rPr>
          <w:rFonts w:ascii="Times New Roman" w:cs="Times New Roman" w:eastAsia="Times New Roman" w:hAnsi="Times New Roman"/>
          <w:sz w:val="18"/>
          <w:szCs w:val="18"/>
          <w:color w:val="auto"/>
        </w:rPr>
      </w:pPr>
    </w:p>
    <w:p>
      <w:pPr>
        <w:ind w:left="1652" w:hanging="302"/>
        <w:spacing w:after="0"/>
        <w:tabs>
          <w:tab w:leader="none" w:pos="165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estate, executor, executrix or other personal representative, custodian, administrator or guardian of such Holder.</w:t>
      </w:r>
    </w:p>
    <w:p>
      <w:pPr>
        <w:spacing w:after="0" w:line="117" w:lineRule="exact"/>
        <w:rPr>
          <w:rFonts w:ascii="Times New Roman" w:cs="Times New Roman" w:eastAsia="Times New Roman" w:hAnsi="Times New Roman"/>
          <w:sz w:val="18"/>
          <w:szCs w:val="18"/>
          <w:color w:val="auto"/>
        </w:rPr>
      </w:pPr>
    </w:p>
    <w:p>
      <w:pPr>
        <w:ind w:left="1212" w:hanging="312"/>
        <w:spacing w:after="0"/>
        <w:tabs>
          <w:tab w:leader="none" w:pos="121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holding the shares of Class A Stock in question as trustee of an IRA, a Plan or a Trust, “Permitted Transferee” means</w:t>
      </w:r>
    </w:p>
    <w:p>
      <w:pPr>
        <w:spacing w:after="0" w:line="27" w:lineRule="exact"/>
        <w:rPr>
          <w:rFonts w:ascii="Times New Roman" w:cs="Times New Roman" w:eastAsia="Times New Roman" w:hAnsi="Times New Roman"/>
          <w:sz w:val="18"/>
          <w:szCs w:val="18"/>
          <w:color w:val="auto"/>
        </w:rPr>
      </w:pPr>
    </w:p>
    <w:p>
      <w:pPr>
        <w:ind w:left="-8" w:right="220" w:firstLine="8"/>
        <w:spacing w:after="0" w:line="261" w:lineRule="auto"/>
        <w:tabs>
          <w:tab w:leader="none" w:pos="2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transferred Class A Stock to such IRA, such Plan or such Trust, (y) any Permitted Transferee of any such person determined pursuant to this Section 2(e) and (z) any successor trustee or trustees in such capacity of such IRA, such Plan or such Trust,</w:t>
      </w:r>
    </w:p>
    <w:p>
      <w:pPr>
        <w:spacing w:after="0" w:line="71" w:lineRule="exact"/>
        <w:rPr>
          <w:rFonts w:ascii="Times New Roman" w:cs="Times New Roman" w:eastAsia="Times New Roman" w:hAnsi="Times New Roman"/>
          <w:sz w:val="18"/>
          <w:szCs w:val="18"/>
          <w:color w:val="auto"/>
        </w:rPr>
      </w:pPr>
    </w:p>
    <w:p>
      <w:pPr>
        <w:ind w:left="-8" w:right="40" w:firstLine="908"/>
        <w:spacing w:after="0" w:line="258" w:lineRule="auto"/>
        <w:tabs>
          <w:tab w:leader="none" w:pos="11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which is a partnership, “Permitted Transferee” means any other person, directly or indirectly controlling, controlled by or under direct or indirect common control with such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any change in the direct or indirect control of such person, such person would not have qualified, at the time of the Transfer of the Class A Stock to such person, as a Permitted Transferee of such partnership, all shares of Class A Stock so Transferred to such person shall, in the manner set forth in paragraph (4) hereof, be converted into an equal number of shares of Common Stock;</w:t>
      </w:r>
    </w:p>
    <w:p>
      <w:pPr>
        <w:spacing w:after="0" w:line="75" w:lineRule="exact"/>
        <w:rPr>
          <w:rFonts w:ascii="Times New Roman" w:cs="Times New Roman" w:eastAsia="Times New Roman" w:hAnsi="Times New Roman"/>
          <w:sz w:val="18"/>
          <w:szCs w:val="18"/>
          <w:color w:val="auto"/>
        </w:rPr>
      </w:pPr>
    </w:p>
    <w:p>
      <w:pPr>
        <w:ind w:left="-8" w:firstLine="908"/>
        <w:spacing w:after="0" w:line="266" w:lineRule="auto"/>
        <w:tabs>
          <w:tab w:leader="none" w:pos="11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which is a corporation (other than a Charitable Organization) “Permitted Transferee” means any other person directly or indirectly controlling, controlled by or under direct or indirect common control with such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any change in the direct or indirect control of such person, such person would not have qualified, at the time of the Transfer of the Class A Stock to such person, as</w:t>
      </w:r>
    </w:p>
    <w:p>
      <w:pPr>
        <w:sectPr>
          <w:pgSz w:w="11900" w:h="16838" w:orient="portrait"/>
          <w:cols w:equalWidth="0" w:num="1">
            <w:col w:w="11412"/>
          </w:cols>
          <w:pgMar w:left="248" w:top="364" w:right="239" w:bottom="1440" w:gutter="0" w:footer="0" w:header="0"/>
        </w:sectPr>
      </w:pPr>
    </w:p>
    <w:bookmarkStart w:id="91" w:name="page92"/>
    <w:bookmarkEnd w:id="91"/>
    <w:p>
      <w:pPr>
        <w:ind w:right="20"/>
        <w:spacing w:after="0" w:line="282" w:lineRule="auto"/>
        <w:rPr>
          <w:sz w:val="20"/>
          <w:szCs w:val="20"/>
          <w:color w:val="auto"/>
        </w:rPr>
      </w:pPr>
      <w:r>
        <w:rPr>
          <w:rFonts w:ascii="Times New Roman" w:cs="Times New Roman" w:eastAsia="Times New Roman" w:hAnsi="Times New Roman"/>
          <w:sz w:val="18"/>
          <w:szCs w:val="18"/>
          <w:color w:val="auto"/>
        </w:rPr>
        <w:t>a Permitted Transferee of such corporation, all shares of Class A Stock so Transferred to such person shall, in the manner set forth in paragraph (4) hereof, be converted into an equal number of shares of Common Stock; and</w:t>
      </w:r>
    </w:p>
    <w:p>
      <w:pPr>
        <w:spacing w:after="0" w:line="54" w:lineRule="exact"/>
        <w:rPr>
          <w:sz w:val="20"/>
          <w:szCs w:val="20"/>
          <w:color w:val="auto"/>
        </w:rPr>
      </w:pPr>
    </w:p>
    <w:p>
      <w:pPr>
        <w:jc w:val="both"/>
        <w:ind w:right="80" w:firstLine="908"/>
        <w:spacing w:after="0" w:line="261" w:lineRule="auto"/>
        <w:tabs>
          <w:tab w:leader="none" w:pos="12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which is the estate of a deceased Holder or who is the executor, executrix or other personal representative, custodian or administrator of such Holder, or guardian of a disabled or adjudicated incompetent Holder or which is the estate of a bankrupt or insolvent Holder, which owns the shares of Class A Stock in question, “Permitted Transferee” means a Permitted Transferee of such deceased, or adjudicated incompetent, disabled, bankrupt or insolvent Holder as otherwise determined pursuant to this Section 2(e).</w:t>
      </w:r>
    </w:p>
    <w:p>
      <w:pPr>
        <w:spacing w:after="0" w:line="7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2(e), the term “control” means the possession, direct or indirect, of the power to direct or cause the direction of the management and policies of the controlled person or entity.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2(e), the term “Holder” means any holder of Class A Stock or of the proxy to vote shares of Class A Stock.</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2(e), the term “person” shall mean both natural persons and legal entities, unless otherwise specified. The relationship of any person that is derived by or through legal adoption shall be considered a natural relationship.</w:t>
      </w:r>
    </w:p>
    <w:p>
      <w:pPr>
        <w:spacing w:after="0" w:line="54" w:lineRule="exact"/>
        <w:rPr>
          <w:sz w:val="20"/>
          <w:szCs w:val="20"/>
          <w:color w:val="auto"/>
        </w:rPr>
      </w:pPr>
    </w:p>
    <w:p>
      <w:pPr>
        <w:ind w:right="220" w:firstLine="450"/>
        <w:spacing w:after="0" w:line="313" w:lineRule="auto"/>
        <w:rPr>
          <w:sz w:val="20"/>
          <w:szCs w:val="20"/>
          <w:color w:val="auto"/>
        </w:rPr>
      </w:pPr>
      <w:r>
        <w:rPr>
          <w:rFonts w:ascii="Times New Roman" w:cs="Times New Roman" w:eastAsia="Times New Roman" w:hAnsi="Times New Roman"/>
          <w:sz w:val="17"/>
          <w:szCs w:val="17"/>
          <w:color w:val="auto"/>
        </w:rPr>
        <w:t>Each joint owner of shares or owner of a community property interest in shares of Class A Stock shall be considered a “Holder” of such shares. A minor for whom shares of Class A Stock are held pursuant to a Uniform Transfer to Minors Act or similar law shall be considered a Holder of such shares.</w:t>
      </w:r>
    </w:p>
    <w:p>
      <w:pPr>
        <w:spacing w:after="0" w:line="30" w:lineRule="exact"/>
        <w:rPr>
          <w:sz w:val="20"/>
          <w:szCs w:val="20"/>
          <w:color w:val="auto"/>
        </w:rPr>
      </w:pPr>
    </w:p>
    <w:p>
      <w:pPr>
        <w:ind w:right="60" w:firstLine="440"/>
        <w:spacing w:after="0" w:line="276" w:lineRule="auto"/>
        <w:rPr>
          <w:sz w:val="20"/>
          <w:szCs w:val="20"/>
          <w:color w:val="auto"/>
        </w:rPr>
      </w:pPr>
      <w:r>
        <w:rPr>
          <w:rFonts w:ascii="Times New Roman" w:cs="Times New Roman" w:eastAsia="Times New Roman" w:hAnsi="Times New Roman"/>
          <w:sz w:val="17"/>
          <w:szCs w:val="17"/>
          <w:color w:val="auto"/>
        </w:rPr>
        <w:t>As used in this Section 2(e), a “Transfer” shall mean any Type of transfer of shares of Class A Stock, whether by sale, exchange, gift, operation of law, pledge, or otherwise or any transfer of the power to vote such shares by proxy or by transferring any proxy, and shares of Class A Stock shall refer to either</w:t>
      </w:r>
    </w:p>
    <w:p>
      <w:pPr>
        <w:spacing w:after="0" w:line="1" w:lineRule="exact"/>
        <w:rPr>
          <w:sz w:val="20"/>
          <w:szCs w:val="20"/>
          <w:color w:val="auto"/>
        </w:rPr>
      </w:pPr>
    </w:p>
    <w:p>
      <w:pPr>
        <w:ind w:right="220" w:firstLine="8"/>
        <w:spacing w:after="0" w:line="261"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of Class A Stock so transferred, (ii) the power to vote such shares so transferred or (iii) shares of Class A Stock for which the power to vote was so transferred, as the case may be.</w:t>
      </w:r>
    </w:p>
    <w:p>
      <w:pPr>
        <w:spacing w:after="0" w:line="71" w:lineRule="exact"/>
        <w:rPr>
          <w:rFonts w:ascii="Times New Roman" w:cs="Times New Roman" w:eastAsia="Times New Roman" w:hAnsi="Times New Roman"/>
          <w:sz w:val="18"/>
          <w:szCs w:val="18"/>
          <w:color w:val="auto"/>
        </w:rPr>
      </w:pPr>
    </w:p>
    <w:p>
      <w:pPr>
        <w:ind w:firstLine="683"/>
        <w:spacing w:after="0" w:line="254" w:lineRule="auto"/>
        <w:tabs>
          <w:tab w:leader="none" w:pos="11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any Holder may pledge the shares of Class A Stock belonging to such Holder to a pledgee pursuant to a bona fide pledge of such shares as collateral security for indebtedness due to the pledgee, provided that such pledgee does not have the power to vote such shares and such shares remain subject to the provisions of this Section. In the event of foreclosure or other similar action by the pledgee, such shares, at midnight on the thirtieth day after delivery of notice by the Corporation to the pledgor of such foreclosure or other similar action (for purposes of this paragraph (3) the “Conversion Time”), shall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automatic conversion of such shares of Class A Stock shall not occur if, prior to the Conversion Time, (x) such pledged shares of Class A Stock are transferred to a Permitted Transferee of the pledgor or (y) such foreclosure or other similar action is cancelled or annulled so that the pledgor retains the right to vote such shares.</w:t>
      </w:r>
    </w:p>
    <w:p>
      <w:pPr>
        <w:spacing w:after="0" w:line="81" w:lineRule="exact"/>
        <w:rPr>
          <w:rFonts w:ascii="Times New Roman" w:cs="Times New Roman" w:eastAsia="Times New Roman" w:hAnsi="Times New Roman"/>
          <w:sz w:val="18"/>
          <w:szCs w:val="18"/>
          <w:color w:val="auto"/>
        </w:rPr>
      </w:pPr>
    </w:p>
    <w:p>
      <w:pPr>
        <w:ind w:firstLine="683"/>
        <w:spacing w:after="0" w:line="270" w:lineRule="auto"/>
        <w:tabs>
          <w:tab w:leader="none" w:pos="111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by reason of any change of the direct or indirect control of a person subsequent to any Transfer to such person, such person would not have qualified, at the time of the Transfer of the Class A Stock to such person (the “Transfer Date”), as a Permitted Transferee under clause (ii)(F), clause (iv) or clause (v), as the case may be, all shares of Class A Stock Transferred pursuant to the relevant clause to such person shall, at midnight on the thirtieth day after delivery of written notice by the Corporation to such person of such change of the direct or indirect control of such person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automatic conversion of Class A Stock shall not occur if, prior to the Conversion Time, (x) by reason of additional changes in the direct or indirect control of such person, such person would again have qualified on the Transfer Date as a “Permitted Transferee” under clause (ii)(F), clause (iv) or clause (v), as the case may be, or (y) such person Transfers all such shares of Class A Stock owned by such person to one or more persons who would qualify as a “Permitted Transferee” of the transferor of the Class A Stock to such person as if the transferor did not Transfer such shares on the Transfer Date.</w:t>
      </w:r>
    </w:p>
    <w:p>
      <w:pPr>
        <w:sectPr>
          <w:pgSz w:w="11900" w:h="16838" w:orient="portrait"/>
          <w:cols w:equalWidth="0" w:num="1">
            <w:col w:w="11360"/>
          </w:cols>
          <w:pgMar w:left="240" w:top="364" w:right="299" w:bottom="1440" w:gutter="0" w:footer="0" w:header="0"/>
        </w:sectPr>
      </w:pPr>
    </w:p>
    <w:bookmarkStart w:id="92" w:name="page93"/>
    <w:bookmarkEnd w:id="92"/>
    <w:p>
      <w:pPr>
        <w:ind w:right="40" w:firstLine="683"/>
        <w:spacing w:after="0" w:line="261"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faith determination by the Board of Directors of the Corporation (x) that a transferee of shares of Class A Stock is or is not a Permitted Transferee of the transferor of such shares to such transferee on the date of Transfer, or (y) that, by reason of any change in the direct or indirect control of such transferee subsequent to such Transfer, such person would have or have not qualified at the time of the Transfer of the Class A Stock to such person as a Permitted Transferee shall be conclusive.</w:t>
      </w:r>
    </w:p>
    <w:p>
      <w:pPr>
        <w:spacing w:after="0" w:line="71" w:lineRule="exact"/>
        <w:rPr>
          <w:rFonts w:ascii="Times New Roman" w:cs="Times New Roman" w:eastAsia="Times New Roman" w:hAnsi="Times New Roman"/>
          <w:sz w:val="18"/>
          <w:szCs w:val="18"/>
          <w:color w:val="auto"/>
        </w:rPr>
      </w:pPr>
    </w:p>
    <w:p>
      <w:pPr>
        <w:jc w:val="both"/>
        <w:ind w:right="40" w:firstLine="683"/>
        <w:spacing w:after="0" w:line="261" w:lineRule="auto"/>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provided for herein shall be deemed to have been delivered three days after being sent by registered or certified mail, return receipt requested, postage prepaid, to the person to whom it is directed. If notice is to a Holder, such notice should be sent to him at the address set forth at the office of the Transfer Agent of the Corporation. If notice is to any other person, such notice should be sent to him at the address known by the Corporation at the time the notice is sent.</w:t>
      </w:r>
    </w:p>
    <w:p>
      <w:pPr>
        <w:spacing w:after="0" w:line="71" w:lineRule="exact"/>
        <w:rPr>
          <w:rFonts w:ascii="Times New Roman" w:cs="Times New Roman" w:eastAsia="Times New Roman" w:hAnsi="Times New Roman"/>
          <w:sz w:val="18"/>
          <w:szCs w:val="18"/>
          <w:color w:val="auto"/>
        </w:rPr>
      </w:pPr>
    </w:p>
    <w:p>
      <w:pPr>
        <w:ind w:right="140" w:firstLine="683"/>
        <w:spacing w:after="0" w:line="258" w:lineRule="auto"/>
        <w:tabs>
          <w:tab w:leader="none" w:pos="11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as a condition to the transfer or the registration of transfer of shares of Class A Stock to a purported Permitted Transferee, require the furnishing of such affidavits or other proof as it deems necessary to establish that such transferee is a Permitted Transferee. Each certificate representing shares of Class A Stock shall be endorsed with a legend that states that shares of Class A Stock are not transferable other than to certain transferees and are subject to certain restrictions as set forth in the Certificate of Incorporation of the Corporation filed with the Secretary of the State of New York.</w:t>
      </w:r>
    </w:p>
    <w:p>
      <w:pPr>
        <w:spacing w:after="0" w:line="75" w:lineRule="exact"/>
        <w:rPr>
          <w:rFonts w:ascii="Times New Roman" w:cs="Times New Roman" w:eastAsia="Times New Roman" w:hAnsi="Times New Roman"/>
          <w:sz w:val="18"/>
          <w:szCs w:val="18"/>
          <w:color w:val="auto"/>
        </w:rPr>
      </w:pPr>
    </w:p>
    <w:p>
      <w:pPr>
        <w:ind w:right="820" w:firstLine="683"/>
        <w:spacing w:after="0" w:line="282" w:lineRule="auto"/>
        <w:tabs>
          <w:tab w:leader="none" w:pos="11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2(e) may not be amended without the affirmative vote of holders of the majority of the shares of Class A Stock and the affirmative vote of the holders of two-thirds of the shares of Common Stock, each voting separately as a class.</w:t>
      </w:r>
    </w:p>
    <w:p>
      <w:pPr>
        <w:spacing w:after="0" w:line="53" w:lineRule="exact"/>
        <w:rPr>
          <w:rFonts w:ascii="Times New Roman" w:cs="Times New Roman" w:eastAsia="Times New Roman" w:hAnsi="Times New Roman"/>
          <w:sz w:val="18"/>
          <w:szCs w:val="18"/>
          <w:color w:val="auto"/>
        </w:rPr>
      </w:pPr>
    </w:p>
    <w:p>
      <w:pPr>
        <w:ind w:left="860" w:hanging="402"/>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683"/>
        <w:spacing w:after="0" w:line="255" w:lineRule="auto"/>
        <w:tabs>
          <w:tab w:leader="none" w:pos="11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conversion of shares pursuant to Section 2(d) hereto will be effected by the surrender of the certificate or certificates, duly endorsed, representing the shares to be converted at the principal office of the Corporation at any time during normal business hours, together with a written notice by the holder stating the number of shares that such holder desires to convert and the names or name in which he wishes the certificate or certificates for the Common Stock to be issued. Such conversion shall be deemed to have been effected as of the close of business on the date on which such certificate or certificates have been surrendered, and at such time, the rights of any such holder with respect to the converted shares of such holder will cease and the person or persons in whose name or names the certificate or certificates for shares are to be issued upon such conversion will be deemed to have become the holder or holders of record of such shares represented thereby.</w:t>
      </w:r>
    </w:p>
    <w:p>
      <w:pPr>
        <w:spacing w:after="0" w:line="81"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Promptly after such surrender, the Corporation will issue and deliver in accordance with the surrendering holder’s instructions the certificate or certificates for the Common Stock issuable upon such conversion and a certificate representing any Class A Stock which was represented by the certificate or certificates delivered to the Corporation in connection with such conversion, but which was not converted.</w:t>
      </w:r>
    </w:p>
    <w:p>
      <w:pPr>
        <w:spacing w:after="0" w:line="68" w:lineRule="exact"/>
        <w:rPr>
          <w:sz w:val="20"/>
          <w:szCs w:val="20"/>
          <w:color w:val="auto"/>
        </w:rPr>
      </w:pPr>
    </w:p>
    <w:p>
      <w:pPr>
        <w:ind w:right="120" w:firstLine="683"/>
        <w:spacing w:after="0" w:line="282"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certificates upon conversion of shares pursuant to Section 2(d) hereto will be made without charge to the holder or holders of such shares for any issuance tax (except stock transfer tax) in respect thereof or other costs incurred by the Corporation in connection therewith.</w:t>
      </w:r>
    </w:p>
    <w:p>
      <w:pPr>
        <w:spacing w:after="0" w:line="53" w:lineRule="exact"/>
        <w:rPr>
          <w:rFonts w:ascii="Times New Roman" w:cs="Times New Roman" w:eastAsia="Times New Roman" w:hAnsi="Times New Roman"/>
          <w:sz w:val="18"/>
          <w:szCs w:val="18"/>
          <w:color w:val="auto"/>
        </w:rPr>
      </w:pPr>
    </w:p>
    <w:p>
      <w:pPr>
        <w:ind w:right="60" w:firstLine="683"/>
        <w:spacing w:after="0" w:line="266"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reserve and keep available out of its authorized but unissued shares of Common Stock or its treasury shares, solely for the purpose of issuance upon the conversion of the Class A Stock, such number of shares of Common Stock as may be issued upon conversion, of all outstanding Class A Stock.</w:t>
      </w:r>
    </w:p>
    <w:p>
      <w:pPr>
        <w:spacing w:after="0" w:line="68" w:lineRule="exact"/>
        <w:rPr>
          <w:rFonts w:ascii="Times New Roman" w:cs="Times New Roman" w:eastAsia="Times New Roman" w:hAnsi="Times New Roman"/>
          <w:sz w:val="18"/>
          <w:szCs w:val="18"/>
          <w:color w:val="auto"/>
        </w:rPr>
      </w:pPr>
    </w:p>
    <w:p>
      <w:pPr>
        <w:ind w:right="680" w:firstLine="683"/>
        <w:spacing w:after="0" w:line="282" w:lineRule="auto"/>
        <w:tabs>
          <w:tab w:leader="none" w:pos="11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Class A Stock surrendered for conversion as above provided or otherwise acquired by the corporation shall be cancelled according to law and shall not be reissued.</w:t>
      </w:r>
    </w:p>
    <w:p>
      <w:pPr>
        <w:sectPr>
          <w:pgSz w:w="11900" w:h="16838" w:orient="portrait"/>
          <w:cols w:equalWidth="0" w:num="1">
            <w:col w:w="11420"/>
          </w:cols>
          <w:pgMar w:left="240" w:top="364" w:right="239" w:bottom="1440" w:gutter="0" w:footer="0" w:header="0"/>
        </w:sectPr>
      </w:pPr>
    </w:p>
    <w:bookmarkStart w:id="93" w:name="page94"/>
    <w:bookmarkEnd w:id="93"/>
    <w:p>
      <w:pPr>
        <w:ind w:left="5260"/>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DESIGNATION OF SECRETARY OF STATE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 AGENT FOR SERVICE OF PROCESS</w:t>
      </w:r>
    </w:p>
    <w:p>
      <w:pPr>
        <w:spacing w:after="0" w:line="3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Secretary of State is designated as agent of the Corporation upon whom process against it may be served. The post office address to which the Secretary of State shall mail a copy of any process against the Corporation served upon him 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117" w:lineRule="exact"/>
        <w:rPr>
          <w:sz w:val="20"/>
          <w:szCs w:val="20"/>
          <w:color w:val="auto"/>
        </w:rPr>
      </w:pPr>
    </w:p>
    <w:p>
      <w:pPr>
        <w:ind w:right="160" w:firstLine="447"/>
        <w:spacing w:after="0" w:line="261" w:lineRule="auto"/>
        <w:rPr>
          <w:sz w:val="20"/>
          <w:szCs w:val="20"/>
          <w:color w:val="auto"/>
        </w:rPr>
      </w:pPr>
      <w:r>
        <w:rPr>
          <w:rFonts w:ascii="Times New Roman" w:cs="Times New Roman" w:eastAsia="Times New Roman" w:hAnsi="Times New Roman"/>
          <w:sz w:val="18"/>
          <w:szCs w:val="18"/>
          <w:color w:val="auto"/>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spacing w:after="0" w:line="72"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Commencing at the Annual Meeting of Shareholders held in 1991, the terms of office of the Board of Directors shall be divided into three classes, Class I, Class II and Class III, as shall be determined by the Board of Directors. All classes shall be as nearly equal in number as possible, and no class shall include less than three nor more than nine Directors. 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 office, or by a sole remaining Director. Directors elected to fill a newly created directorship or other vacancies shall be classified and hold office as provided by statute.</w:t>
      </w:r>
    </w:p>
    <w:p>
      <w:pPr>
        <w:spacing w:after="0" w:line="80" w:lineRule="exact"/>
        <w:rPr>
          <w:sz w:val="20"/>
          <w:szCs w:val="20"/>
          <w:color w:val="auto"/>
        </w:rPr>
      </w:pPr>
    </w:p>
    <w:p>
      <w:pPr>
        <w:ind w:right="100" w:firstLine="447"/>
        <w:spacing w:after="0" w:line="258" w:lineRule="auto"/>
        <w:rPr>
          <w:sz w:val="20"/>
          <w:szCs w:val="20"/>
          <w:color w:val="auto"/>
        </w:rPr>
      </w:pPr>
      <w:r>
        <w:rPr>
          <w:rFonts w:ascii="Times New Roman" w:cs="Times New Roman" w:eastAsia="Times New Roman" w:hAnsi="Times New Roman"/>
          <w:sz w:val="18"/>
          <w:szCs w:val="18"/>
          <w:color w:val="auto"/>
        </w:rPr>
        <w:t>The terms of office of the respective classes of directors initially classified shall be as follows: (1) Class I shall expire at the Annual Meeting of Shareholders to be held in 1992; (2) Class II shall expire at the Annual Meeting of Shareholders to be held in 1993; and (3) Class III shall expire at the Annual Meeting of Shareholders to be held in 1994. At each Annual Meeting of Shareholders after the aforementioned initial classification, the successors to Directors whose terms shall then expire shall be elected to serve from the time of election and qualification until the third Annual Meeting following election and until a successor shall have been duly elected and shall have qualified.</w:t>
      </w:r>
    </w:p>
    <w:p>
      <w:pPr>
        <w:spacing w:after="0" w:line="76" w:lineRule="exact"/>
        <w:rPr>
          <w:sz w:val="20"/>
          <w:szCs w:val="20"/>
          <w:color w:val="auto"/>
        </w:rPr>
      </w:pPr>
    </w:p>
    <w:p>
      <w:pPr>
        <w:ind w:right="80" w:firstLine="447"/>
        <w:spacing w:after="0" w:line="261" w:lineRule="auto"/>
        <w:rPr>
          <w:sz w:val="20"/>
          <w:szCs w:val="20"/>
          <w:color w:val="auto"/>
        </w:rPr>
      </w:pPr>
      <w:r>
        <w:rPr>
          <w:rFonts w:ascii="Times New Roman" w:cs="Times New Roman" w:eastAsia="Times New Roman" w:hAnsi="Times New Roman"/>
          <w:sz w:val="18"/>
          <w:szCs w:val="18"/>
          <w:color w:val="auto"/>
        </w:rPr>
        <w:t>The Directors of any class of Directors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 Annual Meeting of Shareholders or at any Special Meeting of Shareholders called by the Board of Directors or by the Chairman of the Board or by the President for this purpose.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LIMITATION OF DIRECTOR AND OFFICER LIABILITY</w:t>
      </w:r>
    </w:p>
    <w:p>
      <w:pPr>
        <w:spacing w:after="0" w:line="117" w:lineRule="exact"/>
        <w:rPr>
          <w:sz w:val="20"/>
          <w:szCs w:val="20"/>
          <w:color w:val="auto"/>
        </w:rPr>
      </w:pPr>
    </w:p>
    <w:p>
      <w:pPr>
        <w:ind w:right="120" w:firstLine="447"/>
        <w:spacing w:after="0" w:line="261" w:lineRule="auto"/>
        <w:rPr>
          <w:sz w:val="20"/>
          <w:szCs w:val="20"/>
          <w:color w:val="auto"/>
        </w:rPr>
      </w:pPr>
      <w:r>
        <w:rPr>
          <w:rFonts w:ascii="Times New Roman" w:cs="Times New Roman" w:eastAsia="Times New Roman" w:hAnsi="Times New Roman"/>
          <w:sz w:val="18"/>
          <w:szCs w:val="18"/>
          <w:color w:val="auto"/>
        </w:rPr>
        <w:t>To the fullest extent now or hereafter permitted under the New York Business Corporation Law, no director or officer of the Corporation shall be personally liable to the Corporation or its shareholders for monetary damages for any breach of fiduciary duty in such capacity. No amendment or repeal of this Article 7 shall adversely affect any right or protection of any director or officer of the Corporation existing at the time of such amendment or repeal with respect to acts or omissions occurring prior to such amendment or repeal.</w:t>
      </w:r>
    </w:p>
    <w:p>
      <w:pPr>
        <w:sectPr>
          <w:pgSz w:w="11900" w:h="16838" w:orient="portrait"/>
          <w:cols w:equalWidth="0" w:num="1">
            <w:col w:w="11420"/>
          </w:cols>
          <w:pgMar w:left="240" w:top="688" w:right="23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PREEMPTIVE RIGHTS</w:t>
      </w:r>
    </w:p>
    <w:p>
      <w:pPr>
        <w:spacing w:after="0" w:line="11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No holder of Common Shares, or preferred stock of any designation or series shall, as such holder, have any right to purchase or subscribe for (i) any stock of any class, or any warrant or warrants, option or options, or other instrument or instruments that shall confer upon the holder or holders thereof the right to subscribe for or purchase or receive from the Corporation any stock of any class or classes which the Corporation may issue or sell, whether or not such stock shall be convertible into or exchangeable for any other stock of the Corporation of any class or classes and whether or not such stock shall be unissued shares authorized by the Certificate of Incorporation or by any amendment thereto or shares of stock of the Corporation acquired by it after the issuance thereof, or (ii) any obligation which the Corporation may issue or sell that shall be convertible into or exchangeable for any shares of stock of the Corporation of any class or classes, or to which shall be attached or appurtenant to any warrant or warrants, option or options or other instrument or instruments that shall confer upon the holder or holders of such obligation the right to subscribe for or purchase or receive from the Corporation any shares of its stock of any class or classes.</w:t>
      </w:r>
    </w:p>
    <w:p>
      <w:pPr>
        <w:spacing w:after="0" w:line="81"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Upon any issuance for money or other consideration of any stock of the Corporation that may be authorized from time to time, no holder of stock, irrespective of the kind of such stock, shall have any preemptive or other right to subscribe for, purchase or receive any proportionate or other share of the stock so issued, and the Board of Directors may dispose of all or any portion of such stock as and when it may determine free of any such rights, whether by offering the same to shareholders or by sale or other disposition as said Board may deem advisable.”</w:t>
      </w:r>
    </w:p>
    <w:p>
      <w:pPr>
        <w:spacing w:after="0" w:line="71" w:lineRule="exact"/>
        <w:rPr>
          <w:sz w:val="20"/>
          <w:szCs w:val="20"/>
          <w:color w:val="auto"/>
        </w:rPr>
      </w:pPr>
    </w:p>
    <w:p>
      <w:pPr>
        <w:ind w:right="660" w:firstLine="450"/>
        <w:spacing w:after="0" w:line="219" w:lineRule="auto"/>
        <w:rPr>
          <w:sz w:val="20"/>
          <w:szCs w:val="20"/>
          <w:color w:val="auto"/>
        </w:rPr>
      </w:pPr>
      <w:r>
        <w:rPr>
          <w:rFonts w:ascii="Times New Roman" w:cs="Times New Roman" w:eastAsia="Times New Roman" w:hAnsi="Times New Roman"/>
          <w:sz w:val="18"/>
          <w:szCs w:val="18"/>
          <w:color w:val="auto"/>
        </w:rPr>
        <w:t>IN WITNESS WHEREOF, this Restated Certificate of Incorporation has been signed as of the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January, 2008, and affirmed that the statements made herein are true under penalties of perjury.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Leonard S. Schleifer,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Stuart A.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Stuart A. Kolinski, Secretary</w:t>
      </w:r>
    </w:p>
    <w:p>
      <w:pPr>
        <w:sectPr>
          <w:pgSz w:w="11900" w:h="16838" w:orient="portrait"/>
          <w:cols w:equalWidth="0" w:num="1">
            <w:col w:w="11360"/>
          </w:cols>
          <w:pgMar w:left="240" w:top="1337" w:right="299" w:bottom="1440" w:gutter="0" w:footer="0" w:header="0"/>
        </w:sectPr>
      </w:pPr>
    </w:p>
    <w:bookmarkStart w:id="95" w:name="page96"/>
    <w:bookmarkEnd w:id="95"/>
    <w:p>
      <w:pPr>
        <w:ind w:left="104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TENTH AMENDMENT TO LEASE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TENTH AMENDMENT TO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this __25__ day of October, 2012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46" w:lineRule="auto"/>
        <w:tabs>
          <w:tab w:leader="none" w:pos="150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(the “</w:t>
      </w:r>
      <w:r>
        <w:rPr>
          <w:rFonts w:ascii="Times New Roman" w:cs="Times New Roman" w:eastAsia="Times New Roman" w:hAnsi="Times New Roman"/>
          <w:sz w:val="22"/>
          <w:szCs w:val="22"/>
          <w:u w:val="single" w:color="auto"/>
          <w:color w:val="auto"/>
        </w:rPr>
        <w:t>Eighth Amendment</w:t>
      </w:r>
      <w:r>
        <w:rPr>
          <w:rFonts w:ascii="Times New Roman" w:cs="Times New Roman" w:eastAsia="Times New Roman" w:hAnsi="Times New Roman"/>
          <w:sz w:val="22"/>
          <w:szCs w:val="22"/>
          <w:color w:val="auto"/>
        </w:rPr>
        <w:t>”) and that certain Ninth Amendment to Lease dated as of September 30, 2011 (the “</w:t>
      </w:r>
      <w:r>
        <w:rPr>
          <w:rFonts w:ascii="Times New Roman" w:cs="Times New Roman" w:eastAsia="Times New Roman" w:hAnsi="Times New Roman"/>
          <w:sz w:val="22"/>
          <w:szCs w:val="22"/>
          <w:u w:val="single" w:color="auto"/>
          <w:color w:val="auto"/>
        </w:rPr>
        <w:t>Ninth Amendment</w:t>
      </w:r>
      <w:r>
        <w:rPr>
          <w:rFonts w:ascii="Times New Roman" w:cs="Times New Roman" w:eastAsia="Times New Roman" w:hAnsi="Times New Roman"/>
          <w:sz w:val="22"/>
          <w:szCs w:val="22"/>
          <w:color w:val="auto"/>
        </w:rPr>
        <w:t>”) (collectively, and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whereby Tenant leases certain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from Landlord at 735, 745, 755, 765 and 777 Old Saw Mill River Road in Tarrytown, New York (collectively, the “</w:t>
      </w: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jc w:val="both"/>
        <w:ind w:firstLine="656"/>
        <w:spacing w:after="0" w:line="252" w:lineRule="auto"/>
        <w:tabs>
          <w:tab w:leader="none" w:pos="14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lease approximately forty thousand four hundred ninety-five (40,495) square feet of additional Rentable Area located on the 02-Level of the Building located at 777 Old Saw Mill River Road in Tarrytown, New York, as depicted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777-02 Premises</w:t>
      </w:r>
      <w:r>
        <w:rPr>
          <w:rFonts w:ascii="Times New Roman" w:cs="Times New Roman" w:eastAsia="Times New Roman" w:hAnsi="Times New Roman"/>
          <w:sz w:val="22"/>
          <w:szCs w:val="22"/>
          <w:color w:val="auto"/>
        </w:rPr>
        <w:t>”), a portion of which, is currently leased by other tenants (each a “</w:t>
      </w:r>
      <w:r>
        <w:rPr>
          <w:rFonts w:ascii="Times New Roman" w:cs="Times New Roman" w:eastAsia="Times New Roman" w:hAnsi="Times New Roman"/>
          <w:sz w:val="22"/>
          <w:szCs w:val="22"/>
          <w:u w:val="single" w:color="auto"/>
          <w:color w:val="auto"/>
        </w:rPr>
        <w:t>Vacating Tenant</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Vacating Tenants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4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lease approximately three thousand seven hundred eighty-three (3,783) square feet of additional Rentable Area located on the S-Level of the Building located at 777 Old Saw Mill River Road in Tarrytown, New York, as depicted on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 S-Level Corridor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36" w:lineRule="auto"/>
        <w:tabs>
          <w:tab w:leader="none" w:pos="150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Tenant desires to lease approximately four hundred sixteen (416) square feet of additional Rentable Area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of the Building located at 765 Old Saw Mill River Road in Tarrytown, New York, as depicted on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765 2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Corridor Premises</w:t>
      </w:r>
      <w:r>
        <w:rPr>
          <w:rFonts w:ascii="Times New Roman" w:cs="Times New Roman" w:eastAsia="Times New Roman" w:hAnsi="Times New Roman"/>
          <w:sz w:val="22"/>
          <w:szCs w:val="22"/>
          <w:color w:val="auto"/>
        </w:rPr>
        <w:t>”);</w:t>
      </w:r>
    </w:p>
    <w:p>
      <w:pPr>
        <w:spacing w:after="0" w:line="103" w:lineRule="exact"/>
        <w:rPr>
          <w:rFonts w:ascii="Times New Roman" w:cs="Times New Roman" w:eastAsia="Times New Roman" w:hAnsi="Times New Roman"/>
          <w:sz w:val="22"/>
          <w:szCs w:val="22"/>
          <w:color w:val="auto"/>
        </w:rPr>
      </w:pPr>
    </w:p>
    <w:p>
      <w:pPr>
        <w:jc w:val="both"/>
        <w:ind w:firstLine="656"/>
        <w:spacing w:after="0" w:line="252" w:lineRule="auto"/>
        <w:tabs>
          <w:tab w:leader="none" w:pos="148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lease approximately thirty-two thousand five hundred nineteen (32,519) square feet of additional Rentable Area on the mezzanine level of the Building located at 765 Old Saw Mill River Road in Tarrytown, New York, as depicted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765 Mezz Premises</w:t>
      </w:r>
      <w:r>
        <w:rPr>
          <w:rFonts w:ascii="Times New Roman" w:cs="Times New Roman" w:eastAsia="Times New Roman" w:hAnsi="Times New Roman"/>
          <w:sz w:val="22"/>
          <w:szCs w:val="22"/>
          <w:color w:val="auto"/>
        </w:rPr>
        <w:t>”), a portion of which (the “</w:t>
      </w:r>
      <w:r>
        <w:rPr>
          <w:rFonts w:ascii="Times New Roman" w:cs="Times New Roman" w:eastAsia="Times New Roman" w:hAnsi="Times New Roman"/>
          <w:sz w:val="22"/>
          <w:szCs w:val="22"/>
          <w:u w:val="single" w:color="auto"/>
          <w:color w:val="auto"/>
        </w:rPr>
        <w:t>Space License Premises</w:t>
      </w:r>
      <w:r>
        <w:rPr>
          <w:rFonts w:ascii="Times New Roman" w:cs="Times New Roman" w:eastAsia="Times New Roman" w:hAnsi="Times New Roman"/>
          <w:sz w:val="22"/>
          <w:szCs w:val="22"/>
          <w:color w:val="auto"/>
        </w:rPr>
        <w:t>”) is currently</w:t>
      </w:r>
    </w:p>
    <w:p>
      <w:pPr>
        <w:spacing w:after="0" w:line="200" w:lineRule="exact"/>
        <w:rPr>
          <w:sz w:val="20"/>
          <w:szCs w:val="20"/>
          <w:color w:val="auto"/>
        </w:rPr>
      </w:pPr>
    </w:p>
    <w:p>
      <w:pPr>
        <w:spacing w:after="0" w:line="214"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4"/>
          <w:szCs w:val="14"/>
          <w:color w:val="auto"/>
        </w:rPr>
        <w:t>BMR form dated 4/12/12</w:t>
      </w:r>
    </w:p>
    <w:p>
      <w:pPr>
        <w:sectPr>
          <w:pgSz w:w="11900" w:h="16838" w:orient="portrait"/>
          <w:cols w:equalWidth="0" w:num="1">
            <w:col w:w="11420"/>
          </w:cols>
          <w:pgMar w:left="240" w:top="360"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occupied by Tenant via that certain Space License Agreement dated as of June 4, 2012 (the “</w:t>
      </w:r>
      <w:r>
        <w:rPr>
          <w:rFonts w:ascii="Times New Roman" w:cs="Times New Roman" w:eastAsia="Times New Roman" w:hAnsi="Times New Roman"/>
          <w:sz w:val="22"/>
          <w:szCs w:val="22"/>
          <w:u w:val="single" w:color="auto"/>
          <w:color w:val="auto"/>
        </w:rPr>
        <w:t>Space License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36" w:lineRule="auto"/>
        <w:tabs>
          <w:tab w:leader="none" w:pos="145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Tenant desires to lease approximately five hundred thirty-seven (537) square feet of additional Rentable Area located in the elevator lobby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of the Building located at 765 Old Saw Mill River Road in Tarrytown, New York, as depicted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765 2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Elevator Lobby Premises</w:t>
      </w:r>
      <w:r>
        <w:rPr>
          <w:rFonts w:ascii="Times New Roman" w:cs="Times New Roman" w:eastAsia="Times New Roman" w:hAnsi="Times New Roman"/>
          <w:sz w:val="22"/>
          <w:szCs w:val="22"/>
          <w:color w:val="auto"/>
        </w:rPr>
        <w:t>”);</w:t>
      </w:r>
    </w:p>
    <w:p>
      <w:pPr>
        <w:spacing w:after="0" w:line="103" w:lineRule="exact"/>
        <w:rPr>
          <w:rFonts w:ascii="Times New Roman" w:cs="Times New Roman" w:eastAsia="Times New Roman" w:hAnsi="Times New Roman"/>
          <w:sz w:val="22"/>
          <w:szCs w:val="22"/>
          <w:color w:val="auto"/>
        </w:rPr>
      </w:pPr>
    </w:p>
    <w:p>
      <w:pPr>
        <w:jc w:val="both"/>
        <w:ind w:firstLine="656"/>
        <w:spacing w:after="0" w:line="230" w:lineRule="auto"/>
        <w:tabs>
          <w:tab w:leader="none" w:pos="150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Tenant desires to lease approximately one thousand fifty-four (1,054) square feet of additional Rentable Area located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of the Building located at 765 Old Saw Mill River Road in Tarrytown, New York, as depicted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765 Expansion Premises III</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23" w:lineRule="auto"/>
        <w:tabs>
          <w:tab w:leader="none" w:pos="150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lease approximately one thousand six hundred seventy-five (1,675) square feet of additional Rentable Area in the Building located at 777 Old Saw Mill River Road in Tarrytown, New York, as depicted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Additional 01 Premises</w:t>
      </w:r>
      <w:r>
        <w:rPr>
          <w:rFonts w:ascii="Times New Roman" w:cs="Times New Roman" w:eastAsia="Times New Roman" w:hAnsi="Times New Roman"/>
          <w:sz w:val="22"/>
          <w:szCs w:val="22"/>
          <w:color w:val="auto"/>
        </w:rPr>
        <w:t>” and together with the 777-02 Premises, 777 S-Level Corridor Premises,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765 Mezz Premises,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and 765 Expansion Premises III, the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Expansion Premises</w:t>
      </w:r>
      <w:r>
        <w:rPr>
          <w:rFonts w:ascii="Times New Roman" w:cs="Times New Roman" w:eastAsia="Times New Roman" w:hAnsi="Times New Roman"/>
          <w:sz w:val="22"/>
          <w:szCs w:val="22"/>
          <w:color w:val="auto"/>
        </w:rPr>
        <w:t>”); and</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42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Lease only in the respects and on the conditions hereinafter 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ind w:firstLine="8"/>
        <w:spacing w:after="0" w:line="271" w:lineRule="auto"/>
        <w:tabs>
          <w:tab w:leader="none" w:pos="81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Amendment, capitalized terms shall have the meanings ascribed to them in the Lease unless otherwise defined herein. The Lease, as amended by this Amendment, is referred to herein as the “</w:t>
      </w:r>
      <w:r>
        <w:rPr>
          <w:rFonts w:ascii="Times New Roman" w:cs="Times New Roman" w:eastAsia="Times New Roman" w:hAnsi="Times New Roman"/>
          <w:sz w:val="22"/>
          <w:szCs w:val="22"/>
          <w:u w:val="single" w:color="auto"/>
          <w:color w:val="auto"/>
        </w:rPr>
        <w:t>Amended Lease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8"/>
        <w:spacing w:after="0" w:line="271" w:lineRule="auto"/>
        <w:tabs>
          <w:tab w:leader="none" w:pos="81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Additions to Premises</w:t>
      </w:r>
      <w:r>
        <w:rPr>
          <w:rFonts w:ascii="Times New Roman" w:cs="Times New Roman" w:eastAsia="Times New Roman" w:hAnsi="Times New Roman"/>
          <w:sz w:val="22"/>
          <w:szCs w:val="22"/>
          <w:color w:val="auto"/>
        </w:rPr>
        <w:t>. Landlord hereby leases to Tenant, and Tenant hereby leases from Landlord, the following space on the following terms:</w:t>
      </w:r>
    </w:p>
    <w:p>
      <w:pPr>
        <w:spacing w:after="0" w:line="158" w:lineRule="exact"/>
        <w:rPr>
          <w:sz w:val="20"/>
          <w:szCs w:val="20"/>
          <w:color w:val="auto"/>
        </w:rPr>
      </w:pPr>
    </w:p>
    <w:p>
      <w:pPr>
        <w:jc w:val="both"/>
        <w:ind w:firstLine="972"/>
        <w:spacing w:after="0" w:line="24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777-02 Premises</w:t>
      </w:r>
      <w:r>
        <w:rPr>
          <w:rFonts w:ascii="Times New Roman" w:cs="Times New Roman" w:eastAsia="Times New Roman" w:hAnsi="Times New Roman"/>
          <w:sz w:val="22"/>
          <w:szCs w:val="22"/>
          <w:color w:val="auto"/>
        </w:rPr>
        <w:t xml:space="preserve">. Conditional upon each Vacating Tenant surrendering its currently occupied portions of the 777-02 Premises to Landlord in accordance with such Vacating Tenant’s lease, and 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Landlord hereby leases to Tenant, and Tenant hereby leases from Landlord, the 777-02 Premises as of the date (the “</w:t>
      </w:r>
      <w:r>
        <w:rPr>
          <w:rFonts w:ascii="Times New Roman" w:cs="Times New Roman" w:eastAsia="Times New Roman" w:hAnsi="Times New Roman"/>
          <w:sz w:val="22"/>
          <w:szCs w:val="22"/>
          <w:u w:val="single" w:color="auto"/>
          <w:color w:val="auto"/>
        </w:rPr>
        <w:t>777-02 Premises Commencement Date</w:t>
      </w:r>
      <w:r>
        <w:rPr>
          <w:rFonts w:ascii="Times New Roman" w:cs="Times New Roman" w:eastAsia="Times New Roman" w:hAnsi="Times New Roman"/>
          <w:sz w:val="22"/>
          <w:szCs w:val="22"/>
          <w:color w:val="auto"/>
        </w:rPr>
        <w:t xml:space="preserve">”) that Landlord tenders possession of the 777-02 Premises to Tenant in compliance with the terms of the Amended Lease and with the 777-02 Landlord Work (as defined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hereof) substantially complete. If possession is delayed solely because of a Tenant Delay (as defined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then the 777-02 Premises Commencement Date shall be the date that the 777-02 Premises Commencement Date would have occurred but for such delay. From and after the 777-02 Premises Commencement Date, the term “Premises” shall include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97" w:name="page98"/>
    <w:bookmarkEnd w:id="97"/>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the 777-02 Premises. The Term with respect to the 777-02 Premises shall expire on the Term Expiration Date for the New Premises, subject to (a) Tenant’s option to extend the Term of the Lease as provided in </w:t>
      </w:r>
      <w:r>
        <w:rPr>
          <w:rFonts w:ascii="Times New Roman" w:cs="Times New Roman" w:eastAsia="Times New Roman" w:hAnsi="Times New Roman"/>
          <w:sz w:val="21"/>
          <w:szCs w:val="21"/>
          <w:u w:val="single" w:color="auto"/>
          <w:color w:val="auto"/>
        </w:rPr>
        <w:t>Article 44</w:t>
      </w:r>
      <w:r>
        <w:rPr>
          <w:rFonts w:ascii="Times New Roman" w:cs="Times New Roman" w:eastAsia="Times New Roman" w:hAnsi="Times New Roman"/>
          <w:sz w:val="21"/>
          <w:szCs w:val="21"/>
          <w:color w:val="auto"/>
        </w:rPr>
        <w:t xml:space="preserve"> of the Lease and (b) Tenant’s termination option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Tenant shall execute and deliver to Landlord written acknowledgment of the actual 777-02 Premises Commencement Date within ten (10) days after Tenant takes occupancy of the 777-02 Premises, in the form attached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hereto. Failure to execute and deliver such acknowledgment, however, shall not affect the 777-02 Premises Commencement Date or Landlord’s or Tenant’s liability hereunder. Failure by Tenant to obtain validation by any medical review board or other similar governmental licensing of the 777-02 Premises required for the Permitted Use by Tenant shall not serve to extend the 777-02 Premises Commencement Date. In the event any Vacating Tenant has not vacated all or any portion of the 777-02 Premises by June 1, 2013, Tenant may provide written notice to Landlord of its intent to terminate the Amended Lease with respect to all or any portion of the 777-02 Premises (the “</w:t>
      </w:r>
      <w:r>
        <w:rPr>
          <w:rFonts w:ascii="Times New Roman" w:cs="Times New Roman" w:eastAsia="Times New Roman" w:hAnsi="Times New Roman"/>
          <w:sz w:val="21"/>
          <w:szCs w:val="21"/>
          <w:u w:val="single" w:color="auto"/>
          <w:color w:val="auto"/>
        </w:rPr>
        <w:t>777-02 Premises Termination Notice</w:t>
      </w:r>
      <w:r>
        <w:rPr>
          <w:rFonts w:ascii="Times New Roman" w:cs="Times New Roman" w:eastAsia="Times New Roman" w:hAnsi="Times New Roman"/>
          <w:sz w:val="21"/>
          <w:szCs w:val="21"/>
          <w:color w:val="auto"/>
        </w:rPr>
        <w:t>”). Upon Landlord’s receipt of such notice, Landlord shall have thirty (30) days (the “</w:t>
      </w:r>
      <w:r>
        <w:rPr>
          <w:rFonts w:ascii="Times New Roman" w:cs="Times New Roman" w:eastAsia="Times New Roman" w:hAnsi="Times New Roman"/>
          <w:sz w:val="21"/>
          <w:szCs w:val="21"/>
          <w:u w:val="single" w:color="auto"/>
          <w:color w:val="auto"/>
        </w:rPr>
        <w:t>Cure Period</w:t>
      </w:r>
      <w:r>
        <w:rPr>
          <w:rFonts w:ascii="Times New Roman" w:cs="Times New Roman" w:eastAsia="Times New Roman" w:hAnsi="Times New Roman"/>
          <w:sz w:val="21"/>
          <w:szCs w:val="21"/>
          <w:color w:val="auto"/>
        </w:rPr>
        <w:t>”) to remove all Vacating Tenants from the 777-02 Premises. If, prior to expiration of the Cure Period, all Vacating Tenants have vacated the 777-02 Premises, then such termination notice shall be void and of no further force or effect and the Amended Lease with respect to the 777-02 Premises shall continue in full force and effect. If, prior to the expiration of the Cure Period, all Vacating Tenants have not vacated the 777-02 Premises, then the Amended Lease with respect to the portion of the 777-02 Premises identified in the 777-02 Premises Termination Notice shall terminate upon expiration of the Cure Period, except for those provisions that expressly survive the expiration or earlier termination thereof.</w:t>
      </w:r>
    </w:p>
    <w:p>
      <w:pPr>
        <w:spacing w:after="0" w:line="184"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777 S-Level Corridor Premises</w:t>
      </w:r>
      <w:r>
        <w:rPr>
          <w:rFonts w:ascii="Times New Roman" w:cs="Times New Roman" w:eastAsia="Times New Roman" w:hAnsi="Times New Roman"/>
          <w:sz w:val="22"/>
          <w:szCs w:val="22"/>
          <w:color w:val="auto"/>
        </w:rPr>
        <w:t xml:space="preserve">. 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Landlord hereby leases to Tenant, and Tenant hereby leases from Landlord, the 777 S-Level Corridor Premises as of the date (the “</w:t>
      </w:r>
      <w:r>
        <w:rPr>
          <w:rFonts w:ascii="Times New Roman" w:cs="Times New Roman" w:eastAsia="Times New Roman" w:hAnsi="Times New Roman"/>
          <w:sz w:val="22"/>
          <w:szCs w:val="22"/>
          <w:u w:val="single" w:color="auto"/>
          <w:color w:val="auto"/>
        </w:rPr>
        <w:t>777 S-Level Corridor Premises Commencement Date</w:t>
      </w:r>
      <w:r>
        <w:rPr>
          <w:rFonts w:ascii="Times New Roman" w:cs="Times New Roman" w:eastAsia="Times New Roman" w:hAnsi="Times New Roman"/>
          <w:sz w:val="22"/>
          <w:szCs w:val="22"/>
          <w:color w:val="auto"/>
        </w:rPr>
        <w:t xml:space="preserve">”) that Landlord tenders possession of the 777 S-Level Corridor Premises to Tenant in compliance with the terms of the Amended Lease and with the 777 S-Level Corridor Landlord Work (as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hereof) substantially complete. From and after the 777 S-Level Corridor Premises Commencement Date, the term “Premises” shall include the 777 S-Level Corridor Premises. If possession is delayed solely because of a Tenant Delay, then the 777 S-Level Corridor Premises Commencement Date shall be the date that the 777 S-Level Corridor Premises Commencement Date would have occurred but for such delay. The Term with respect to the 777 S-Level Corridor Premises shall expire on the Term Expiration Date for the New Premises, subject to (a)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and (b) Tenant’s termination option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execute and deliver to Landlord written acknowledgment of the actual 777 S-Level Corridor Premises Commencement Date within ten (10) days after Tenant takes occupancy of the 777 S-Level Corridor Premises,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Failure to execute and deliver such acknowledgment, however, shall not affect the 777 S-Level Corridor Premises Commencement Date or Landlord’s or Tenant’s liability hereunder. Failure by Tenant to obtain validation by any medical review board or other similar governmental licensing of the 777 S-Level Corridor Premises required for the Permitted Use by Tenant shall not serve to extend the 777 S-Level Corridor Premises Commencement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98" w:name="page99"/>
    <w:bookmarkEnd w:id="98"/>
    <w:p>
      <w:pPr>
        <w:jc w:val="both"/>
        <w:ind w:firstLine="972"/>
        <w:spacing w:after="0" w:line="220"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765 2</w:t>
      </w:r>
      <w:r>
        <w:rPr>
          <w:rFonts w:ascii="Times New Roman" w:cs="Times New Roman" w:eastAsia="Times New Roman" w:hAnsi="Times New Roman"/>
          <w:sz w:val="27"/>
          <w:szCs w:val="27"/>
          <w:u w:val="single" w:color="auto"/>
          <w:color w:val="auto"/>
          <w:vertAlign w:val="superscript"/>
        </w:rPr>
        <w:t>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Corridor Premises</w:t>
      </w:r>
      <w:r>
        <w:rPr>
          <w:rFonts w:ascii="Times New Roman" w:cs="Times New Roman" w:eastAsia="Times New Roman" w:hAnsi="Times New Roman"/>
          <w:sz w:val="21"/>
          <w:szCs w:val="21"/>
          <w:color w:val="auto"/>
        </w:rPr>
        <w:t xml:space="preserve">. Subject to Tenant’s termination options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Landlord hereby leases to Tenant, and Tenant hereby leases from Landlord,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as of the Execution Date (the “</w:t>
      </w:r>
      <w:r>
        <w:rPr>
          <w:rFonts w:ascii="Times New Roman" w:cs="Times New Roman" w:eastAsia="Times New Roman" w:hAnsi="Times New Roman"/>
          <w:sz w:val="21"/>
          <w:szCs w:val="21"/>
          <w:u w:val="single" w:color="auto"/>
          <w:color w:val="auto"/>
        </w:rPr>
        <w:t>765 2</w:t>
      </w:r>
      <w:r>
        <w:rPr>
          <w:rFonts w:ascii="Times New Roman" w:cs="Times New Roman" w:eastAsia="Times New Roman" w:hAnsi="Times New Roman"/>
          <w:sz w:val="27"/>
          <w:szCs w:val="27"/>
          <w:u w:val="single" w:color="auto"/>
          <w:color w:val="auto"/>
          <w:vertAlign w:val="superscript"/>
        </w:rPr>
        <w:t>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Corridor Premises Commencement Date</w:t>
      </w:r>
      <w:r>
        <w:rPr>
          <w:rFonts w:ascii="Times New Roman" w:cs="Times New Roman" w:eastAsia="Times New Roman" w:hAnsi="Times New Roman"/>
          <w:sz w:val="21"/>
          <w:szCs w:val="21"/>
          <w:color w:val="auto"/>
        </w:rPr>
        <w:t>”). From and after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Commencement Date, the term “Premises” shall include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The Term with respect to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shall expire on the Term Expiration Date for the New Premises, subject to (a) Tenant’s option to extend the Term of the Lease as provided in </w:t>
      </w:r>
      <w:r>
        <w:rPr>
          <w:rFonts w:ascii="Times New Roman" w:cs="Times New Roman" w:eastAsia="Times New Roman" w:hAnsi="Times New Roman"/>
          <w:sz w:val="21"/>
          <w:szCs w:val="21"/>
          <w:u w:val="single" w:color="auto"/>
          <w:color w:val="auto"/>
        </w:rPr>
        <w:t>Article 44</w:t>
      </w:r>
      <w:r>
        <w:rPr>
          <w:rFonts w:ascii="Times New Roman" w:cs="Times New Roman" w:eastAsia="Times New Roman" w:hAnsi="Times New Roman"/>
          <w:sz w:val="21"/>
          <w:szCs w:val="21"/>
          <w:color w:val="auto"/>
        </w:rPr>
        <w:t xml:space="preserve"> of the Lease and (b) Tenant’s termination option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w:t>
      </w:r>
    </w:p>
    <w:p>
      <w:pPr>
        <w:spacing w:after="0" w:line="197"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765 Mezz Premises</w:t>
      </w:r>
      <w:r>
        <w:rPr>
          <w:rFonts w:ascii="Times New Roman" w:cs="Times New Roman" w:eastAsia="Times New Roman" w:hAnsi="Times New Roman"/>
          <w:sz w:val="22"/>
          <w:szCs w:val="22"/>
          <w:color w:val="auto"/>
        </w:rPr>
        <w:t xml:space="preserve">. 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Landlord hereby leases to Tenant, and Tenant hereby leases from Landlord, the 765 Mezz Premises as of the Execution Date (the “</w:t>
      </w:r>
      <w:r>
        <w:rPr>
          <w:rFonts w:ascii="Times New Roman" w:cs="Times New Roman" w:eastAsia="Times New Roman" w:hAnsi="Times New Roman"/>
          <w:sz w:val="22"/>
          <w:szCs w:val="22"/>
          <w:u w:val="single" w:color="auto"/>
          <w:color w:val="auto"/>
        </w:rPr>
        <w:t>765 Mezz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From and after the 765 Mezz Premises Commencement Date, the term “Premises” shall include the 765 Mezz Premises. The Term with respect to the 765 Mezz Premises shall expire on the Term Expiration Date for the New Premises, subject to (a)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and (b) Tenant’s termination option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765 2</w:t>
      </w:r>
      <w:r>
        <w:rPr>
          <w:rFonts w:ascii="Times New Roman" w:cs="Times New Roman" w:eastAsia="Times New Roman" w:hAnsi="Times New Roman"/>
          <w:sz w:val="27"/>
          <w:szCs w:val="27"/>
          <w:u w:val="single" w:color="auto"/>
          <w:color w:val="auto"/>
          <w:vertAlign w:val="superscript"/>
        </w:rPr>
        <w:t>nd</w:t>
      </w:r>
      <w:r>
        <w:rPr>
          <w:rFonts w:ascii="Times New Roman" w:cs="Times New Roman" w:eastAsia="Times New Roman" w:hAnsi="Times New Roman"/>
          <w:sz w:val="21"/>
          <w:szCs w:val="21"/>
          <w:u w:val="single" w:color="auto"/>
          <w:color w:val="auto"/>
        </w:rPr>
        <w:t xml:space="preserve"> Floor Elevator Lobby Premises</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ind w:firstLine="1305"/>
        <w:spacing w:after="0" w:line="219" w:lineRule="auto"/>
        <w:tabs>
          <w:tab w:leader="none" w:pos="179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Landlord hereby leases to Tenant, and Tenant hereby leases from Landlord,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as of the Execution Date (the “</w:t>
      </w:r>
      <w:r>
        <w:rPr>
          <w:rFonts w:ascii="Times New Roman" w:cs="Times New Roman" w:eastAsia="Times New Roman" w:hAnsi="Times New Roman"/>
          <w:sz w:val="22"/>
          <w:szCs w:val="22"/>
          <w:u w:val="single" w:color="auto"/>
          <w:color w:val="auto"/>
        </w:rPr>
        <w:t>765 2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Floor Elevator </w:t>
      </w:r>
      <w:r>
        <w:rPr>
          <w:rFonts w:ascii="Times New Roman" w:cs="Times New Roman" w:eastAsia="Times New Roman" w:hAnsi="Times New Roman"/>
          <w:sz w:val="22"/>
          <w:szCs w:val="22"/>
          <w:u w:val="single" w:color="auto"/>
          <w:color w:val="auto"/>
        </w:rPr>
        <w:t>Lobby Premises Commencement Date</w:t>
      </w:r>
      <w:r>
        <w:rPr>
          <w:rFonts w:ascii="Times New Roman" w:cs="Times New Roman" w:eastAsia="Times New Roman" w:hAnsi="Times New Roman"/>
          <w:sz w:val="22"/>
          <w:szCs w:val="22"/>
          <w:color w:val="auto"/>
        </w:rPr>
        <w:t>”). From and after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Commencement Date, the term “Premises” shall include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The Term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shall expire on the Term Expiration Date for the New Premises, subject to (a)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and (b) Tenant’s termination option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-681355</wp:posOffset>
            </wp:positionV>
            <wp:extent cx="86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spacing w:after="0" w:line="175"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765 Expansion Premises III</w:t>
      </w:r>
      <w:r>
        <w:rPr>
          <w:rFonts w:ascii="Times New Roman" w:cs="Times New Roman" w:eastAsia="Times New Roman" w:hAnsi="Times New Roman"/>
          <w:sz w:val="22"/>
          <w:szCs w:val="22"/>
          <w:color w:val="auto"/>
        </w:rPr>
        <w:t xml:space="preserve">. 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Landlord hereby leases to Tenant, and Tenant hereby leases from Landlord, the 765 Expansion Premises III as of the date (the “</w:t>
      </w:r>
      <w:r>
        <w:rPr>
          <w:rFonts w:ascii="Times New Roman" w:cs="Times New Roman" w:eastAsia="Times New Roman" w:hAnsi="Times New Roman"/>
          <w:sz w:val="22"/>
          <w:szCs w:val="22"/>
          <w:u w:val="single" w:color="auto"/>
          <w:color w:val="auto"/>
        </w:rPr>
        <w:t>765 Expansion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Premises III Commencement Date</w:t>
      </w:r>
      <w:r>
        <w:rPr>
          <w:rFonts w:ascii="Times New Roman" w:cs="Times New Roman" w:eastAsia="Times New Roman" w:hAnsi="Times New Roman"/>
          <w:sz w:val="22"/>
          <w:szCs w:val="22"/>
          <w:color w:val="auto"/>
        </w:rPr>
        <w:t xml:space="preserve">”) that Landlord tenders possession of the 765 Expansion Premises III to Tenant in compliance with the terms of the Amended Lease and with the 765 Expansion Premises III Landlord Work (as defined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hereof) substantially complete. If possession is delayed solely because of a Tenant Delay, then the 765 Expansion Premises III Commencement Date shall be the date that the 765 Expansion Premises III Commencement Date would have occurred but for such delay. From and after the 765 Expansion Premises III Commencement Date, the term “Premises” shall include the 765 Expansion Premises III. The Term with respect to the 765 Expansion Premises III shall expire on the Term Expiration Date for the New Premises, subject to (a)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and (b) Tenant’s termination option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execute and deliver to Landlord written acknowledgment of the actual 765 Expansion Premises III Commencement Date within ten (10) days after Tenant takes occupancy of the 765 Expansion Premises III,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Failure to execute and deliver such acknowledgment, however, shall not affect the 765 Expansion Premises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0" w:right="239" w:bottom="1440" w:gutter="0" w:footer="0" w:header="0"/>
        </w:sectPr>
      </w:pPr>
    </w:p>
    <w:bookmarkStart w:id="99" w:name="page100"/>
    <w:bookmarkEnd w:id="99"/>
    <w:p>
      <w:pPr>
        <w:jc w:val="both"/>
        <w:ind w:firstLine="8"/>
        <w:spacing w:after="0" w:line="257" w:lineRule="auto"/>
        <w:tabs>
          <w:tab w:leader="none" w:pos="27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Date or Landlord’s or Tenant’s liability hereunder. Failure by Tenant to obtain validation by any medical review board or other similar governmental licensing of the 765 Expansion Premises III required for the Permitted Use by Tenant shall not serve to extend the 765 Expansion Premises III Commencement Date.</w:t>
      </w:r>
    </w:p>
    <w:p>
      <w:pPr>
        <w:spacing w:after="0" w:line="173"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Additional 01 Premises</w:t>
      </w:r>
      <w:r>
        <w:rPr>
          <w:rFonts w:ascii="Times New Roman" w:cs="Times New Roman" w:eastAsia="Times New Roman" w:hAnsi="Times New Roman"/>
          <w:sz w:val="22"/>
          <w:szCs w:val="22"/>
          <w:color w:val="auto"/>
        </w:rPr>
        <w:t xml:space="preserve">. Subject to Tenant’s termination options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Landlord hereby leases to Tenant, and Tenant hereby leases from Landlord, the Additional 01 Premises as of the date (the “</w:t>
      </w:r>
      <w:r>
        <w:rPr>
          <w:rFonts w:ascii="Times New Roman" w:cs="Times New Roman" w:eastAsia="Times New Roman" w:hAnsi="Times New Roman"/>
          <w:sz w:val="22"/>
          <w:szCs w:val="22"/>
          <w:u w:val="single" w:color="auto"/>
          <w:color w:val="auto"/>
        </w:rPr>
        <w:t>Additional 01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that Landlord tenders possession of the Additional 01 Premises to Tenant in compliance with the terms of the Amended Lease and with the Additional 01 Premises Landlord Work (as defined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hereof) substantially complete. If possession is delayed by a Tenant Delay, then the Additional 01 Premises Commencement Date shall be the date that the Additional 01 Premises Commencement Date would have occurred but for such delay. From and after the Additional 01 Premises Commencement Date, the term “Premises” shall include the Additional 01 Premises. The Term with respect to the Additional 01 Premises shall expire on the Term Expiration Date for the New Premises, subject to (a)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and (b) Tenant’s termination option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execute and deliver to Landlord written acknowledgment of the actual Additional 01 Premises Commencement Date within ten (10) days after Tenant takes occupancy of the Additional 01 Premises,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Failure to execute and deliver such acknowledgment, however, shall not affect the Additional 01 Premises Commencement Date or Landlord’s or Tenant’s liability hereunder. Failure by Tenant to obtain validation by any medical review board or other similar governmental licensing of the Additional 01 Premises required for the Permitted Use by Tenant shall not serve to extend the Additional 01 Premises Commencement Date.</w:t>
      </w:r>
    </w:p>
    <w:p>
      <w:pPr>
        <w:spacing w:after="0" w:line="189" w:lineRule="exact"/>
        <w:rPr>
          <w:sz w:val="20"/>
          <w:szCs w:val="20"/>
          <w:color w:val="auto"/>
        </w:rPr>
      </w:pPr>
    </w:p>
    <w:p>
      <w:pPr>
        <w:ind w:left="820" w:hanging="812"/>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Options</w:t>
      </w:r>
      <w:r>
        <w:rPr>
          <w:rFonts w:ascii="Times New Roman" w:cs="Times New Roman" w:eastAsia="Times New Roman" w:hAnsi="Times New Roman"/>
          <w:sz w:val="22"/>
          <w:szCs w:val="22"/>
          <w:color w:val="auto"/>
        </w:rPr>
        <w:t>. Tenant shall have the following termination options: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3.1. In addition to the termination rights set forth in </w:t>
      </w:r>
      <w:r>
        <w:rPr>
          <w:rFonts w:ascii="Times New Roman" w:cs="Times New Roman" w:eastAsia="Times New Roman" w:hAnsi="Times New Roman"/>
          <w:sz w:val="22"/>
          <w:szCs w:val="22"/>
          <w:u w:val="single" w:color="auto"/>
          <w:color w:val="auto"/>
        </w:rPr>
        <w:t>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3.8</w:t>
      </w:r>
      <w:r>
        <w:rPr>
          <w:rFonts w:ascii="Times New Roman" w:cs="Times New Roman" w:eastAsia="Times New Roman" w:hAnsi="Times New Roman"/>
          <w:sz w:val="22"/>
          <w:szCs w:val="22"/>
          <w:color w:val="auto"/>
        </w:rPr>
        <w:t xml:space="preserve"> hereof, Tenant shall be entitled to terminate the Amended Lease with respect to the 777-02 Premises as of December 31, 2015, or December 31, 2016;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(a) provides Landlord with no less than twelve (12) months’ prior written notice and (b) pays (on or before the effective date of such termination) to Landlord a termination fee of (i) if the termination date is December 31, 2015, Seven Hundred Eighty-Six Thousand Seven Hundred Sixty Dollars ($786,760) or (ii) if the termination date is December 31, 2016, Six Hundred Ninety-Four Thousand Two Hundred Dollars ($694,200). If Tenant timely exercises its option to terminate the Amended Lease with respect to the 777-02 Premises, then Tenant shall surrender the 777-02 Premises to Landlord on the applicable surrender date in the condition required by the Amended Lease for surrendering Premises upon the expiration or earlier termination thereof and the Amended Lease (with respect to the 777-02 Premises) shall terminate and be of no further force or effect as of the termination date, except for those provisions that expressly survive the expiration or earlier termination thereof.</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3.2. Tenant shall be entitled to terminate the Amended Lease with respect to the 777 S-Level Corridor Premises as of December 31, 2015, or December 31, 2016;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(a) provides Landlord with no less than twelve (12) months’ prior written notice and (b) pays (on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100" w:name="page101"/>
    <w:bookmarkEnd w:id="100"/>
    <w:p>
      <w:pPr>
        <w:jc w:val="both"/>
        <w:spacing w:after="0" w:line="247" w:lineRule="auto"/>
        <w:rPr>
          <w:sz w:val="20"/>
          <w:szCs w:val="20"/>
          <w:color w:val="auto"/>
        </w:rPr>
      </w:pPr>
      <w:r>
        <w:rPr>
          <w:rFonts w:ascii="Times New Roman" w:cs="Times New Roman" w:eastAsia="Times New Roman" w:hAnsi="Times New Roman"/>
          <w:sz w:val="22"/>
          <w:szCs w:val="22"/>
          <w:color w:val="auto"/>
        </w:rPr>
        <w:t>before the effective date of such termination) to Landlord a termination fee of (i) if the termination date is December 31, 2015, Thirteen Thousand Seven Hundred Thirty-One and 89/100 Dollars ($13,731.89) or (ii) if the termination date is December 31, 2016, Twelve Thousand One Hundred Sixteen and 37/100 Dollars ($12,116.37). If Tenant timely exercises its option to terminate the Amended Lease with respect to the 777 S-Level Corridor Premises, then Tenant shall surrender the 777 S-Level Corridor Premises to Landlord on the applicable surrender date in the condition required by the Amended Lease for surrendering Premises upon the expiration or earlier termination thereof and the Amended Lease (with respect to the 777 S-Level Corridor Premises) shall terminate and be of no further force or effect as of the termination date, except for those provisions that expressly survive the expiration or earlier termination thereof.</w:t>
      </w:r>
    </w:p>
    <w:p>
      <w:pPr>
        <w:spacing w:after="0" w:line="177"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3.3. Tenant shall be entitled to terminate the Amended Lease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as of December 31, 2015, or December 31, 2016;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(a) provides Landlord with no less than twelve (12) months’ prior written notice and (b) pays (on or before the effective date of such termination) to Landlord a termination fee of (i) if the termination date is December 31, 2015, One Thousand Five Hundred Ten and 04/100 Dollars ($1,510.04) or (ii) if the termination date is December 31, 2016, One Thousand Three Hundred Thirty-Two and 38/100 Dollars ($1,332.38). If Tenant timely exercises its option to terminate the Amended Lease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then Tenant shall surrender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to Landlord on the applicable surrender date in the condition required by the Amended Lease for surrendering Premises upon the expiration or earlier termination thereof and the Amended Lease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shall terminate and be of no further force or effect as of the termination date, except for those provisions that expressly survive the expiration or earlier termination thereof.</w:t>
      </w:r>
    </w:p>
    <w:p>
      <w:pPr>
        <w:spacing w:after="0" w:line="1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3.4. Tenant shall be entitled to terminate the Amended Lease with respect to the 765 Mezz Premises as of January 1, 2017;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(a) provides Landlord with no less than twelve (12) months’ prior written notice and (b) pays (on or before the effective date of such termination) to Landlord a termination fee of Five Hundred Forty-One Thousand Five Hundred Ninety-Seven and 58/100 Dollars ($541,597.58). If Tenant timely exercises its option to terminate the Amended Lease with respect to the 765 Mezz Premises, then Tenant shall surrender the 765 Mezz Premises to Landlord on the applicable surrender date in the condition required by the Amended Lease for surrendering Premises upon the expiration or earlier termination thereof and the Amended Lease (with respect to the 765 Mezz Premises) shall terminate and be of no further force or effect as of the termination date, except for those provisions that expressly survive the expiration or earlier termination thereof.</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3.5. Tenant shall be entitled to terminate the Amended Lease with respect to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Elevator Lobby Premises as of December 31, 2015, or December 31, 2016;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Tenant (a) provides Landlord with no less than twelve (12) months’ prior written notice and (b) pays (on or before the effective date of such termination) to Landlord a termination fee of (i) if the termination date is December 31, 2015, One Thousand Nine Hundred Forty-Nine and 25/100 Dollars ($1,949.25) or (ii) if the termination date is December 31, 2016, One Thousand Seven Hundred Nineteen and 93/100 Dollars ($1,719.93). If Tenant timely exercises its option to terminate the Amended Lease with respect to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Elevator Lobby Premises, then Tenant shall</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01" w:name="page102"/>
    <w:bookmarkEnd w:id="101"/>
    <w:p>
      <w:pPr>
        <w:jc w:val="both"/>
        <w:spacing w:after="0" w:line="221" w:lineRule="auto"/>
        <w:rPr>
          <w:sz w:val="20"/>
          <w:szCs w:val="20"/>
          <w:color w:val="auto"/>
        </w:rPr>
      </w:pPr>
      <w:r>
        <w:rPr>
          <w:rFonts w:ascii="Times New Roman" w:cs="Times New Roman" w:eastAsia="Times New Roman" w:hAnsi="Times New Roman"/>
          <w:sz w:val="22"/>
          <w:szCs w:val="22"/>
          <w:color w:val="auto"/>
        </w:rPr>
        <w:t>surrender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to Landlord on the applicable surrender date in the condition required by the Amended Lease for surrendering Premises upon the expiration or earlier termination thereof and the Amended Lease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shall terminate and be of no further force or effect as of the termination date, except for those provisions that expressly survive the expiration or earlier termination thereof.</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3.6. Tenant shall be entitled to terminate the Amended Lease with respect to the 765 Expansion Premises III as of January 1, 2017;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provides Landlord with no less than twelve (12) months’ prior written notice and (b) pays (on or before the effective date of such termination) to Landlord a termination fee of Twenty-Four Thousand Three Hundred Five and 77/100 Dollars ($24,305.77). If Tenant timely exercises its option to terminate the Amended Lease with respect to the 765 Expansion Premises III, then Tenant shall surrender the 765 Expansion Premises III to Landlord on the applicable surrender date in the condition required by the Amended Lease for surrendering Premises upon the expiration or earlier termination thereof and the Amended Lease (with respect to the 765 Expansion Premises III) shall terminate and be of no further force or effect as of the termination date, except for those provisions that expressly survive the expiration or earlier termination thereof.</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3.7. In addition to the termination right set forth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hereof, Tenant shall be entitled to terminate the Amended Lease with respect to the Additional 01 Premises as of December 31, 2015, or December 31, 2016;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(a) provides Landlord with no less than twelve (12) months’ prior written notice and (b) pays (on or before the effective date of such termination) to Landlord a termination fee of (i) if the termination date is December 31, 2015, Thirty-One Thousand Six Hundred Sixteen and 37/100 Dollars ($31,616.37) or (ii) if the termination date is December 31, 2016, Twenty-Seven Thousand Eight Hundred Ninety-Six and 80/100 Dollars ($27,896.80). If Tenant timely exercises its option to terminate the Amended Lease with respect to the Additional 01 Premises, then Tenant shall surrender the Additional 01 Premises to Landlord on the applicable surrender date in the condition required by the Amended Lease for surrendering Premises upon the expiration or earlier termination thereof and the Amended Lease (with respect to the Additional 01 Premises) shall terminate and be of no further force or effect as of the termination date, except for those provisions that expressly survive the termination or earlier expiration thereof. In the event Tenant exercises its option to terminate the Additional 01 Premises in accordance with this Section, then Tenant shall be required to simultaneously terminate the 01 Premises and surrender the 01 Premises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Ninth Amendment. In the event Tenant exercises its option to terminate the 01 Premises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Ninth Amendment, then Tenant shall be required to simultaneously terminate the Additional 01 Premises and surrender the Additional 01 Premises in accordance with this Section.</w:t>
      </w:r>
    </w:p>
    <w:p>
      <w:pPr>
        <w:spacing w:after="0" w:line="18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3.8. In addition to the termination rights set forth in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hereof, and with respect to the 01 Premises (as defined in the Ninth Amendment), if Tenant or an affiliate of Tenant enters into a lease agreement for at least eighty thousand (80,000) square feet of additional space at the Property, then Tenant shall be entitled to terminate (with no penalty) the Amended Lease with respect to one or both of (a) the 777-02 Premises and (b) the Additional 01 Premises together with the 01 Premises (collectively, the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Swing Space</w:t>
      </w:r>
      <w:r>
        <w:rPr>
          <w:rFonts w:ascii="Times New Roman" w:cs="Times New Roman" w:eastAsia="Times New Roman" w:hAnsi="Times New Roman"/>
          <w:sz w:val="22"/>
          <w:szCs w:val="22"/>
          <w:color w:val="auto"/>
        </w:rPr>
        <w:t>”). Tenant shall exercise such right, if at all, by providing Landlord with at least nine (9) months’ advance written notice, which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0" w:right="239" w:bottom="1440" w:gutter="0" w:footer="0" w:header="0"/>
        </w:sectPr>
      </w:pPr>
    </w:p>
    <w:bookmarkStart w:id="102" w:name="page103"/>
    <w:bookmarkEnd w:id="102"/>
    <w:p>
      <w:pPr>
        <w:jc w:val="both"/>
        <w:spacing w:after="0" w:line="232" w:lineRule="auto"/>
        <w:rPr>
          <w:sz w:val="20"/>
          <w:szCs w:val="20"/>
          <w:color w:val="auto"/>
        </w:rPr>
      </w:pPr>
      <w:r>
        <w:rPr>
          <w:rFonts w:ascii="Times New Roman" w:cs="Times New Roman" w:eastAsia="Times New Roman" w:hAnsi="Times New Roman"/>
          <w:sz w:val="22"/>
          <w:szCs w:val="22"/>
          <w:color w:val="auto"/>
        </w:rPr>
        <w:t>notice shall set forth the applicable space being terminated (the “</w:t>
      </w:r>
      <w:r>
        <w:rPr>
          <w:rFonts w:ascii="Times New Roman" w:cs="Times New Roman" w:eastAsia="Times New Roman" w:hAnsi="Times New Roman"/>
          <w:sz w:val="22"/>
          <w:szCs w:val="22"/>
          <w:u w:val="single" w:color="auto"/>
          <w:color w:val="auto"/>
        </w:rPr>
        <w:t>Terminated Space</w:t>
      </w:r>
      <w:r>
        <w:rPr>
          <w:rFonts w:ascii="Times New Roman" w:cs="Times New Roman" w:eastAsia="Times New Roman" w:hAnsi="Times New Roman"/>
          <w:sz w:val="22"/>
          <w:szCs w:val="22"/>
          <w:color w:val="auto"/>
        </w:rPr>
        <w:t>”) and the effective date of such termination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If, in such notice, Tenant elects to terminate the Amended Lease with respect to only (a) or (b)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Swing Space, then Tenant may elect to terminate the Amended Lease with respect to the other portion (and not less than the entire other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Swing Space at a later date, in accordance with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On or before the applicable Termination Date, Tenant shall surrender the applicable Terminated Space in the condition required under the Amended Lease. From and after the applicable Termination Date, (x) the Lease shall terminate and be of no further force and effect with respect to the applicable Terminated Space, except for those provisions that expressly survive the expiration or earlier termination thereof, (y) the applicable Terminated Space shall be removed from the Premises and (z) Tenant’s Pro Rata Shares shall be adjusted accordingly.</w:t>
      </w:r>
    </w:p>
    <w:p>
      <w:pPr>
        <w:spacing w:after="0" w:line="19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Time is of the essence with respect to the exercise of the termination options granted and amended in this Article.</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3.10. If Tenant exercises its option to terminate the 777 License Area Premises in accordance with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the Eighth Amendment, then Tenant shall simultaneously terminate and surrender, and pay the applicable termination fee with respect thereto (y) the 777 S-Level Corridor Premises in accordance with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hereof and (z)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in accordance with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w:t>
      </w:r>
    </w:p>
    <w:p>
      <w:pPr>
        <w:spacing w:after="0" w:line="193" w:lineRule="exact"/>
        <w:rPr>
          <w:sz w:val="20"/>
          <w:szCs w:val="20"/>
          <w:color w:val="auto"/>
        </w:rPr>
      </w:pPr>
    </w:p>
    <w:p>
      <w:pPr>
        <w:ind w:right="20" w:firstLine="8"/>
        <w:spacing w:after="0" w:line="271" w:lineRule="auto"/>
        <w:tabs>
          <w:tab w:leader="none" w:pos="81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Extension Options</w:t>
      </w:r>
      <w:r>
        <w:rPr>
          <w:rFonts w:ascii="Times New Roman" w:cs="Times New Roman" w:eastAsia="Times New Roman" w:hAnsi="Times New Roman"/>
          <w:sz w:val="22"/>
          <w:szCs w:val="22"/>
          <w:color w:val="auto"/>
        </w:rPr>
        <w:t xml:space="preserve">. From and after the Execution Date, the first paragraph of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is hereby deleted and replaced with the following:</w:t>
      </w:r>
    </w:p>
    <w:p>
      <w:pPr>
        <w:spacing w:after="0" w:line="157" w:lineRule="exact"/>
        <w:rPr>
          <w:rFonts w:ascii="Times New Roman" w:cs="Times New Roman" w:eastAsia="Times New Roman" w:hAnsi="Times New Roman"/>
          <w:sz w:val="22"/>
          <w:szCs w:val="22"/>
          <w:color w:val="auto"/>
        </w:rPr>
      </w:pPr>
    </w:p>
    <w:p>
      <w:pPr>
        <w:jc w:val="both"/>
        <w:ind w:left="1300" w:firstLine="5"/>
        <w:spacing w:after="0" w:line="252" w:lineRule="auto"/>
        <w:tabs>
          <w:tab w:leader="none" w:pos="186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to Extend Term</w:t>
      </w:r>
      <w:r>
        <w:rPr>
          <w:rFonts w:ascii="Times New Roman" w:cs="Times New Roman" w:eastAsia="Times New Roman" w:hAnsi="Times New Roman"/>
          <w:sz w:val="21"/>
          <w:szCs w:val="21"/>
          <w:color w:val="auto"/>
        </w:rPr>
        <w:t>. Tenant shall have three (3) options (each,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and the 765 Expansion Premises III, (b) the entire New Whole Building Premises, (c) the entire New Multiple Tenant Building Premises, (d) the Modified Additional Premises, (e) the Swap Premises, 765 Elevator Lobby Premises,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Elevator Lobby Premises and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(f) each full floor of the 755 Premises, (g) the 765 Expansion Premises, (h) the 765 Expansion Premises II, (i) C-Level Storage Spaces, (j) the 777 License Area Premises and the 777 S-Level Corridor Premises, (k) the 01 Premises and the Additional 01 Premises, (l) the 777-02 Premises and (m) the 765 Mezz Premises. If Tenant fails to exercise an Option with respect to less than all of the Premises and the time to do so has lapsed (or if a Retained Premises Early Termination, a termination pursuant to a Swap Premises Termination Option, or any other termination of a portion of the Premises pursuant to the Amended Lease has occurred), then Tenant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103" w:name="page104"/>
    <w:bookmarkEnd w:id="103"/>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shall no longer have an Option with respect to those portions of the Premises (y) for which it failed to exercise an Option, although Tenant’s Options for the remaining Premises shall remain in full force and effect or (z) that have terminated.</w:t>
      </w:r>
    </w:p>
    <w:p>
      <w:pPr>
        <w:spacing w:after="0" w:line="164" w:lineRule="exact"/>
        <w:rPr>
          <w:sz w:val="20"/>
          <w:szCs w:val="20"/>
          <w:color w:val="auto"/>
        </w:rPr>
      </w:pPr>
    </w:p>
    <w:p>
      <w:pPr>
        <w:jc w:val="both"/>
        <w:ind w:firstLine="8"/>
        <w:spacing w:after="0" w:line="222" w:lineRule="auto"/>
        <w:tabs>
          <w:tab w:leader="none" w:pos="81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10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Expansion Premises</w:t>
      </w:r>
      <w:r>
        <w:rPr>
          <w:rFonts w:ascii="Times New Roman" w:cs="Times New Roman" w:eastAsia="Times New Roman" w:hAnsi="Times New Roman"/>
          <w:sz w:val="22"/>
          <w:szCs w:val="22"/>
          <w:color w:val="auto"/>
        </w:rPr>
        <w:t>. Tenant acknowledges that, except as expressly set forth herein, neither Landlord nor any agent of Landlord has made any representation or warranty with respect to the condition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with respect to the suitability of the same for the conduct of Tenant’s business. Tenant acknowledges that it is generally familiar with the condition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(except that with respect to the Space License Premises, Tenant is fully familiar with and in possession of the Space License Premises) and agrees to take the same in its condition “as is” as of the applicable delivery date, except that (a) Landlord shall deliver the 777-02 Premises in broom clean condition, (b) Landlord shall perform the work required of Landlord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and (c) Landlord shall cure any breach of its representations set forth in this Section prior to such delivery date. Tenant’s taking possession of any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except as otherwise agreed to in writing by Landlord and Tenant, shall conclusively establish that such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was at such time in good, sanitary and satisfactory condition and repair. Notwithstanding the foregoing, Landlord represents and warrants to Tenant that (m)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the 765 Mezz Premises and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as of the Execution Date and (n) with respect to the 777-02 Premises, the 777 S-Level Corridor Premises, the 765 Expansion Premises III and the Additional 01 Premises, as of Landlord’s completion of the applicable Landlord Work, (y) the Building Systems serving the applicable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shall be in good working condition and that the same shall be serviced by Utilities and other base building services and (z) to the best of Landlord’s actual knowledge, any asbestos and asbestos containing materials in the applicable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shall have been abated (except for asbestos and asbestos containing materials in the 777-02 Premises that are the subject of the Abatement Work (as defined in </w:t>
      </w:r>
      <w:r>
        <w:rPr>
          <w:rFonts w:ascii="Times New Roman" w:cs="Times New Roman" w:eastAsia="Times New Roman" w:hAnsi="Times New Roman"/>
          <w:sz w:val="22"/>
          <w:szCs w:val="22"/>
          <w:u w:val="single" w:color="auto"/>
          <w:color w:val="auto"/>
        </w:rPr>
        <w:t>Section 6.1(e)</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with respect to the bathrooms servicing the 765 Mezz Premises and the Building Systems relating thereto, the foregoing representations and warranties shall be made as of Landlord’s completion of the 765 Mezz Premises Landlord Work. Tenant acknowledges that certain asbestos and asbestos containing materials exist in the 777-02 Premises and Tenant shall be responsible for abating the same in accordance with the Abatement Work.</w:t>
      </w:r>
    </w:p>
    <w:p>
      <w:pPr>
        <w:spacing w:after="0" w:line="211"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777-02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82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to the 777-02 Premises 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attached hereto at Landlord’s sole cost and expense (the “</w:t>
      </w:r>
      <w:r>
        <w:rPr>
          <w:rFonts w:ascii="Times New Roman" w:cs="Times New Roman" w:eastAsia="Times New Roman" w:hAnsi="Times New Roman"/>
          <w:sz w:val="22"/>
          <w:szCs w:val="22"/>
          <w:u w:val="single" w:color="auto"/>
          <w:color w:val="auto"/>
        </w:rPr>
        <w:t>777-02 Landlord Work</w:t>
      </w:r>
      <w:r>
        <w:rPr>
          <w:rFonts w:ascii="Times New Roman" w:cs="Times New Roman" w:eastAsia="Times New Roman" w:hAnsi="Times New Roman"/>
          <w:sz w:val="22"/>
          <w:szCs w:val="22"/>
          <w:color w:val="auto"/>
        </w:rPr>
        <w:t xml:space="preserve">”). Landlord shall commence the 777-02 Landlord Work as soon as practicable after the Execution Date and shall continue such work until completion. If Landlord has not substantially completed the 777-02 Landlord Work and tendered possession of the 777-02 Premises to Tenant in accordance with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 by the date that is four (4) months and fifteen (15) days after the Execution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104" w:name="page105"/>
    <w:bookmarkEnd w:id="104"/>
    <w:p>
      <w:pPr>
        <w:jc w:val="both"/>
        <w:spacing w:after="0" w:line="246" w:lineRule="auto"/>
        <w:rPr>
          <w:sz w:val="20"/>
          <w:szCs w:val="20"/>
          <w:color w:val="auto"/>
        </w:rPr>
      </w:pPr>
      <w:r>
        <w:rPr>
          <w:rFonts w:ascii="Times New Roman" w:cs="Times New Roman" w:eastAsia="Times New Roman" w:hAnsi="Times New Roman"/>
          <w:sz w:val="22"/>
          <w:szCs w:val="22"/>
          <w:color w:val="auto"/>
        </w:rPr>
        <w:t>Date, subject to extension as a result of Force Majeure and Tenant Delay (such date, as may be extended, the “</w:t>
      </w:r>
      <w:r>
        <w:rPr>
          <w:rFonts w:ascii="Times New Roman" w:cs="Times New Roman" w:eastAsia="Times New Roman" w:hAnsi="Times New Roman"/>
          <w:sz w:val="22"/>
          <w:szCs w:val="22"/>
          <w:u w:val="single" w:color="auto"/>
          <w:color w:val="auto"/>
        </w:rPr>
        <w:t>777-02 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 Deadline</w:t>
      </w:r>
      <w:r>
        <w:rPr>
          <w:rFonts w:ascii="Times New Roman" w:cs="Times New Roman" w:eastAsia="Times New Roman" w:hAnsi="Times New Roman"/>
          <w:sz w:val="22"/>
          <w:szCs w:val="22"/>
          <w:color w:val="auto"/>
        </w:rPr>
        <w:t xml:space="preserve">”), then the 777-02 Premises Basic Annual Rent Commencement Date (as defined below) shall be extended by one day for every day after the 777-02 Landlord Work Deadline that Landlord has not substantially completed the 777-02 Landlord Work and tendered possession of the 777-02 Premises to Tenant. If Landlord and Tenant cannot agree on whether Landlord has substantially completed the 777-02 Landlord Work or the items listed on the Punchlist generated by the parties pursuant to the protocol set forth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the Lease, then the written determination of the Neutral Architect shall govern, whose determination shall be final and binding upon the parties. For the avoidance of doubt, the Basic Annual Rent commencement extension described in this Section shall be in addition to (and not in lieu of) any Basic Annual Rent commencement extension described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w:t>
      </w:r>
    </w:p>
    <w:p>
      <w:pPr>
        <w:spacing w:after="0" w:line="192" w:lineRule="exact"/>
        <w:rPr>
          <w:sz w:val="20"/>
          <w:szCs w:val="20"/>
          <w:color w:val="auto"/>
        </w:rPr>
      </w:pPr>
    </w:p>
    <w:p>
      <w:pPr>
        <w:jc w:val="both"/>
        <w:ind w:firstLine="1305"/>
        <w:spacing w:after="0" w:line="251" w:lineRule="auto"/>
        <w:tabs>
          <w:tab w:leader="none" w:pos="18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Six Hundred Seven Thousand Four Hundred Twenty Five Dollars ($607,425) (based on Fifteen Dollars ($15) per square foot of Rentable Area of the 777-02 Premises) (the “</w:t>
      </w:r>
      <w:r>
        <w:rPr>
          <w:rFonts w:ascii="Times New Roman" w:cs="Times New Roman" w:eastAsia="Times New Roman" w:hAnsi="Times New Roman"/>
          <w:sz w:val="22"/>
          <w:szCs w:val="22"/>
          <w:u w:val="single" w:color="auto"/>
          <w:color w:val="auto"/>
        </w:rPr>
        <w:t>777-02 Premises Allowance</w:t>
      </w:r>
      <w:r>
        <w:rPr>
          <w:rFonts w:ascii="Times New Roman" w:cs="Times New Roman" w:eastAsia="Times New Roman" w:hAnsi="Times New Roman"/>
          <w:sz w:val="22"/>
          <w:szCs w:val="22"/>
          <w:color w:val="auto"/>
        </w:rPr>
        <w:t>”) for Tenant’s performance of its improvements to the 777-02 Premises (the “</w:t>
      </w:r>
      <w:r>
        <w:rPr>
          <w:rFonts w:ascii="Times New Roman" w:cs="Times New Roman" w:eastAsia="Times New Roman" w:hAnsi="Times New Roman"/>
          <w:sz w:val="22"/>
          <w:szCs w:val="22"/>
          <w:u w:val="single" w:color="auto"/>
          <w:color w:val="auto"/>
        </w:rPr>
        <w:t>777-02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Tenant Work</w:t>
      </w:r>
      <w:r>
        <w:rPr>
          <w:rFonts w:ascii="Times New Roman" w:cs="Times New Roman" w:eastAsia="Times New Roman" w:hAnsi="Times New Roman"/>
          <w:sz w:val="22"/>
          <w:szCs w:val="22"/>
          <w:color w:val="auto"/>
        </w:rPr>
        <w:t xml:space="preserve">”). The 777-02 Premises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aforesaid improvements to the 777-02 Premises. Tenant shall be responsible for performing and completing the 777-02 Tenant Work.</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1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Two Hundred Three Thousand Dollars ($203,000), based on Seven Thousand Dollars ($7,000) per variable air volume box (the “</w:t>
      </w:r>
      <w:r>
        <w:rPr>
          <w:rFonts w:ascii="Times New Roman" w:cs="Times New Roman" w:eastAsia="Times New Roman" w:hAnsi="Times New Roman"/>
          <w:sz w:val="22"/>
          <w:szCs w:val="22"/>
          <w:u w:val="single" w:color="auto"/>
          <w:color w:val="auto"/>
        </w:rPr>
        <w:t>VAV Allowance</w:t>
      </w:r>
      <w:r>
        <w:rPr>
          <w:rFonts w:ascii="Times New Roman" w:cs="Times New Roman" w:eastAsia="Times New Roman" w:hAnsi="Times New Roman"/>
          <w:sz w:val="22"/>
          <w:szCs w:val="22"/>
          <w:color w:val="auto"/>
        </w:rPr>
        <w:t xml:space="preserve">”), for Tenant’s performance of its improvements to the 777-02 Premises listed in Item 1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VAV Work</w:t>
      </w:r>
      <w:r>
        <w:rPr>
          <w:rFonts w:ascii="Times New Roman" w:cs="Times New Roman" w:eastAsia="Times New Roman" w:hAnsi="Times New Roman"/>
          <w:sz w:val="22"/>
          <w:szCs w:val="22"/>
          <w:color w:val="auto"/>
        </w:rPr>
        <w:t xml:space="preserve">”). The VAV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VAV Work. Tenant shall be responsible for performing and completing the VAV Work.</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1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One Hundred Forty Thousand Dollars ($140,000) (the “</w:t>
      </w:r>
      <w:r>
        <w:rPr>
          <w:rFonts w:ascii="Times New Roman" w:cs="Times New Roman" w:eastAsia="Times New Roman" w:hAnsi="Times New Roman"/>
          <w:sz w:val="22"/>
          <w:szCs w:val="22"/>
          <w:u w:val="single" w:color="auto"/>
          <w:color w:val="auto"/>
        </w:rPr>
        <w:t>Fintube Allowance</w:t>
      </w:r>
      <w:r>
        <w:rPr>
          <w:rFonts w:ascii="Times New Roman" w:cs="Times New Roman" w:eastAsia="Times New Roman" w:hAnsi="Times New Roman"/>
          <w:sz w:val="22"/>
          <w:szCs w:val="22"/>
          <w:color w:val="auto"/>
        </w:rPr>
        <w:t xml:space="preserve">”), for Tenant’s performance of its improvements to the 777-02 Premises listed in Item 2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Fintube Work</w:t>
      </w:r>
      <w:r>
        <w:rPr>
          <w:rFonts w:ascii="Times New Roman" w:cs="Times New Roman" w:eastAsia="Times New Roman" w:hAnsi="Times New Roman"/>
          <w:sz w:val="22"/>
          <w:szCs w:val="22"/>
          <w:color w:val="auto"/>
        </w:rPr>
        <w:t xml:space="preserve">”). The Fintube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Fintube Work. Tenant shall be responsible for performing and completing the Fintube Work.</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reimburse Tenant for the cost of the work to the 777-02 Premises listed as Item 3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Abatement Work</w:t>
      </w:r>
      <w:r>
        <w:rPr>
          <w:rFonts w:ascii="Times New Roman" w:cs="Times New Roman" w:eastAsia="Times New Roman" w:hAnsi="Times New Roman"/>
          <w:sz w:val="22"/>
          <w:szCs w:val="22"/>
          <w:color w:val="auto"/>
        </w:rPr>
        <w:t xml:space="preserve">”). Any reimbursement for the Abatement Work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Tenant shall be responsible for performing and completing the Abatement Work.</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777 S-Level Corridor Premises</w:t>
      </w:r>
      <w:r>
        <w:rPr>
          <w:rFonts w:ascii="Times New Roman" w:cs="Times New Roman" w:eastAsia="Times New Roman" w:hAnsi="Times New Roman"/>
          <w:sz w:val="22"/>
          <w:szCs w:val="22"/>
          <w:color w:val="auto"/>
        </w:rPr>
        <w:t xml:space="preserve">. Landlord shall perform the improvements to the 777 S-Level Corridor Premises set forth on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attached hereto at Landlord’s sole cost and expense (the “</w:t>
      </w:r>
      <w:r>
        <w:rPr>
          <w:rFonts w:ascii="Times New Roman" w:cs="Times New Roman" w:eastAsia="Times New Roman" w:hAnsi="Times New Roman"/>
          <w:sz w:val="22"/>
          <w:szCs w:val="22"/>
          <w:u w:val="single" w:color="auto"/>
          <w:color w:val="auto"/>
        </w:rPr>
        <w:t>777 S-Level Corridor Landlord Work</w:t>
      </w:r>
      <w:r>
        <w:rPr>
          <w:rFonts w:ascii="Times New Roman" w:cs="Times New Roman" w:eastAsia="Times New Roman" w:hAnsi="Times New Roman"/>
          <w:sz w:val="22"/>
          <w:szCs w:val="22"/>
          <w:color w:val="auto"/>
        </w:rPr>
        <w:t>”). Landlord shall commence the 777 S-Level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105" w:name="page106"/>
    <w:bookmarkEnd w:id="105"/>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Corridor Landlord Work as soon as practicable after the Execution Date and shall continue such work until completion. If Landlord has not substantially completed the 777 S-Level Corridor Landlord Work and tendered possession of the 777 S-Level Corridor Premises to Tenant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by the date that is four (4) months and fifteen (15) days after the Execution Date, subject to extension as a result of Force Majeure and Tenant Delay (such date, as may be extended, the “</w:t>
      </w:r>
      <w:r>
        <w:rPr>
          <w:rFonts w:ascii="Times New Roman" w:cs="Times New Roman" w:eastAsia="Times New Roman" w:hAnsi="Times New Roman"/>
          <w:sz w:val="22"/>
          <w:szCs w:val="22"/>
          <w:u w:val="single" w:color="auto"/>
          <w:color w:val="auto"/>
        </w:rPr>
        <w:t>777 S-Level Corridor Landlord Work Deadline</w:t>
      </w:r>
      <w:r>
        <w:rPr>
          <w:rFonts w:ascii="Times New Roman" w:cs="Times New Roman" w:eastAsia="Times New Roman" w:hAnsi="Times New Roman"/>
          <w:sz w:val="22"/>
          <w:szCs w:val="22"/>
          <w:color w:val="auto"/>
        </w:rPr>
        <w:t xml:space="preserve">”), then the 777 S-Level Corridor Premises Basic Annual Rent Commencement Date (as defined below) shall be extended by one day for every day after the 777 S-Level Corridor Landlord Work Deadline that Landlord has not substantially completed the 777 S-Level Corridor Landlord Work and tendered possession of the 777 S-Level Corridor Premises to Tenant. If Landlord and Tenant cannot agree on whether Landlord has substantially completed the 777 S-Level Corridor Landlord Work or the items listed on the Punchlist generated by the parties pursuant to the protocol set forth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of the Lease, then the written determination of the Neutral Architect shall govern, whose determination shall be final and binding upon the parties.</w:t>
      </w:r>
    </w:p>
    <w:p>
      <w:pPr>
        <w:spacing w:after="0" w:line="18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765 Mezz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81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to the bathrooms adjacent to the 765 Mezz Premises set forth on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attached hereto at Landlord’s sole cost and expense (the “</w:t>
      </w:r>
      <w:r>
        <w:rPr>
          <w:rFonts w:ascii="Times New Roman" w:cs="Times New Roman" w:eastAsia="Times New Roman" w:hAnsi="Times New Roman"/>
          <w:sz w:val="22"/>
          <w:szCs w:val="22"/>
          <w:u w:val="single" w:color="auto"/>
          <w:color w:val="auto"/>
        </w:rPr>
        <w:t>765 Mezz Landlord Work</w:t>
      </w:r>
      <w:r>
        <w:rPr>
          <w:rFonts w:ascii="Times New Roman" w:cs="Times New Roman" w:eastAsia="Times New Roman" w:hAnsi="Times New Roman"/>
          <w:sz w:val="22"/>
          <w:szCs w:val="22"/>
          <w:color w:val="auto"/>
        </w:rPr>
        <w:t>”). Landlord shall commence the 765 Mezz Landlord Work as soon as practicable after the Execution Date and shall continue such work until complete. If Landlord has not substantially completed the 765 Mezz Landlord Work by the date that is nine (9) months and fifteen (15) days after the Execution Date, subject to extension as a result of Force Majeure and Tenant Delay (such date, as may be extended, the “</w:t>
      </w:r>
      <w:r>
        <w:rPr>
          <w:rFonts w:ascii="Times New Roman" w:cs="Times New Roman" w:eastAsia="Times New Roman" w:hAnsi="Times New Roman"/>
          <w:sz w:val="22"/>
          <w:szCs w:val="22"/>
          <w:u w:val="single" w:color="auto"/>
          <w:color w:val="auto"/>
        </w:rPr>
        <w:t>765 Mezz</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Landlord Work Deadline</w:t>
      </w:r>
      <w:r>
        <w:rPr>
          <w:rFonts w:ascii="Times New Roman" w:cs="Times New Roman" w:eastAsia="Times New Roman" w:hAnsi="Times New Roman"/>
          <w:sz w:val="22"/>
          <w:szCs w:val="22"/>
          <w:color w:val="auto"/>
        </w:rPr>
        <w:t xml:space="preserve">”), then the 765 Mezz Premises Basic Annual Rent Commencement Date (as defined below) shall be extended by one day for every day after the 765 Mezz Landlord Work Deadline that substantial completion of the 765 Mezz Landlord Work has not occurred. If Landlord and Tenant cannot agree on whether Landlord has substantially completed the 765 Mezz Landlord Work or the items listed on the Punchlist generated by the parties pursuant to the protocol set forth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of the Lease, then the written determination of the Neutral Architect shall govern, whose determination shall be final and binding upon the parties.</w:t>
      </w:r>
    </w:p>
    <w:p>
      <w:pPr>
        <w:spacing w:after="0" w:line="188"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Four Hundred Eighty-Seven Thousand Seven Hundred Eighty-Five Dollars ($487,785) (based on Fifteen Dollars ($15) per square foot of Rentable Area of the 765 Mezz Premises) (the “</w:t>
      </w:r>
      <w:r>
        <w:rPr>
          <w:rFonts w:ascii="Times New Roman" w:cs="Times New Roman" w:eastAsia="Times New Roman" w:hAnsi="Times New Roman"/>
          <w:sz w:val="22"/>
          <w:szCs w:val="22"/>
          <w:u w:val="single" w:color="auto"/>
          <w:color w:val="auto"/>
        </w:rPr>
        <w:t>765 Mezz Premises Allowance</w:t>
      </w:r>
      <w:r>
        <w:rPr>
          <w:rFonts w:ascii="Times New Roman" w:cs="Times New Roman" w:eastAsia="Times New Roman" w:hAnsi="Times New Roman"/>
          <w:sz w:val="22"/>
          <w:szCs w:val="22"/>
          <w:color w:val="auto"/>
        </w:rPr>
        <w:t>”) for Tenant’s performance of its improvements to the 765 Mezz Premises (the “</w:t>
      </w:r>
      <w:r>
        <w:rPr>
          <w:rFonts w:ascii="Times New Roman" w:cs="Times New Roman" w:eastAsia="Times New Roman" w:hAnsi="Times New Roman"/>
          <w:sz w:val="22"/>
          <w:szCs w:val="22"/>
          <w:u w:val="single" w:color="auto"/>
          <w:color w:val="auto"/>
        </w:rPr>
        <w:t>765 Mezz Tenant Work</w:t>
      </w:r>
      <w:r>
        <w:rPr>
          <w:rFonts w:ascii="Times New Roman" w:cs="Times New Roman" w:eastAsia="Times New Roman" w:hAnsi="Times New Roman"/>
          <w:sz w:val="22"/>
          <w:szCs w:val="22"/>
          <w:color w:val="auto"/>
        </w:rPr>
        <w:t xml:space="preserve">”). The 765 Mezz Premises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aforesaid improvements to the 765 Mezz Premises. Tenant shall be responsible for performing and completing the 765 Mezz Tenant Work.</w:t>
      </w:r>
    </w:p>
    <w:p>
      <w:pPr>
        <w:spacing w:after="0" w:line="1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765 Expansion Premises III</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9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to the 765 Expansion Premises III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attached hereto at Landlord’s sole cost and expense (the “</w:t>
      </w:r>
      <w:r>
        <w:rPr>
          <w:rFonts w:ascii="Times New Roman" w:cs="Times New Roman" w:eastAsia="Times New Roman" w:hAnsi="Times New Roman"/>
          <w:sz w:val="22"/>
          <w:szCs w:val="22"/>
          <w:u w:val="single" w:color="auto"/>
          <w:color w:val="auto"/>
        </w:rPr>
        <w:t>765 Expansion Premises III Landlord Work</w:t>
      </w:r>
      <w:r>
        <w:rPr>
          <w:rFonts w:ascii="Times New Roman" w:cs="Times New Roman" w:eastAsia="Times New Roman" w:hAnsi="Times New Roman"/>
          <w:sz w:val="22"/>
          <w:szCs w:val="22"/>
          <w:color w:val="auto"/>
        </w:rPr>
        <w:t>”). Landlord shall commence the 765 Expansion Premises III Landlord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106" w:name="page107"/>
    <w:bookmarkEnd w:id="106"/>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Work as soon as practicable after the Execution Date and shall continue such work until complete. If Landlord has not substantially completed the 765 Expansion Premises III Landlord Work and tendered possession of the 765 Expansion Premises III to Tenant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 by the date that is two (2) months and fifteen (15) days after the Execution Date, subject to extension as a result of Force Majeure and Tenant Delay (such date, as may be extended, the “</w:t>
      </w:r>
      <w:r>
        <w:rPr>
          <w:rFonts w:ascii="Times New Roman" w:cs="Times New Roman" w:eastAsia="Times New Roman" w:hAnsi="Times New Roman"/>
          <w:sz w:val="22"/>
          <w:szCs w:val="22"/>
          <w:u w:val="single" w:color="auto"/>
          <w:color w:val="auto"/>
        </w:rPr>
        <w:t>765 Expansion Premises III 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 Deadline</w:t>
      </w:r>
      <w:r>
        <w:rPr>
          <w:rFonts w:ascii="Times New Roman" w:cs="Times New Roman" w:eastAsia="Times New Roman" w:hAnsi="Times New Roman"/>
          <w:sz w:val="22"/>
          <w:szCs w:val="22"/>
          <w:color w:val="auto"/>
        </w:rPr>
        <w:t xml:space="preserve">”), then the 765 Expansion Premises III Basic Annual Rent Commencement Date (as defined below) shall be extended by one day for every day after the 765 Expansion Premises III Landlord Work Deadline that Landlord has not substantially completed the 765 Expansion Premises III Landlord Work and tendered possession of the 765 Expansion Premises III to Tenant. If Landlord and Tenant cannot agree on whether Landlord has substantially completed the 765 Expansion Premises III Landlord Work or the items listed on the Punchlist generated by the parties pursuant to the protocol set forth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the Lease, then the written determination of the Neutral Architect shall govern, whose determination shall be final and binding upon the parties.</w:t>
      </w:r>
    </w:p>
    <w:p>
      <w:pPr>
        <w:spacing w:after="0" w:line="186" w:lineRule="exact"/>
        <w:rPr>
          <w:sz w:val="20"/>
          <w:szCs w:val="20"/>
          <w:color w:val="auto"/>
        </w:rPr>
      </w:pPr>
    </w:p>
    <w:p>
      <w:pPr>
        <w:jc w:val="both"/>
        <w:ind w:firstLine="1305"/>
        <w:spacing w:after="0" w:line="250" w:lineRule="auto"/>
        <w:tabs>
          <w:tab w:leader="none" w:pos="186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Twenty-Six Thousand Three Hundred Fifty Dollars ($26,350) (based on Twenty-Five Dollars ($25) per square foot of Rentable Area of the 765 Expansion Premises III) (the “</w:t>
      </w:r>
      <w:r>
        <w:rPr>
          <w:rFonts w:ascii="Times New Roman" w:cs="Times New Roman" w:eastAsia="Times New Roman" w:hAnsi="Times New Roman"/>
          <w:sz w:val="22"/>
          <w:szCs w:val="22"/>
          <w:u w:val="single" w:color="auto"/>
          <w:color w:val="auto"/>
        </w:rPr>
        <w:t>765 Expansion Premises III Allowance</w:t>
      </w:r>
      <w:r>
        <w:rPr>
          <w:rFonts w:ascii="Times New Roman" w:cs="Times New Roman" w:eastAsia="Times New Roman" w:hAnsi="Times New Roman"/>
          <w:sz w:val="22"/>
          <w:szCs w:val="22"/>
          <w:color w:val="auto"/>
        </w:rPr>
        <w:t>”) for Tenant’s performance of its improvements to the 765 Expansion Premises III (the “</w:t>
      </w:r>
      <w:r>
        <w:rPr>
          <w:rFonts w:ascii="Times New Roman" w:cs="Times New Roman" w:eastAsia="Times New Roman" w:hAnsi="Times New Roman"/>
          <w:sz w:val="22"/>
          <w:szCs w:val="22"/>
          <w:u w:val="single" w:color="auto"/>
          <w:color w:val="auto"/>
        </w:rPr>
        <w:t>765 Expansion Premises III Tenant Work</w:t>
      </w:r>
      <w:r>
        <w:rPr>
          <w:rFonts w:ascii="Times New Roman" w:cs="Times New Roman" w:eastAsia="Times New Roman" w:hAnsi="Times New Roman"/>
          <w:sz w:val="22"/>
          <w:szCs w:val="22"/>
          <w:color w:val="auto"/>
        </w:rPr>
        <w:t xml:space="preserve">”). The 765 Expansion Premises III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aforesaid improvements to the 765 Expansion Premises III. Tenant shall be responsible for performing and completing the 765 Expansion Premises III Tenant Work.</w:t>
      </w:r>
    </w:p>
    <w:p>
      <w:pPr>
        <w:spacing w:after="0" w:line="1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Additional 01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73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to the Additional 01 Premises set forth on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attached hereto at Landlord’s sole cost and expense (the “</w:t>
      </w:r>
      <w:r>
        <w:rPr>
          <w:rFonts w:ascii="Times New Roman" w:cs="Times New Roman" w:eastAsia="Times New Roman" w:hAnsi="Times New Roman"/>
          <w:sz w:val="22"/>
          <w:szCs w:val="22"/>
          <w:u w:val="single" w:color="auto"/>
          <w:color w:val="auto"/>
        </w:rPr>
        <w:t>Additional 01 Landlord Work</w:t>
      </w:r>
      <w:r>
        <w:rPr>
          <w:rFonts w:ascii="Times New Roman" w:cs="Times New Roman" w:eastAsia="Times New Roman" w:hAnsi="Times New Roman"/>
          <w:sz w:val="22"/>
          <w:szCs w:val="22"/>
          <w:color w:val="auto"/>
        </w:rPr>
        <w:t xml:space="preserve">”). Landlord shall commence the Additional 01 Landlord Work as soon as practicable after the Execution Date and shall continue such work until completion. If Landlord has not substantially completed the Additional 01 Landlord Work and tendered possession of the Additional 01 Premises to Tenant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hereof by the date that is four (4) weeks after the Execution Date, subject to extension as a result of Force Majeure and Tenant Delay (such date, as may be extended, the “</w:t>
      </w:r>
      <w:r>
        <w:rPr>
          <w:rFonts w:ascii="Times New Roman" w:cs="Times New Roman" w:eastAsia="Times New Roman" w:hAnsi="Times New Roman"/>
          <w:sz w:val="22"/>
          <w:szCs w:val="22"/>
          <w:u w:val="single" w:color="auto"/>
          <w:color w:val="auto"/>
        </w:rPr>
        <w:t>Additional 01 Landlord Work Deadline</w:t>
      </w:r>
      <w:r>
        <w:rPr>
          <w:rFonts w:ascii="Times New Roman" w:cs="Times New Roman" w:eastAsia="Times New Roman" w:hAnsi="Times New Roman"/>
          <w:sz w:val="22"/>
          <w:szCs w:val="22"/>
          <w:color w:val="auto"/>
        </w:rPr>
        <w:t xml:space="preserve">”), then the Additional 01 Premises Basic Annual Rent Commencement Date (as defined below) shall be extended by one day for every day after the Additional 01 Landlord Work Deadline that Landlord has not substantially completed the Additional 01 Landlord Work and tendered possession of the Additional 01 Premises to Tenant. If Landlord and Tenant cannot agree on whether Landlord has substantially completed the Additional 01 Landlord Work or the items listed on the Punchlist generated by the parties pursuant to the protocol set forth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the Lease, then the written determination of the Neutral Architect shall govern, whose determination shall be final and binding upon the parties.</w:t>
      </w:r>
    </w:p>
    <w:p>
      <w:pPr>
        <w:spacing w:after="0" w:line="184" w:lineRule="exact"/>
        <w:rPr>
          <w:rFonts w:ascii="Times New Roman" w:cs="Times New Roman" w:eastAsia="Times New Roman" w:hAnsi="Times New Roman"/>
          <w:sz w:val="22"/>
          <w:szCs w:val="22"/>
          <w:color w:val="auto"/>
        </w:rPr>
      </w:pPr>
    </w:p>
    <w:p>
      <w:pPr>
        <w:ind w:firstLine="1305"/>
        <w:spacing w:after="0" w:line="284" w:lineRule="auto"/>
        <w:tabs>
          <w:tab w:leader="none" w:pos="18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make available to Tenant a tenant improvement allowance of Twenty-Five Thousand One Hundred Twenty-Five Dollars ($25,125) (based on Fifteen Dollars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107" w:name="page108"/>
    <w:bookmarkEnd w:id="107"/>
    <w:p>
      <w:pPr>
        <w:jc w:val="both"/>
        <w:spacing w:after="0" w:line="250" w:lineRule="auto"/>
        <w:rPr>
          <w:sz w:val="20"/>
          <w:szCs w:val="20"/>
          <w:color w:val="auto"/>
        </w:rPr>
      </w:pPr>
      <w:r>
        <w:rPr>
          <w:rFonts w:ascii="Times New Roman" w:cs="Times New Roman" w:eastAsia="Times New Roman" w:hAnsi="Times New Roman"/>
          <w:sz w:val="22"/>
          <w:szCs w:val="22"/>
          <w:color w:val="auto"/>
        </w:rPr>
        <w:t>($15) per square foot of Rentable Area of the Additional 01 Premises) (the “</w:t>
      </w:r>
      <w:r>
        <w:rPr>
          <w:rFonts w:ascii="Times New Roman" w:cs="Times New Roman" w:eastAsia="Times New Roman" w:hAnsi="Times New Roman"/>
          <w:sz w:val="22"/>
          <w:szCs w:val="22"/>
          <w:u w:val="single" w:color="auto"/>
          <w:color w:val="auto"/>
        </w:rPr>
        <w:t>Additional 01 Premises Allowance</w:t>
      </w:r>
      <w:r>
        <w:rPr>
          <w:rFonts w:ascii="Times New Roman" w:cs="Times New Roman" w:eastAsia="Times New Roman" w:hAnsi="Times New Roman"/>
          <w:sz w:val="22"/>
          <w:szCs w:val="22"/>
          <w:color w:val="auto"/>
        </w:rPr>
        <w:t>”) for Tenant’s performance of its improvements to the Additional 01 Premises (the “</w:t>
      </w:r>
      <w:r>
        <w:rPr>
          <w:rFonts w:ascii="Times New Roman" w:cs="Times New Roman" w:eastAsia="Times New Roman" w:hAnsi="Times New Roman"/>
          <w:sz w:val="22"/>
          <w:szCs w:val="22"/>
          <w:u w:val="single" w:color="auto"/>
          <w:color w:val="auto"/>
        </w:rPr>
        <w:t>Additional 01 Tenant Work</w:t>
      </w:r>
      <w:r>
        <w:rPr>
          <w:rFonts w:ascii="Times New Roman" w:cs="Times New Roman" w:eastAsia="Times New Roman" w:hAnsi="Times New Roman"/>
          <w:sz w:val="22"/>
          <w:szCs w:val="22"/>
          <w:color w:val="auto"/>
        </w:rPr>
        <w:t xml:space="preserve">”). The Additional 01 Premises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aforesaid improvements to the Additional 01 Premises. Tenant shall be responsible for performing and completing the Additional 01 Tenant Work.</w:t>
      </w:r>
    </w:p>
    <w:p>
      <w:pPr>
        <w:spacing w:after="0" w:line="18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6.6. For purposes of this Amendment, “</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substantially complete</w:t>
      </w:r>
      <w:r>
        <w:rPr>
          <w:rFonts w:ascii="Times New Roman" w:cs="Times New Roman" w:eastAsia="Times New Roman" w:hAnsi="Times New Roman"/>
          <w:sz w:val="22"/>
          <w:szCs w:val="22"/>
          <w:color w:val="auto"/>
        </w:rPr>
        <w:t>” means that Landlord has completed all of the applicable Landlord Work, except for minor and insubstantial details of construction that do not, except in a de minimis manner, interfere with Tenant’s performance of improvements to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in accordance with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Notwithstanding anything in this Amended Lease to the contrary, Landlord’s obligation to timely achieve substantial completion of any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shall be subject to extension on a day-for-day basis as a result of Force Majeure and Tenant Delay. For purposes of this Amendment, “</w:t>
      </w:r>
      <w:r>
        <w:rPr>
          <w:rFonts w:ascii="Times New Roman" w:cs="Times New Roman" w:eastAsia="Times New Roman" w:hAnsi="Times New Roman"/>
          <w:sz w:val="22"/>
          <w:szCs w:val="22"/>
          <w:u w:val="single" w:color="auto"/>
          <w:color w:val="auto"/>
        </w:rPr>
        <w:t>Tenant Delay</w:t>
      </w:r>
      <w:r>
        <w:rPr>
          <w:rFonts w:ascii="Times New Roman" w:cs="Times New Roman" w:eastAsia="Times New Roman" w:hAnsi="Times New Roman"/>
          <w:sz w:val="22"/>
          <w:szCs w:val="22"/>
          <w:color w:val="auto"/>
        </w:rPr>
        <w:t>” means any delays due to (a) any changes to Landlord Work requested by Tenant and (b) any other act or failure to act by Tenant, Tenant’s employees, agents, architects, independent contractors, consultants and/or any other person performing or required to perform services on behalf of Tenant which, in either case, delays (but only to the extent (a) or (b) actually delays) Landlord’s performance of the applicable Landlord Work or Landlord’s delivery of possession of the applicable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No such Tenant Delay shall be deemed to have commenced unless Tenant shall have failed to cure the same within two (2) business days after Tenant’s receipt of written notice thereof from Landlord.</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6.7. Notwithstanding anything in </w:t>
      </w:r>
      <w:r>
        <w:rPr>
          <w:rFonts w:ascii="Times New Roman" w:cs="Times New Roman" w:eastAsia="Times New Roman" w:hAnsi="Times New Roman"/>
          <w:sz w:val="22"/>
          <w:szCs w:val="22"/>
          <w:u w:val="single" w:color="auto"/>
          <w:color w:val="auto"/>
        </w:rPr>
        <w:t>Section 18.10</w:t>
      </w:r>
      <w:r>
        <w:rPr>
          <w:rFonts w:ascii="Times New Roman" w:cs="Times New Roman" w:eastAsia="Times New Roman" w:hAnsi="Times New Roman"/>
          <w:sz w:val="22"/>
          <w:szCs w:val="22"/>
          <w:color w:val="auto"/>
        </w:rPr>
        <w:t xml:space="preserve"> of the Lease to the contrary, Tenant shall pay Landlord a construction oversight fee of two and one-half percent (2.5%) of the total cost of each portion of Tenant Work (as defined below) and other improvements performed using any Allowance (as defined below), which construction oversight fee may be paid out of the applicable Allowance;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Tenant shall not be required to pay such construction oversight fee for the VAV Work, the Fintube Work and the Abatement Work.</w:t>
      </w:r>
    </w:p>
    <w:p>
      <w:pPr>
        <w:spacing w:after="0" w:line="17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6.8. To the extent required by Applicable Laws, Tenant shall deliver (or cause to be delivered) to Landlord a certificate of occupancy for all portions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suitable for the Permitted Use.</w:t>
      </w:r>
    </w:p>
    <w:p>
      <w:pPr>
        <w:spacing w:after="0" w:line="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6.9. Collectively and individually the 777-02 Landlord Work, 777 S-Level Corridor Premises Landlord Work, 765 Mezz Landlord Work, 765 Expansion Premises III Landlord Work and the Additional 01 Landlord Work may be referred to as the “</w:t>
      </w:r>
      <w:r>
        <w:rPr>
          <w:rFonts w:ascii="Times New Roman" w:cs="Times New Roman" w:eastAsia="Times New Roman" w:hAnsi="Times New Roman"/>
          <w:sz w:val="22"/>
          <w:szCs w:val="22"/>
          <w:u w:val="single" w:color="auto"/>
          <w:color w:val="auto"/>
        </w:rPr>
        <w:t>Landlord Work</w:t>
      </w:r>
      <w:r>
        <w:rPr>
          <w:rFonts w:ascii="Times New Roman" w:cs="Times New Roman" w:eastAsia="Times New Roman" w:hAnsi="Times New Roman"/>
          <w:sz w:val="22"/>
          <w:szCs w:val="22"/>
          <w:color w:val="auto"/>
        </w:rPr>
        <w:t>.” Collectively and individually the 777-02 Tenant Work, VAV Work, Fintube Work, Abatement Work, 765 Mezz Tenant Work, 765 Expansion Premises III Tenant Work and the Additional 01 Tenant Work may be referred to as the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 Collectively and individually the 777-02 Premises Allowance, VAV Allowance, Fintube Allowance, 765 Mezz Premises Allowance, 765 Expansion Premises III Allowance and the Additional 01 Premises Allowance may be referred to as an “</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6.10. All Tenant Work shall be performed in accordance with the applicable provisions of the Lease, including the applicable provisions of </w:t>
      </w:r>
      <w:r>
        <w:rPr>
          <w:rFonts w:ascii="Times New Roman" w:cs="Times New Roman" w:eastAsia="Times New Roman" w:hAnsi="Times New Roman"/>
          <w:sz w:val="22"/>
          <w:szCs w:val="22"/>
          <w:u w:val="single" w:color="auto"/>
          <w:color w:val="auto"/>
        </w:rPr>
        <w:t>Articles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provided, however, if there is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108" w:name="page109"/>
    <w:bookmarkEnd w:id="10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 conflict between the terms of the Lease and the terms of this Amendment, then the terms of this Amendment shall control. Landlord and Tenant acknowledge that the Work Letter is not applicable to the Tenant Work; provided, however, that (a) prior to commencing performance of any of the Tenant Work, Tenant shall furnish to Landlord evidence satisfactory to Landlord that insurance coverages required of Tenant under the Work Letter are in effect with respect to the Tenant Work and (b) Tenant assumes the responsibility and liability in connection with the Tenant Work in the same manner as set forth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Work Letter.</w:t>
      </w:r>
    </w:p>
    <w:p>
      <w:pPr>
        <w:spacing w:after="0" w:line="18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6.11. Notwithstanding anything to the contrary in the Amended Lease, including this Amendment, any Allowance may be used by Tenant for Tenant improvements in any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regardless of whether such Allowance was made available to Tenant with respect to a specific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Expansion Premises. Tenant shall have until the day that is five (5) years after the Execution Date (the “</w:t>
      </w:r>
      <w:r>
        <w:rPr>
          <w:rFonts w:ascii="Times New Roman" w:cs="Times New Roman" w:eastAsia="Times New Roman" w:hAnsi="Times New Roman"/>
          <w:sz w:val="22"/>
          <w:szCs w:val="22"/>
          <w:u w:val="single" w:color="auto"/>
          <w:color w:val="auto"/>
        </w:rPr>
        <w:t>Allowance Deadline</w:t>
      </w:r>
      <w:r>
        <w:rPr>
          <w:rFonts w:ascii="Times New Roman" w:cs="Times New Roman" w:eastAsia="Times New Roman" w:hAnsi="Times New Roman"/>
          <w:sz w:val="22"/>
          <w:szCs w:val="22"/>
          <w:color w:val="auto"/>
        </w:rPr>
        <w:t xml:space="preserve">”), to submit a disbursement request with all applicable documentation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for the unused portion of the Allowance, after which date Landlord’s obligation to fund such costs shall expire. In no event shall any unused Allowance entitle Tenant to a credit against Rent payable under the Amended Lease.</w:t>
      </w:r>
    </w:p>
    <w:p>
      <w:pPr>
        <w:spacing w:after="0" w:line="184" w:lineRule="exact"/>
        <w:rPr>
          <w:sz w:val="20"/>
          <w:szCs w:val="20"/>
          <w:color w:val="auto"/>
        </w:rPr>
      </w:pPr>
    </w:p>
    <w:p>
      <w:pPr>
        <w:jc w:val="both"/>
        <w:ind w:firstLine="8"/>
        <w:spacing w:after="0" w:line="253" w:lineRule="auto"/>
        <w:tabs>
          <w:tab w:leader="none" w:pos="81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Early Access</w:t>
      </w:r>
      <w:r>
        <w:rPr>
          <w:rFonts w:ascii="Times New Roman" w:cs="Times New Roman" w:eastAsia="Times New Roman" w:hAnsi="Times New Roman"/>
          <w:sz w:val="21"/>
          <w:szCs w:val="21"/>
          <w:color w:val="auto"/>
        </w:rPr>
        <w:t>. Landlord shall grant Tenant, at no cost to Tenant, (a) access to all portions of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Amendment Expansion Premises, except the 777-02 Premises, the 765 Expansion Premises III and the Additional 01 Premises, within thirty (30) days after the Execution Date, (b) access to the Additional 01 Premises on the Execution Date (c) access to the 765 Expansion Premises III upon substantial completion of the 765 Expansion Premises III Landlord Work and (d) access to the 777-02 Premises on the later of (i) five (5) business days after the last Vacating Tenant vacates the applicable portion of the 777-02 Premises and (ii) the date that is three (3) months after the Execution Date, in each case in order for Tenant to commence construction of the applicable Tenant Work and in each case subject to extension as a result of Force Majeure and Tenant Delay. Landlord and Tenant shall reasonably cooperate with each other so as not to impede the other’s work on the Landlord Work or the Tenant Work, as applicable. In the event that Landlord does not permit Tenant such early access to the entire 777-02 Premises by April 1, 2013, subject to extension as a result of Force Majeure and Tenant Delay (the “</w:t>
      </w:r>
      <w:r>
        <w:rPr>
          <w:rFonts w:ascii="Times New Roman" w:cs="Times New Roman" w:eastAsia="Times New Roman" w:hAnsi="Times New Roman"/>
          <w:sz w:val="21"/>
          <w:szCs w:val="21"/>
          <w:u w:val="single" w:color="auto"/>
          <w:color w:val="auto"/>
        </w:rPr>
        <w:t>Vacating Tenant Deadline</w:t>
      </w:r>
      <w:r>
        <w:rPr>
          <w:rFonts w:ascii="Times New Roman" w:cs="Times New Roman" w:eastAsia="Times New Roman" w:hAnsi="Times New Roman"/>
          <w:sz w:val="21"/>
          <w:szCs w:val="21"/>
          <w:color w:val="auto"/>
        </w:rPr>
        <w:t xml:space="preserve">”), then the 777-02 Premises Basic Annual Rent Commencement Date shall be extended by one day for every day after the Vacating Tenant Deadline that access has not been provided. For the avoidance of doubt, the Basic Annual Rent commencement extension described in this Section shall be in addition to (and not in lieu of) any Basic Annual Rent commencement extension described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hereof.</w:t>
      </w:r>
    </w:p>
    <w:p>
      <w:pPr>
        <w:spacing w:after="0" w:line="178" w:lineRule="exact"/>
        <w:rPr>
          <w:rFonts w:ascii="Times New Roman" w:cs="Times New Roman" w:eastAsia="Times New Roman" w:hAnsi="Times New Roman"/>
          <w:sz w:val="21"/>
          <w:szCs w:val="21"/>
          <w:color w:val="auto"/>
        </w:rPr>
      </w:pPr>
    </w:p>
    <w:p>
      <w:pPr>
        <w:ind w:left="820" w:hanging="812"/>
        <w:spacing w:after="0"/>
        <w:tabs>
          <w:tab w:leader="none" w:pos="8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777-02 Premises</w:t>
      </w:r>
      <w:r>
        <w:rPr>
          <w:rFonts w:ascii="Times New Roman" w:cs="Times New Roman" w:eastAsia="Times New Roman" w:hAnsi="Times New Roman"/>
          <w:sz w:val="22"/>
          <w:szCs w:val="22"/>
          <w:color w:val="auto"/>
        </w:rPr>
        <w:t>. Commencing as of the date that is twelve (12) months after the 777-02 Premises Commencement Date (the “</w:t>
      </w:r>
      <w:r>
        <w:rPr>
          <w:rFonts w:ascii="Times New Roman" w:cs="Times New Roman" w:eastAsia="Times New Roman" w:hAnsi="Times New Roman"/>
          <w:sz w:val="22"/>
          <w:szCs w:val="22"/>
          <w:u w:val="single" w:color="auto"/>
          <w:color w:val="auto"/>
        </w:rPr>
        <w:t>777-02 Premises Basic Annual Rent Commencement Date</w:t>
      </w:r>
      <w:r>
        <w:rPr>
          <w:rFonts w:ascii="Times New Roman" w:cs="Times New Roman" w:eastAsia="Times New Roman" w:hAnsi="Times New Roman"/>
          <w:sz w:val="22"/>
          <w:szCs w:val="22"/>
          <w:color w:val="auto"/>
        </w:rPr>
        <w:t xml:space="preserve">,” as such date may be extended pursuant to </w:t>
      </w:r>
      <w:r>
        <w:rPr>
          <w:rFonts w:ascii="Times New Roman" w:cs="Times New Roman" w:eastAsia="Times New Roman" w:hAnsi="Times New Roman"/>
          <w:sz w:val="22"/>
          <w:szCs w:val="22"/>
          <w:u w:val="single" w:color="auto"/>
          <w:color w:val="auto"/>
        </w:rPr>
        <w:t>Sections 6.1(a)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hereof) and continuing through the Term, but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pay to Landlord Basic Annual Rent for the 777-02 Premises at an initial rate equal to Twenty-Five and 11/100 Dollars ($25.11) per square foot of Rentable Area of the 777-02 Premises per year in accordance with the terms for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109" w:name="page110"/>
    <w:bookmarkEnd w:id="109"/>
    <w:p>
      <w:pPr>
        <w:jc w:val="both"/>
        <w:spacing w:after="0" w:line="237" w:lineRule="auto"/>
        <w:rPr>
          <w:sz w:val="20"/>
          <w:szCs w:val="20"/>
          <w:color w:val="auto"/>
        </w:rPr>
      </w:pPr>
      <w:r>
        <w:rPr>
          <w:rFonts w:ascii="Times New Roman" w:cs="Times New Roman" w:eastAsia="Times New Roman" w:hAnsi="Times New Roman"/>
          <w:sz w:val="22"/>
          <w:szCs w:val="22"/>
          <w:color w:val="auto"/>
        </w:rPr>
        <w:t>payment of Basic Annual Rent set forth in the Lease. Basic Annual Rent for the 777-02 Premises shall increase annually every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by two and one-half percent (2.5%) of the then-current applicable Basic Annual Rent for the 777-02 Premises, with the first such increase occurring as of July 1, 2014. In addition to Basic Annual Rent, commencing on the 777-02 Premises Commencement Date and continuing each month of the Term, Tenant shall also pay to Landlord, with respect to the 777-02 Premises, (a) Tenant’s Pro Rata Share of Operating Expenses with respect to the 777-02 Premises that exceeds a calendar 2012 base year (the “</w:t>
      </w:r>
      <w:r>
        <w:rPr>
          <w:rFonts w:ascii="Times New Roman" w:cs="Times New Roman" w:eastAsia="Times New Roman" w:hAnsi="Times New Roman"/>
          <w:sz w:val="22"/>
          <w:szCs w:val="22"/>
          <w:u w:val="single" w:color="auto"/>
          <w:color w:val="auto"/>
        </w:rPr>
        <w:t>Base Year</w:t>
      </w:r>
      <w:r>
        <w:rPr>
          <w:rFonts w:ascii="Times New Roman" w:cs="Times New Roman" w:eastAsia="Times New Roman" w:hAnsi="Times New Roman"/>
          <w:sz w:val="22"/>
          <w:szCs w:val="22"/>
          <w:color w:val="auto"/>
        </w:rPr>
        <w:t xml:space="preserve">”) (grossed up to ninety-five percent (95%) occupancy in the same manner as the gross-up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hereof) and (b) Basic Electric charges, all as set forth in the Lease.</w:t>
      </w:r>
    </w:p>
    <w:p>
      <w:pPr>
        <w:spacing w:after="0" w:line="1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777 S-Level Corridor Premises</w:t>
      </w:r>
      <w:r>
        <w:rPr>
          <w:rFonts w:ascii="Times New Roman" w:cs="Times New Roman" w:eastAsia="Times New Roman" w:hAnsi="Times New Roman"/>
          <w:sz w:val="22"/>
          <w:szCs w:val="22"/>
          <w:color w:val="auto"/>
        </w:rPr>
        <w:t>. Commencing as of the 777 S-Level Corridor Premises Commencement Date (the “</w:t>
      </w:r>
      <w:r>
        <w:rPr>
          <w:rFonts w:ascii="Times New Roman" w:cs="Times New Roman" w:eastAsia="Times New Roman" w:hAnsi="Times New Roman"/>
          <w:sz w:val="22"/>
          <w:szCs w:val="22"/>
          <w:u w:val="single" w:color="auto"/>
          <w:color w:val="auto"/>
        </w:rPr>
        <w:t>777 S-Level Corridor Basic Annual Rent Commencement Date</w:t>
      </w:r>
      <w:r>
        <w:rPr>
          <w:rFonts w:ascii="Times New Roman" w:cs="Times New Roman" w:eastAsia="Times New Roman" w:hAnsi="Times New Roman"/>
          <w:sz w:val="22"/>
          <w:szCs w:val="22"/>
          <w:color w:val="auto"/>
        </w:rPr>
        <w:t xml:space="preserve">,” as the 777 S-Level Corridor Basic Annual Rent Commencement Date may be extended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hereof) and continuing through the Term, but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pay to Landlord Basic Annual Rent for the 777 S-Level Corridor Premises at an initial rate equal to Five and 00/100 Dollars ($5.00) per square foot of Rentable Area of the 777 S-Level Corridor Premises per year in accordance with the terms for payment of Basic Annual Rent set forth in the Lease. Basic Annual Rent for the 777 S-Level Corridor Premises shall increase annually every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by two and one-half percent (2.5%) of the then-current applicable Basic Annual Rent for the 777 S-Level Corridor Premises, with the first such increase occurring as of July 1, 2013. In addition to Basic Annual Rent, commencing on the 777 S-Level Corridor Premises Commencement Date, Tenant shall pay to Landlord as Additional Rent, at times specified in the Amended Lease, Tenant’s Pro Rata Share of Operating Expenses with respect to the 777 S-Level Corridor Premises. For the avoidance of doubt, HVAC for the 777 S-Level Corridor Premises shall be calculated in the same manner as provided in the Amended Lease with respect to the Retained Premises, and the 777 S-Level Corridor Premises shall be treated as Retained Premises for the purposes of allocation of the CAM Pool Charges in accordance with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of the Amended Lease (as of the 777 S-Level Corridor Premises Commencement Date).</w:t>
      </w:r>
    </w:p>
    <w:p>
      <w:pPr>
        <w:spacing w:after="0" w:line="187"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765 2</w:t>
      </w:r>
      <w:r>
        <w:rPr>
          <w:rFonts w:ascii="Times New Roman" w:cs="Times New Roman" w:eastAsia="Times New Roman" w:hAnsi="Times New Roman"/>
          <w:sz w:val="27"/>
          <w:szCs w:val="27"/>
          <w:u w:val="single" w:color="auto"/>
          <w:color w:val="auto"/>
          <w:vertAlign w:val="superscript"/>
        </w:rPr>
        <w:t>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Corridor Premises</w:t>
      </w:r>
      <w:r>
        <w:rPr>
          <w:rFonts w:ascii="Times New Roman" w:cs="Times New Roman" w:eastAsia="Times New Roman" w:hAnsi="Times New Roman"/>
          <w:sz w:val="21"/>
          <w:szCs w:val="21"/>
          <w:color w:val="auto"/>
        </w:rPr>
        <w:t>. Commencing on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Commencement Date and continuing through the Term, but subject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Tenant shall pay to Landlord Basic Annual Rent for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at an initial rate equal to Five and 00/100 Dollars ($5.00) per square foot of Rentable Area of the 765 2nd Floor Corridor Premises per year in accordance with the terms for payment of Basic Annual Rent set forth in the Lease. Basic Annual Rent for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shall increase annually every July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by two and one-half percent (2.5%) of the then-current applicable Basic Annual Rent for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with the first such increase occurring as of July 1, 2013. In addition to Basic Annual Rent, commencing on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Commencement Date, Tenant shall pay to Landlord as Additional Rent, at times specified in the Amended Lease, Tenant’s Pro Rata Share of Operating Expenses with respect to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For the avoidance of doubt, HVAC for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shall be calculated in the same manner as provided in the Amended Lease with respect to the Retained Premises, and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shall be treated as Retained Premises for the purposes of allocation of the CAM Pool Charges in accordance with </w:t>
      </w:r>
      <w:r>
        <w:rPr>
          <w:rFonts w:ascii="Times New Roman" w:cs="Times New Roman" w:eastAsia="Times New Roman" w:hAnsi="Times New Roman"/>
          <w:sz w:val="21"/>
          <w:szCs w:val="21"/>
          <w:u w:val="single" w:color="auto"/>
          <w:color w:val="auto"/>
        </w:rPr>
        <w:t>Exhibit O</w:t>
      </w:r>
      <w:r>
        <w:rPr>
          <w:rFonts w:ascii="Times New Roman" w:cs="Times New Roman" w:eastAsia="Times New Roman" w:hAnsi="Times New Roman"/>
          <w:sz w:val="21"/>
          <w:szCs w:val="21"/>
          <w:color w:val="auto"/>
        </w:rPr>
        <w:t xml:space="preserve"> of the Amended Lease (as of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Commencement Date).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69" w:right="239" w:bottom="1440" w:gutter="0" w:footer="0" w:header="0"/>
        </w:sectPr>
      </w:pPr>
    </w:p>
    <w:bookmarkStart w:id="110" w:name="page111"/>
    <w:bookmarkEnd w:id="110"/>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765 Mezz Premises</w:t>
      </w:r>
      <w:r>
        <w:rPr>
          <w:rFonts w:ascii="Times New Roman" w:cs="Times New Roman" w:eastAsia="Times New Roman" w:hAnsi="Times New Roman"/>
          <w:sz w:val="21"/>
          <w:szCs w:val="21"/>
          <w:color w:val="auto"/>
        </w:rPr>
        <w:t>. Commencing as of the date that is twelve (12) months after the 765 Mezz Premises Commencement Date (the “</w:t>
      </w:r>
      <w:r>
        <w:rPr>
          <w:rFonts w:ascii="Times New Roman" w:cs="Times New Roman" w:eastAsia="Times New Roman" w:hAnsi="Times New Roman"/>
          <w:sz w:val="21"/>
          <w:szCs w:val="21"/>
          <w:u w:val="single" w:color="auto"/>
          <w:color w:val="auto"/>
        </w:rPr>
        <w:t>765 Mezz Premises Basic Annual Rent Commencement Date</w:t>
      </w:r>
      <w:r>
        <w:rPr>
          <w:rFonts w:ascii="Times New Roman" w:cs="Times New Roman" w:eastAsia="Times New Roman" w:hAnsi="Times New Roman"/>
          <w:sz w:val="21"/>
          <w:szCs w:val="21"/>
          <w:color w:val="auto"/>
        </w:rPr>
        <w:t xml:space="preserve">,” as such date may be extended pursuant to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xml:space="preserve"> hereof) and continuing through the Term, but subject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Tenant shall pay to Landlord Basic Annual Rent for the 765 Mezz Premises at an initial rate equal to Twenty-Four and 50/100 Dollars ($24.50) per square foot of Rentable Area of the 765 Mezz Premises per year in accordance with the terms for payment of Basic Annual Rent set forth in the Lease. Basic Annual Rent for the 765 Mezz Premises shall increase annually every July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by two and one-half percent (2.5%) of the then-current applicable Basic Annual Rent for the 765 Mezz Premises, with the first such increase occurring as of July 1, 2013. In addition to Basic Annual Rent, commencing on the 765 Mezz Premises Commencement Date and continuing each month of the Term, Tenant shall also pay to Landlord, with respect to the 765 Mezz Premises, (a) Tenant’s Pro Rata Share of Operating Expenses with respect to the 765 Mezz Premises that exceeds the Base Year (grossed up to ninety-five percent (95%) occupancy in the same manner as the gross-up described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hereof) and (b) Basic Electric charges, all as set forth in the Lease.</w:t>
      </w:r>
    </w:p>
    <w:p>
      <w:pPr>
        <w:spacing w:after="0" w:line="170"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765 2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Elevator Lobby Premises</w:t>
      </w:r>
      <w:r>
        <w:rPr>
          <w:rFonts w:ascii="Times New Roman" w:cs="Times New Roman" w:eastAsia="Times New Roman" w:hAnsi="Times New Roman"/>
          <w:sz w:val="22"/>
          <w:szCs w:val="22"/>
          <w:color w:val="auto"/>
        </w:rPr>
        <w:t>. Commencing on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Commencement Date and continuing through the Term, but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pay to Landlord Basic Annual Rent for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at an initial rate equal to Five and 00/100 Dollars ($5.00) per square foot of Rentable Area of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per year in accordance with the terms for payment of Basic Annual Rent set forth in the Lease. Basic Annual Rent for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shall increase annually every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by two and one-half percent (2.5%) of the then-current applicable Basic Annual Rent for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with the first such increase occurring as of July 1, 2013. In addition to Basic Annual Rent, commencing on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Commencement Date, Tenant shall pay to Landlord as Additional Rent, at times specified in the Amended Lease, Tenant’s Pro Rata Share of Operating Expenses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For the avoidance of doubt, HVAC for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shall be calculated in the same manner as provided in the Amended Lease with respect to the Retained Premises, and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shall be treated as Retained Premises for the purposes of allocation of the CAM Pool Charges in accordance with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of the Amended Lease (as of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Commencement Date).</w:t>
      </w:r>
    </w:p>
    <w:p>
      <w:pPr>
        <w:spacing w:after="0" w:line="19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765 Expansion Premises III</w:t>
      </w:r>
      <w:r>
        <w:rPr>
          <w:rFonts w:ascii="Times New Roman" w:cs="Times New Roman" w:eastAsia="Times New Roman" w:hAnsi="Times New Roman"/>
          <w:sz w:val="22"/>
          <w:szCs w:val="22"/>
          <w:color w:val="auto"/>
        </w:rPr>
        <w:t>. Commencing as of the 765 Expansion Premises III Commencement Date (the “</w:t>
      </w:r>
      <w:r>
        <w:rPr>
          <w:rFonts w:ascii="Times New Roman" w:cs="Times New Roman" w:eastAsia="Times New Roman" w:hAnsi="Times New Roman"/>
          <w:sz w:val="22"/>
          <w:szCs w:val="22"/>
          <w:u w:val="single" w:color="auto"/>
          <w:color w:val="auto"/>
        </w:rPr>
        <w:t>765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Expansion Premises III Basic Annual Rent Commencement Date</w:t>
      </w:r>
      <w:r>
        <w:rPr>
          <w:rFonts w:ascii="Times New Roman" w:cs="Times New Roman" w:eastAsia="Times New Roman" w:hAnsi="Times New Roman"/>
          <w:sz w:val="22"/>
          <w:szCs w:val="22"/>
          <w:color w:val="auto"/>
        </w:rPr>
        <w:t xml:space="preserve">,” as the 765 Expansion Premises III Basic Annual Rent Commencement Date may be extended pursuant to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hereof) and continuing through the Term, but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pay to Landlord Basic Annual Rent for the 765 Expansion Premises III at an initial rate equal to Twenty-Five and 22/100 Dollars ($25.22) per square foot of Rentable Area of the 765 Expansion Premises III per year in accordance with the terms for payment of Basic Annual Rent set forth in the Lease. Basic Annual Rent for the 765 Expansion Premises III shall increase annually every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by two and one-half percent (2.5%) of the then-current applicable Basic Annual Rent for the 765 Expansion Premises III, with the first such increase occurring as of July 1, 2013. In addition to Basic Annual Rent, commencing on the 765 Expansion Premises III Commencement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111" w:name="page112"/>
    <w:bookmarkEnd w:id="11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Date, Tenant shall pay to Landlord as Additional Rent, at times specified in the Amended Lease, Tenant’s Pro Rata Share of Operating Expenses with respect to the 765 Expansion Premises III. For the avoidance of doubt, HVAC for the 765 Expansion Premises III shall be calculated in the same manner as provided in the Amended Lease with respect to the Retained Premises, and the 765 Expansion Premises III shall be treated as Retained Premises for the purposes of allocation of the CAM Pool Charges in accordance with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of the Amended Lease (as of the 765 Expansion Premises III Commencement Date).</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Additional 01 Premises</w:t>
      </w:r>
      <w:r>
        <w:rPr>
          <w:rFonts w:ascii="Times New Roman" w:cs="Times New Roman" w:eastAsia="Times New Roman" w:hAnsi="Times New Roman"/>
          <w:sz w:val="22"/>
          <w:szCs w:val="22"/>
          <w:color w:val="auto"/>
        </w:rPr>
        <w:t>. Commencing as of the later of (a) the Additional 01 Premises Commencement Date and (b) the 01 Premises Rent Commencement Date, (collectively, the applicable date is referred to herein as the “</w:t>
      </w:r>
      <w:r>
        <w:rPr>
          <w:rFonts w:ascii="Times New Roman" w:cs="Times New Roman" w:eastAsia="Times New Roman" w:hAnsi="Times New Roman"/>
          <w:sz w:val="22"/>
          <w:szCs w:val="22"/>
          <w:u w:val="single" w:color="auto"/>
          <w:color w:val="auto"/>
        </w:rPr>
        <w:t>Additional 01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Basic Annual Rent Commencement Date</w:t>
      </w:r>
      <w:r>
        <w:rPr>
          <w:rFonts w:ascii="Times New Roman" w:cs="Times New Roman" w:eastAsia="Times New Roman" w:hAnsi="Times New Roman"/>
          <w:sz w:val="22"/>
          <w:szCs w:val="22"/>
          <w:color w:val="auto"/>
        </w:rPr>
        <w:t xml:space="preserve">,” as the Additional 01 Premises Basic Annual Rent Commencement Date may be extended pursuant to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hereof) and continuing through the Term, but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Tenant shall pay to Landlord Basic Annual Rent for the Additional 01 Premises at an initial rate equal to Twenty-Four and 50/100 Dollars ($24.50) per square foot of Rentable Area of the Additional 01 Premises per year in accordance with the terms for payment of Basic Annual Rent set forth in the Lease. Basic Annual Rent for the Additional 01 Premises shall increase annually every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by two and one-half percent (2.5%) of the then-current applicable Basic Annual Rent for the Additional 01 Premises, with the first such increase occurring as of July 1, 2013. In addition to Basic Annual Rent, commencing on the Additional 01 Premises Commencement Date and continuing each month of the Term, Tenant shall also pay to Landlord, with respect to the Additional 01 Premises, (a) Tenant’s Pro Rata Share of Operating Expenses with respect to the Additional 01 Premises that exceeds a calendar 2012 base year (grossed up to ninety-five percent (95%) occupancy in the same manner as the gross-up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hereof) and (b) Basic Electric charges, all as set forth in the Lease.</w:t>
      </w:r>
    </w:p>
    <w:p>
      <w:pPr>
        <w:spacing w:after="0" w:line="194" w:lineRule="exact"/>
        <w:rPr>
          <w:sz w:val="20"/>
          <w:szCs w:val="20"/>
          <w:color w:val="auto"/>
        </w:rPr>
      </w:pPr>
    </w:p>
    <w:p>
      <w:pPr>
        <w:jc w:val="both"/>
        <w:ind w:firstLine="8"/>
        <w:spacing w:after="0" w:line="266" w:lineRule="auto"/>
        <w:tabs>
          <w:tab w:leader="none" w:pos="81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Pro Rata Shares</w:t>
      </w:r>
      <w:r>
        <w:rPr>
          <w:rFonts w:ascii="Times New Roman" w:cs="Times New Roman" w:eastAsia="Times New Roman" w:hAnsi="Times New Roman"/>
          <w:sz w:val="21"/>
          <w:szCs w:val="21"/>
          <w:color w:val="auto"/>
        </w:rPr>
        <w:t>. From and after (a) the 777-02 Premises Commencement Date, with respect to the 777-02 Premises, (b) the 777 S-Level Corridor Premises Commencement Date, with respect to the 777 S-Level Corridor Premises, (c) the</w:t>
      </w:r>
    </w:p>
    <w:p>
      <w:pPr>
        <w:spacing w:after="0" w:line="1" w:lineRule="exact"/>
        <w:rPr>
          <w:rFonts w:ascii="Times New Roman" w:cs="Times New Roman" w:eastAsia="Times New Roman" w:hAnsi="Times New Roman"/>
          <w:sz w:val="21"/>
          <w:szCs w:val="21"/>
          <w:color w:val="auto"/>
        </w:rPr>
      </w:pPr>
    </w:p>
    <w:p>
      <w:pPr>
        <w:jc w:val="both"/>
        <w:ind w:firstLine="8"/>
        <w:spacing w:after="0" w:line="223" w:lineRule="auto"/>
        <w:tabs>
          <w:tab w:leader="none" w:pos="4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Commencement Date,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(d) the 765 Mezz Premises Commencement Date, with respect to the 765 Mezz Premises, (e)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Commencement Date, with respect to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(f) the 765 Expansion Premises III Commencement Date, with respect to the 765 Expansion Premises III and (g) the Additional 01 Premises Commencement Date, with respect to the Additional 01 Premises, Tenant’s Pro Rata Shares of the Building, Existing Project, New Project and Entire Project shall be incrementally increased by the amounts set forth in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attached hereto. As of each such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Lease shall be automatically amended to reflect the adjustments set forth in this Section. Rentable Area and Tenant’s Pro Rata Shares are all subject to adjustment under the Amended Lease, including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the Lease.</w:t>
      </w:r>
    </w:p>
    <w:p>
      <w:pPr>
        <w:spacing w:after="0" w:line="19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10.1. With respect to the 777-02 Premises, the 765 Mezz Premises and the Additional 01 Premises, in the event that the applicable Building, the Existing Project or Entire Project is less than fully occupied, Tenant acknowledges that Landlord may gross up Operating Expenses to ninety-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112" w:name="page113"/>
    <w:bookmarkEnd w:id="112"/>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five percent (95%) of the total rentable area of the applicable Building, the Existing Project or Entire Project (as applicable). Tenant shall pay Tenant’s proportionate share of the amount computed in accordance with the previous sentence, subject to adjustment as reasonably determined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 shall not recover more than one hundred percent (100%) of Operating Expenses.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10.2. For purposes of clarity, (a)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of the Ninth Amendment shall be applicable only to the 01 Premises and (b) the word “Project” in Section 9(b) of the Ninth Amendment shall be deleted and replaced with the words “Existing Project or the Entire Project.”</w:t>
      </w:r>
    </w:p>
    <w:p>
      <w:pPr>
        <w:spacing w:after="0" w:line="168" w:lineRule="exact"/>
        <w:rPr>
          <w:sz w:val="20"/>
          <w:szCs w:val="20"/>
          <w:color w:val="auto"/>
        </w:rPr>
      </w:pPr>
    </w:p>
    <w:p>
      <w:pPr>
        <w:ind w:firstLine="8"/>
        <w:spacing w:after="0" w:line="271" w:lineRule="auto"/>
        <w:tabs>
          <w:tab w:leader="none" w:pos="9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 The parties acknowledge that, in accordance with the Amended Lease, Tenant shall be entitled to its pro rata share of unreserved parking spaces with respect to each portion of the Premises leased to Tenant.</w:t>
      </w:r>
    </w:p>
    <w:p>
      <w:pPr>
        <w:spacing w:after="0" w:line="157" w:lineRule="exact"/>
        <w:rPr>
          <w:rFonts w:ascii="Times New Roman" w:cs="Times New Roman" w:eastAsia="Times New Roman" w:hAnsi="Times New Roman"/>
          <w:sz w:val="22"/>
          <w:szCs w:val="22"/>
          <w:color w:val="auto"/>
        </w:rPr>
      </w:pPr>
    </w:p>
    <w:p>
      <w:pPr>
        <w:ind w:right="20" w:firstLine="8"/>
        <w:spacing w:after="0" w:line="271" w:lineRule="auto"/>
        <w:tabs>
          <w:tab w:leader="none" w:pos="9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Space License</w:t>
      </w:r>
      <w:r>
        <w:rPr>
          <w:rFonts w:ascii="Times New Roman" w:cs="Times New Roman" w:eastAsia="Times New Roman" w:hAnsi="Times New Roman"/>
          <w:sz w:val="22"/>
          <w:szCs w:val="22"/>
          <w:color w:val="auto"/>
        </w:rPr>
        <w:t xml:space="preserve">. Landlord and Tenant shall execute the Space License Termination Agreement attached hereto as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as of the 765 Mezz Premises Commencement Date.</w:t>
      </w:r>
    </w:p>
    <w:p>
      <w:pPr>
        <w:spacing w:after="0" w:line="157" w:lineRule="exact"/>
        <w:rPr>
          <w:rFonts w:ascii="Times New Roman" w:cs="Times New Roman" w:eastAsia="Times New Roman" w:hAnsi="Times New Roman"/>
          <w:sz w:val="22"/>
          <w:szCs w:val="22"/>
          <w:color w:val="auto"/>
        </w:rPr>
      </w:pPr>
    </w:p>
    <w:p>
      <w:pPr>
        <w:ind w:firstLine="8"/>
        <w:spacing w:after="0" w:line="271" w:lineRule="auto"/>
        <w:tabs>
          <w:tab w:leader="none" w:pos="9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Risk of Damage</w:t>
      </w:r>
      <w:r>
        <w:rPr>
          <w:rFonts w:ascii="Times New Roman" w:cs="Times New Roman" w:eastAsia="Times New Roman" w:hAnsi="Times New Roman"/>
          <w:sz w:val="22"/>
          <w:szCs w:val="22"/>
          <w:color w:val="auto"/>
        </w:rPr>
        <w:t xml:space="preserve">. From and after the Execution Date,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of the Lease is hereby deleted in its entirety and replaced with the following:</w:t>
      </w:r>
    </w:p>
    <w:p>
      <w:pPr>
        <w:spacing w:after="0" w:line="158"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 xml:space="preserve">22.5 Tenant assumes the risk of damage to: all of Tenant’s improvements in the Premises; Tenant’s leasehold improvements in the Premises and all of Tenant’s personal property, including Tenant’s Personal Property set forth in the attached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Furthermore, Landlord shall not be liable for injury to Tenant’s business or any loss of income therefrom, relative to such damage, all as more particularly set forth within this Lease.</w:t>
      </w:r>
    </w:p>
    <w:p>
      <w:pPr>
        <w:spacing w:after="0" w:line="180" w:lineRule="exact"/>
        <w:rPr>
          <w:sz w:val="20"/>
          <w:szCs w:val="20"/>
          <w:color w:val="auto"/>
        </w:rPr>
      </w:pPr>
    </w:p>
    <w:p>
      <w:pPr>
        <w:jc w:val="both"/>
        <w:ind w:firstLine="8"/>
        <w:spacing w:after="0" w:line="249" w:lineRule="auto"/>
        <w:tabs>
          <w:tab w:leader="none" w:pos="9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or agent in the negotiation for or the obtaining of this Amendment, other than Studley Inc.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180"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113" w:name="page114"/>
    <w:bookmarkEnd w:id="113"/>
    <w:p>
      <w:pPr>
        <w:ind w:firstLine="8"/>
        <w:spacing w:after="0" w:line="271" w:lineRule="auto"/>
        <w:tabs>
          <w:tab w:leader="none" w:pos="9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Amended Lease should be sent to:</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Vice President of Facilities</w:t>
      </w:r>
    </w:p>
    <w:p>
      <w:pPr>
        <w:spacing w:after="0" w:line="196" w:lineRule="exact"/>
        <w:rPr>
          <w:sz w:val="20"/>
          <w:szCs w:val="20"/>
          <w:color w:val="auto"/>
        </w:rPr>
      </w:pPr>
    </w:p>
    <w:p>
      <w:pPr>
        <w:jc w:val="both"/>
        <w:ind w:firstLine="8"/>
        <w:spacing w:after="0" w:line="248" w:lineRule="auto"/>
        <w:tabs>
          <w:tab w:leader="none" w:pos="9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Amendment, the Lease and all the covenants, agreements, terms, provisions and conditions thereof shall remain in full force and effect and are hereby ratified and affirmed. The covenants, agreements, terms, provisions and 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182" w:lineRule="exact"/>
        <w:rPr>
          <w:rFonts w:ascii="Times New Roman" w:cs="Times New Roman" w:eastAsia="Times New Roman" w:hAnsi="Times New Roman"/>
          <w:sz w:val="22"/>
          <w:szCs w:val="22"/>
          <w:color w:val="auto"/>
        </w:rPr>
      </w:pPr>
    </w:p>
    <w:p>
      <w:pPr>
        <w:jc w:val="both"/>
        <w:ind w:firstLine="8"/>
        <w:spacing w:after="0" w:line="265" w:lineRule="auto"/>
        <w:tabs>
          <w:tab w:leader="none" w:pos="91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65" w:lineRule="exact"/>
        <w:rPr>
          <w:rFonts w:ascii="Times New Roman" w:cs="Times New Roman" w:eastAsia="Times New Roman" w:hAnsi="Times New Roman"/>
          <w:sz w:val="21"/>
          <w:szCs w:val="21"/>
          <w:color w:val="auto"/>
        </w:rPr>
      </w:pPr>
    </w:p>
    <w:p>
      <w:pPr>
        <w:ind w:firstLine="8"/>
        <w:spacing w:after="0" w:line="271" w:lineRule="auto"/>
        <w:tabs>
          <w:tab w:leader="none" w:pos="9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when taken together, shall constitute one and the same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369" w:right="239" w:bottom="1440" w:gutter="0" w:footer="0" w:header="0"/>
        </w:sectPr>
      </w:pPr>
    </w:p>
    <w:bookmarkStart w:id="114" w:name="page115"/>
    <w:bookmarkEnd w:id="11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hereunto set their hands as of the date and year first above written, and acknowledge that they possess the requisite authority to enter into this transaction and to execute this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18"/>
        </w:trPr>
        <w:tc>
          <w:tcPr>
            <w:tcW w:w="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and Chief Financial Officer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9" w:right="239" w:bottom="1440" w:gutter="0" w:footer="0" w:header="0"/>
        </w:sectPr>
      </w:pPr>
    </w:p>
    <w:bookmarkStart w:id="115" w:name="page116"/>
    <w:bookmarkEnd w:id="115"/>
    <w:p>
      <w:pPr>
        <w:ind w:left="39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b w:val="1"/>
          <w:bCs w:val="1"/>
          <w:u w:val="single" w:color="auto"/>
          <w:color w:val="auto"/>
        </w:rPr>
        <w:t>777-02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019"/>
          </w:cols>
          <w:pgMar w:left="1440" w:top="365" w:right="1440"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777 S-LEVEL CORRIDOR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B-1-1</w:t>
      </w:r>
    </w:p>
    <w:p>
      <w:pPr>
        <w:sectPr>
          <w:pgSz w:w="11900" w:h="16838" w:orient="portrait"/>
          <w:cols w:equalWidth="0" w:num="1">
            <w:col w:w="9019"/>
          </w:cols>
          <w:pgMar w:left="1440" w:top="365"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765 2</w:t>
      </w:r>
      <w:r>
        <w:rPr>
          <w:rFonts w:ascii="Times New Roman" w:cs="Times New Roman" w:eastAsia="Times New Roman" w:hAnsi="Times New Roman"/>
          <w:sz w:val="27"/>
          <w:szCs w:val="27"/>
          <w:b w:val="1"/>
          <w:bCs w:val="1"/>
          <w:u w:val="single" w:color="auto"/>
          <w:color w:val="auto"/>
          <w:vertAlign w:val="superscript"/>
        </w:rPr>
        <w:t>ND</w:t>
      </w:r>
      <w:r>
        <w:rPr>
          <w:rFonts w:ascii="Times New Roman" w:cs="Times New Roman" w:eastAsia="Times New Roman" w:hAnsi="Times New Roman"/>
          <w:sz w:val="21"/>
          <w:szCs w:val="21"/>
          <w:b w:val="1"/>
          <w:bCs w:val="1"/>
          <w:u w:val="single" w:color="auto"/>
          <w:color w:val="auto"/>
        </w:rPr>
        <w:t xml:space="preserve"> FLOOR CORRIDOR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ectPr>
          <w:pgSz w:w="11900" w:h="16838" w:orient="portrait"/>
          <w:cols w:equalWidth="0" w:num="1">
            <w:col w:w="9019"/>
          </w:cols>
          <w:pgMar w:left="1440" w:top="365"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765 MEZZ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9019"/>
          </w:cols>
          <w:pgMar w:left="1440" w:top="365"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765 2</w:t>
      </w:r>
      <w:r>
        <w:rPr>
          <w:rFonts w:ascii="Times New Roman" w:cs="Times New Roman" w:eastAsia="Times New Roman" w:hAnsi="Times New Roman"/>
          <w:sz w:val="27"/>
          <w:szCs w:val="27"/>
          <w:b w:val="1"/>
          <w:bCs w:val="1"/>
          <w:u w:val="single" w:color="auto"/>
          <w:color w:val="auto"/>
          <w:vertAlign w:val="superscript"/>
        </w:rPr>
        <w:t>ND</w:t>
      </w:r>
      <w:r>
        <w:rPr>
          <w:rFonts w:ascii="Times New Roman" w:cs="Times New Roman" w:eastAsia="Times New Roman" w:hAnsi="Times New Roman"/>
          <w:sz w:val="21"/>
          <w:szCs w:val="21"/>
          <w:b w:val="1"/>
          <w:bCs w:val="1"/>
          <w:u w:val="single" w:color="auto"/>
          <w:color w:val="auto"/>
        </w:rPr>
        <w:t xml:space="preserve"> FLOOR ELEVATOR LOBBY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9019"/>
          </w:cols>
          <w:pgMar w:left="1440" w:top="365"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765 EXPANSION PREMISES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9019"/>
          </w:cols>
          <w:pgMar w:left="1440" w:top="365" w:right="1440"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01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F-1</w:t>
      </w:r>
    </w:p>
    <w:p>
      <w:pPr>
        <w:sectPr>
          <w:pgSz w:w="11900" w:h="16838" w:orient="portrait"/>
          <w:cols w:equalWidth="0" w:num="1">
            <w:col w:w="9019"/>
          </w:cols>
          <w:pgMar w:left="1440" w:top="365" w:right="1440" w:bottom="1440" w:gutter="0" w:footer="0" w:header="0"/>
        </w:sectPr>
      </w:pPr>
    </w:p>
    <w:bookmarkStart w:id="122" w:name="page123"/>
    <w:bookmarkEnd w:id="122"/>
    <w:p>
      <w:pPr>
        <w:ind w:left="514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ACKNOWLEDGEMENT OF TERM COMMENCEMENT DATE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AND TERM EXPIRATION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ACKNOWLEDGEMENT OF TERM COMMENCEMENT DATE AND TERM EXPIRATION DATE is entered into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 201__, with reference to that certain Lease dated as of December 21, 2006 (the “</w:t>
      </w:r>
      <w:r>
        <w:rPr>
          <w:rFonts w:ascii="Times New Roman" w:cs="Times New Roman" w:eastAsia="Times New Roman" w:hAnsi="Times New Roman"/>
          <w:sz w:val="22"/>
          <w:szCs w:val="22"/>
          <w:u w:val="single" w:color="auto"/>
          <w:color w:val="auto"/>
        </w:rPr>
        <w:t>Original Lease</w:t>
      </w:r>
      <w:r>
        <w:rPr>
          <w:rFonts w:ascii="Times New Roman" w:cs="Times New Roman" w:eastAsia="Times New Roman" w:hAnsi="Times New Roman"/>
          <w:sz w:val="22"/>
          <w:szCs w:val="22"/>
          <w:color w:val="auto"/>
        </w:rPr>
        <w:t>”), as amended</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by that certain First Amendment to Lease dated as of October 24, 2007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that certain Second Amendment to Lease dated as of September 30, 2008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that certain Third Amendment to Lease dated as of April 29, 2009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that certain Fourth Amendment to Lease dated as of December 3, 2009 (the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Fifth Amendment to Lease dated as of February 11, 2010 (the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that certain Sixth Amendment to Lease dated as of June 4, 2010 (the “</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that certain Seventh Amendment to Lease dated as of December 22, 2010 (the “</w:t>
      </w:r>
      <w:r>
        <w:rPr>
          <w:rFonts w:ascii="Times New Roman" w:cs="Times New Roman" w:eastAsia="Times New Roman" w:hAnsi="Times New Roman"/>
          <w:sz w:val="21"/>
          <w:szCs w:val="21"/>
          <w:u w:val="single" w:color="auto"/>
          <w:color w:val="auto"/>
        </w:rPr>
        <w:t>Seventh Amendment</w:t>
      </w:r>
      <w:r>
        <w:rPr>
          <w:rFonts w:ascii="Times New Roman" w:cs="Times New Roman" w:eastAsia="Times New Roman" w:hAnsi="Times New Roman"/>
          <w:sz w:val="21"/>
          <w:szCs w:val="21"/>
          <w:color w:val="auto"/>
        </w:rPr>
        <w:t>”), that certain Eighth Amendment to Lease dated as of August 1, 2011 (the “</w:t>
      </w:r>
      <w:r>
        <w:rPr>
          <w:rFonts w:ascii="Times New Roman" w:cs="Times New Roman" w:eastAsia="Times New Roman" w:hAnsi="Times New Roman"/>
          <w:sz w:val="21"/>
          <w:szCs w:val="21"/>
          <w:u w:val="single" w:color="auto"/>
          <w:color w:val="auto"/>
        </w:rPr>
        <w:t>Eighth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Ninth Amendment to Lease dated as of September 30, 2011 (the “</w:t>
      </w:r>
      <w:r>
        <w:rPr>
          <w:rFonts w:ascii="Times New Roman" w:cs="Times New Roman" w:eastAsia="Times New Roman" w:hAnsi="Times New Roman"/>
          <w:sz w:val="21"/>
          <w:szCs w:val="21"/>
          <w:u w:val="single" w:color="auto"/>
          <w:color w:val="auto"/>
        </w:rPr>
        <w:t>Ninth Amendment</w:t>
      </w:r>
      <w:r>
        <w:rPr>
          <w:rFonts w:ascii="Times New Roman" w:cs="Times New Roman" w:eastAsia="Times New Roman" w:hAnsi="Times New Roman"/>
          <w:sz w:val="21"/>
          <w:szCs w:val="21"/>
          <w:color w:val="auto"/>
        </w:rPr>
        <w:t>”) and that certain Tenth Amendment to Lease dated as of [________], 2012 (the “</w:t>
      </w:r>
      <w:r>
        <w:rPr>
          <w:rFonts w:ascii="Times New Roman" w:cs="Times New Roman" w:eastAsia="Times New Roman" w:hAnsi="Times New Roman"/>
          <w:sz w:val="21"/>
          <w:szCs w:val="21"/>
          <w:u w:val="single" w:color="auto"/>
          <w:color w:val="auto"/>
        </w:rPr>
        <w:t>Tenth Amendment</w:t>
      </w:r>
      <w:r>
        <w:rPr>
          <w:rFonts w:ascii="Times New Roman" w:cs="Times New Roman" w:eastAsia="Times New Roman" w:hAnsi="Times New Roman"/>
          <w:sz w:val="21"/>
          <w:szCs w:val="21"/>
          <w:color w:val="auto"/>
        </w:rPr>
        <w:t>” and, collectively with the Original Lease and</w:t>
      </w:r>
    </w:p>
    <w:p>
      <w:pPr>
        <w:jc w:val="both"/>
        <w:spacing w:after="0" w:line="259" w:lineRule="auto"/>
        <w:rPr>
          <w:sz w:val="20"/>
          <w:szCs w:val="20"/>
          <w:color w:val="auto"/>
        </w:rPr>
      </w:pPr>
      <w:r>
        <w:rPr>
          <w:rFonts w:ascii="Times New Roman" w:cs="Times New Roman" w:eastAsia="Times New Roman" w:hAnsi="Times New Roman"/>
          <w:sz w:val="21"/>
          <w:szCs w:val="21"/>
          <w:color w:val="auto"/>
        </w:rPr>
        <w:t>the First Amendment, Second Amendment, Third Amendment, Fourth Amendment, Fifth Amendment, Sixth Amendment, Seventh Amendment, Eighth Amendment, Ninth Amendment and Tenth Amendment and as the same may have been further amended, supplemented or otherwise modified from time to time, the “</w:t>
      </w:r>
      <w:r>
        <w:rPr>
          <w:rFonts w:ascii="Times New Roman" w:cs="Times New Roman" w:eastAsia="Times New Roman" w:hAnsi="Times New Roman"/>
          <w:sz w:val="21"/>
          <w:szCs w:val="21"/>
          <w:u w:val="single" w:color="auto"/>
          <w:color w:val="auto"/>
        </w:rPr>
        <w:t>Amended Lease</w:t>
      </w:r>
      <w:r>
        <w:rPr>
          <w:rFonts w:ascii="Times New Roman" w:cs="Times New Roman" w:eastAsia="Times New Roman" w:hAnsi="Times New Roman"/>
          <w:sz w:val="21"/>
          <w:szCs w:val="21"/>
          <w:color w:val="auto"/>
        </w:rPr>
        <w:t>”), by REGENERON PHARMACEUTICALS, INC., a New York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in favor of BMR-LANDMARK AT EASTVIEW LLC,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All capitalized terms used herein without definition shall have the meanings ascribed to them in the Amended Lease.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 hereby confirms the following:</w:t>
      </w:r>
    </w:p>
    <w:p>
      <w:pPr>
        <w:spacing w:after="0" w:line="220" w:lineRule="exact"/>
        <w:rPr>
          <w:sz w:val="20"/>
          <w:szCs w:val="20"/>
          <w:color w:val="auto"/>
        </w:rPr>
      </w:pPr>
    </w:p>
    <w:p>
      <w:pPr>
        <w:ind w:left="2120" w:hanging="1464"/>
        <w:spacing w:after="0"/>
        <w:tabs>
          <w:tab w:leader="none" w:pos="21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accepted possession of the [INSERT APPLICABLE PREMISES] Premises on [_______], 20[__].</w:t>
      </w:r>
    </w:p>
    <w:p>
      <w:pPr>
        <w:spacing w:after="0" w:line="231" w:lineRule="exact"/>
        <w:rPr>
          <w:rFonts w:ascii="Times New Roman" w:cs="Times New Roman" w:eastAsia="Times New Roman" w:hAnsi="Times New Roman"/>
          <w:sz w:val="21"/>
          <w:szCs w:val="21"/>
          <w:color w:val="auto"/>
        </w:rPr>
      </w:pPr>
    </w:p>
    <w:p>
      <w:pPr>
        <w:ind w:left="2120" w:hanging="1464"/>
        <w:spacing w:after="0"/>
        <w:tabs>
          <w:tab w:leader="none" w:pos="21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[INSERT APPLICABLE PREMISES] Premises are in good order, condition and repair.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[INSERT APPLICABLE PREMISES] Premises Landlord Work are substantially complete. [USE IF LANDLORD WORK WAS PERFORMED PURSUANT TO THE TENTH AMENDMENT]</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210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Amended Lease with respect to the [INSERT APPLICABLE PREMISES] Premises to be performed by Landlord as a condition to the full effectiveness of the Amended Lease have been satisfied.</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210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provisions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the Tenth Amendment, the [INSERT APPLICABLE PREMISES] Premises Commencement Date is [_______], 20[__], and, unless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G-1</w:t>
      </w:r>
    </w:p>
    <w:p>
      <w:pPr>
        <w:sectPr>
          <w:pgSz w:w="11900" w:h="16838" w:orient="portrait"/>
          <w:cols w:equalWidth="0" w:num="1">
            <w:col w:w="11420"/>
          </w:cols>
          <w:pgMar w:left="240" w:top="365" w:right="239" w:bottom="1440" w:gutter="0" w:footer="0" w:header="0"/>
        </w:sectPr>
      </w:pPr>
    </w:p>
    <w:bookmarkStart w:id="123" w:name="page124"/>
    <w:bookmarkEnd w:id="123"/>
    <w:p>
      <w:pPr>
        <w:spacing w:after="0" w:line="271" w:lineRule="auto"/>
        <w:rPr>
          <w:sz w:val="20"/>
          <w:szCs w:val="20"/>
          <w:color w:val="auto"/>
        </w:rPr>
      </w:pPr>
      <w:r>
        <w:rPr>
          <w:rFonts w:ascii="Times New Roman" w:cs="Times New Roman" w:eastAsia="Times New Roman" w:hAnsi="Times New Roman"/>
          <w:sz w:val="22"/>
          <w:szCs w:val="22"/>
          <w:color w:val="auto"/>
        </w:rPr>
        <w:t>Amended Lease is terminated prior to the Term Expiration Date pursuant to its terms, the Term Expiration Date shall be June 30, 2024.</w:t>
      </w:r>
    </w:p>
    <w:p>
      <w:pPr>
        <w:spacing w:after="0" w:line="158" w:lineRule="exact"/>
        <w:rPr>
          <w:sz w:val="20"/>
          <w:szCs w:val="20"/>
          <w:color w:val="auto"/>
        </w:rPr>
      </w:pPr>
    </w:p>
    <w:p>
      <w:pPr>
        <w:ind w:right="20" w:firstLine="656"/>
        <w:spacing w:after="0" w:line="271" w:lineRule="auto"/>
        <w:tabs>
          <w:tab w:leader="none" w:pos="21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commenced occupancy of the [INSERT APPLICABLE PREMISES] Premises for the Permitted Use on [_______], 20[__].</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21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rent abatement rights set forth in the Amended Lease, the obligation to pay Rent is presently in effect and all Rent obligations on the part of Tenant under the Amended Lease with respect to the [INSERT APPLICABLE PREMISES] Premises commenced to accrue on [_______], 20[__], with Basic Annual Rent for the [INSERT APPLICABLE PREMISES] Premises payable on the dates and in amounts set forth in the Tenth Amendment.</w:t>
      </w:r>
    </w:p>
    <w:p>
      <w:pPr>
        <w:spacing w:after="0" w:line="179" w:lineRule="exact"/>
        <w:rPr>
          <w:rFonts w:ascii="Times New Roman" w:cs="Times New Roman" w:eastAsia="Times New Roman" w:hAnsi="Times New Roman"/>
          <w:sz w:val="22"/>
          <w:szCs w:val="22"/>
          <w:color w:val="auto"/>
        </w:rPr>
      </w:pPr>
    </w:p>
    <w:p>
      <w:pPr>
        <w:ind w:right="20" w:firstLine="656"/>
        <w:spacing w:after="0" w:line="271" w:lineRule="auto"/>
        <w:tabs>
          <w:tab w:leader="none" w:pos="21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Amended Lease is in full force and effect, and the same represents the entire agreement between Landlord and Tenant concerning the Premises[, except [_______]].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G-2</w:t>
      </w:r>
    </w:p>
    <w:p>
      <w:pPr>
        <w:sectPr>
          <w:pgSz w:w="11900" w:h="16838" w:orient="portrait"/>
          <w:cols w:equalWidth="0" w:num="1">
            <w:col w:w="11420"/>
          </w:cols>
          <w:pgMar w:left="240" w:top="368" w:right="239" w:bottom="1440" w:gutter="0" w:footer="0" w:header="0"/>
        </w:sectPr>
      </w:pPr>
    </w:p>
    <w:bookmarkStart w:id="124" w:name="page125"/>
    <w:bookmarkEnd w:id="12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Tenant has executed this Acknowledgment of Term Commencement Date and Term Expiration Date as of the date first written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G-3</w:t>
      </w:r>
    </w:p>
    <w:p>
      <w:pPr>
        <w:sectPr>
          <w:pgSz w:w="11900" w:h="16838" w:orient="portrait"/>
          <w:cols w:equalWidth="0" w:num="1">
            <w:col w:w="11420"/>
          </w:cols>
          <w:pgMar w:left="240" w:top="369" w:right="23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777-02 LANDLORD WORK</w:t>
      </w:r>
    </w:p>
    <w:p>
      <w:pPr>
        <w:spacing w:after="0" w:line="224"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2"/>
          <w:szCs w:val="22"/>
          <w:color w:val="auto"/>
        </w:rPr>
        <w:t>Landlord will develop engineered design documents ready for permit for all the 777-02 Landlord Work described below, which drawings and specifications shall meet the requirements of the New York State building codes. Unless otherwise expressly specified, the 777-02 Landlord Work described below applies only to the 777-02 Premises.</w:t>
      </w:r>
    </w:p>
    <w:p>
      <w:pPr>
        <w:spacing w:after="0" w:line="173"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build a demising wall at the north end of the 777-02 Premises.</w:t>
      </w:r>
    </w:p>
    <w:p>
      <w:pPr>
        <w:spacing w:after="0" w:line="260" w:lineRule="exact"/>
        <w:rPr>
          <w:rFonts w:ascii="Times New Roman" w:cs="Times New Roman" w:eastAsia="Times New Roman" w:hAnsi="Times New Roman"/>
          <w:sz w:val="22"/>
          <w:szCs w:val="22"/>
          <w:color w:val="auto"/>
        </w:rPr>
      </w:pPr>
    </w:p>
    <w:p>
      <w:pPr>
        <w:ind w:left="660" w:right="40" w:hanging="328"/>
        <w:spacing w:after="0" w:line="257"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existing supply fans serving the 777-02 Premises shall have variable frequency drives (“</w:t>
      </w:r>
      <w:r>
        <w:rPr>
          <w:rFonts w:ascii="Times New Roman" w:cs="Times New Roman" w:eastAsia="Times New Roman" w:hAnsi="Times New Roman"/>
          <w:sz w:val="22"/>
          <w:szCs w:val="22"/>
          <w:u w:val="single" w:color="auto"/>
          <w:color w:val="auto"/>
        </w:rPr>
        <w:t>VFDs</w:t>
      </w:r>
      <w:r>
        <w:rPr>
          <w:rFonts w:ascii="Times New Roman" w:cs="Times New Roman" w:eastAsia="Times New Roman" w:hAnsi="Times New Roman"/>
          <w:sz w:val="22"/>
          <w:szCs w:val="22"/>
          <w:color w:val="auto"/>
        </w:rPr>
        <w:t>”) to modulate supply fan speed (provided that, Tenant, at its sole cost, shall be responsible for the final balancing of the supply fan VFDs such that they align with Tenant’s variable air volume (“</w:t>
      </w:r>
      <w:r>
        <w:rPr>
          <w:rFonts w:ascii="Times New Roman" w:cs="Times New Roman" w:eastAsia="Times New Roman" w:hAnsi="Times New Roman"/>
          <w:sz w:val="22"/>
          <w:szCs w:val="22"/>
          <w:u w:val="single" w:color="auto"/>
          <w:color w:val="auto"/>
        </w:rPr>
        <w:t>VAV</w:t>
      </w:r>
      <w:r>
        <w:rPr>
          <w:rFonts w:ascii="Times New Roman" w:cs="Times New Roman" w:eastAsia="Times New Roman" w:hAnsi="Times New Roman"/>
          <w:sz w:val="22"/>
          <w:szCs w:val="22"/>
          <w:color w:val="auto"/>
        </w:rPr>
        <w:t>”) system serving the 777-02 Premises).</w:t>
      </w:r>
    </w:p>
    <w:p>
      <w:pPr>
        <w:spacing w:after="0" w:line="213" w:lineRule="exact"/>
        <w:rPr>
          <w:rFonts w:ascii="Times New Roman" w:cs="Times New Roman" w:eastAsia="Times New Roman" w:hAnsi="Times New Roman"/>
          <w:sz w:val="22"/>
          <w:szCs w:val="22"/>
          <w:color w:val="auto"/>
        </w:rPr>
      </w:pPr>
    </w:p>
    <w:p>
      <w:pPr>
        <w:ind w:left="660" w:right="140" w:hanging="328"/>
        <w:spacing w:after="0" w:line="257"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VFDs shall be provided for each return fan and controlled to interlock with the matched supply fan (provided that, Tenant, at its sole cost, shall be responsible for the final balancing of the return fan VFDs such that they align with Tenant’s VAV system serving the 777-02 Premises).</w:t>
      </w:r>
    </w:p>
    <w:p>
      <w:pPr>
        <w:spacing w:after="0" w:line="213" w:lineRule="exact"/>
        <w:rPr>
          <w:rFonts w:ascii="Times New Roman" w:cs="Times New Roman" w:eastAsia="Times New Roman" w:hAnsi="Times New Roman"/>
          <w:sz w:val="22"/>
          <w:szCs w:val="22"/>
          <w:color w:val="auto"/>
        </w:rPr>
      </w:pPr>
    </w:p>
    <w:p>
      <w:pPr>
        <w:ind w:left="660" w:right="260" w:hanging="328"/>
        <w:spacing w:after="0" w:line="257"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 and install any additional controls required to keep the existing constant volume systems operating at constant air volume to serve the other spaces served by the air handling units (the “</w:t>
      </w:r>
      <w:r>
        <w:rPr>
          <w:rFonts w:ascii="Times New Roman" w:cs="Times New Roman" w:eastAsia="Times New Roman" w:hAnsi="Times New Roman"/>
          <w:sz w:val="22"/>
          <w:szCs w:val="22"/>
          <w:u w:val="single" w:color="auto"/>
          <w:color w:val="auto"/>
        </w:rPr>
        <w:t>AHUs</w:t>
      </w:r>
      <w:r>
        <w:rPr>
          <w:rFonts w:ascii="Times New Roman" w:cs="Times New Roman" w:eastAsia="Times New Roman" w:hAnsi="Times New Roman"/>
          <w:sz w:val="22"/>
          <w:szCs w:val="22"/>
          <w:color w:val="auto"/>
        </w:rPr>
        <w:t>”) as required (i.e., duct dampers, airflow sensors, etc.).</w:t>
      </w:r>
    </w:p>
    <w:p>
      <w:pPr>
        <w:spacing w:after="0" w:line="213" w:lineRule="exact"/>
        <w:rPr>
          <w:rFonts w:ascii="Times New Roman" w:cs="Times New Roman" w:eastAsia="Times New Roman" w:hAnsi="Times New Roman"/>
          <w:sz w:val="22"/>
          <w:szCs w:val="22"/>
          <w:color w:val="auto"/>
        </w:rPr>
      </w:pPr>
    </w:p>
    <w:p>
      <w:pPr>
        <w:ind w:left="660" w:hanging="328"/>
        <w:spacing w:after="0" w:line="250"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a minimum of 1.5 cubic feet per minute (“</w:t>
      </w:r>
      <w:r>
        <w:rPr>
          <w:rFonts w:ascii="Times New Roman" w:cs="Times New Roman" w:eastAsia="Times New Roman" w:hAnsi="Times New Roman"/>
          <w:sz w:val="22"/>
          <w:szCs w:val="22"/>
          <w:u w:val="single" w:color="auto"/>
          <w:color w:val="auto"/>
        </w:rPr>
        <w:t>CFM</w:t>
      </w:r>
      <w:r>
        <w:rPr>
          <w:rFonts w:ascii="Times New Roman" w:cs="Times New Roman" w:eastAsia="Times New Roman" w:hAnsi="Times New Roman"/>
          <w:sz w:val="22"/>
          <w:szCs w:val="22"/>
          <w:color w:val="auto"/>
        </w:rPr>
        <w:t>”) per rentable square feet HVAC capacity with adequate static pressure (approximately 60,000 CFM) from air handlers that are new or recently refurbished. Refurbishment includes new coils, if needed, control valves and coil trim, drain pans and condensate piping and filter racks. The unit casing will be scraped and painted with epoxy paint and any severe damage will be repaired with supplemental sheet metal. The entire case will be lined with perforated double wall acoustical lining.</w:t>
      </w:r>
    </w:p>
    <w:p>
      <w:pPr>
        <w:spacing w:after="0" w:line="222" w:lineRule="exact"/>
        <w:rPr>
          <w:rFonts w:ascii="Times New Roman" w:cs="Times New Roman" w:eastAsia="Times New Roman" w:hAnsi="Times New Roman"/>
          <w:sz w:val="22"/>
          <w:szCs w:val="22"/>
          <w:color w:val="auto"/>
        </w:rPr>
      </w:pPr>
    </w:p>
    <w:p>
      <w:pPr>
        <w:ind w:left="1300" w:right="260" w:hanging="320"/>
        <w:spacing w:after="0" w:line="271"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Heating, cooling and airflow capacity of any refurbished unit shall be equal to or more than 1.5 CFM per rentable square foot.</w:t>
      </w:r>
    </w:p>
    <w:p>
      <w:pPr>
        <w:spacing w:after="0" w:line="198" w:lineRule="exact"/>
        <w:rPr>
          <w:rFonts w:ascii="Times New Roman" w:cs="Times New Roman" w:eastAsia="Times New Roman" w:hAnsi="Times New Roman"/>
          <w:sz w:val="22"/>
          <w:szCs w:val="22"/>
          <w:color w:val="auto"/>
        </w:rPr>
      </w:pPr>
    </w:p>
    <w:p>
      <w:pPr>
        <w:ind w:left="1300" w:right="840" w:hanging="320"/>
        <w:spacing w:after="0" w:line="271"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existing supply fan wheel on AHU units serving the 777-02 Premises will be inspected and replaced if necessary.</w:t>
      </w:r>
    </w:p>
    <w:p>
      <w:pPr>
        <w:spacing w:after="0" w:line="1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supply fan motor on all AHU units serving the 777-02 Premises will be inspected and replaced if necessary.</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H-1</w:t>
      </w:r>
    </w:p>
    <w:p>
      <w:pPr>
        <w:sectPr>
          <w:pgSz w:w="11900" w:h="16838" w:orient="portrait"/>
          <w:cols w:equalWidth="0" w:num="1">
            <w:col w:w="11380"/>
          </w:cols>
          <w:pgMar w:left="240" w:top="365" w:right="279" w:bottom="1440" w:gutter="0" w:footer="0" w:header="0"/>
        </w:sectPr>
      </w:pPr>
    </w:p>
    <w:bookmarkStart w:id="126" w:name="page127"/>
    <w:bookmarkEnd w:id="126"/>
    <w:p>
      <w:pPr>
        <w:ind w:left="968" w:hanging="320"/>
        <w:spacing w:after="0" w:line="257" w:lineRule="auto"/>
        <w:tabs>
          <w:tab w:leader="none" w:pos="96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Tenant (not Landlord) shall provide control points on AHUs and VAVs serving the 777-02 Premises that are JCI compatible and connected to the tenant BMS system and Tenant shall ensure that Landlord has control capabilities into the tenant BMS system.</w:t>
      </w:r>
    </w:p>
    <w:p>
      <w:pPr>
        <w:spacing w:after="0" w:line="21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a base building hot water system for the 777-02 Premises.</w:t>
      </w:r>
    </w:p>
    <w:p>
      <w:pPr>
        <w:spacing w:after="0" w:line="260" w:lineRule="exact"/>
        <w:rPr>
          <w:rFonts w:ascii="Times New Roman" w:cs="Times New Roman" w:eastAsia="Times New Roman" w:hAnsi="Times New Roman"/>
          <w:sz w:val="22"/>
          <w:szCs w:val="22"/>
          <w:color w:val="auto"/>
        </w:rPr>
      </w:pPr>
    </w:p>
    <w:p>
      <w:pPr>
        <w:ind w:left="328" w:right="140" w:hanging="328"/>
        <w:spacing w:after="0" w:line="271"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remove any existing duct mounted humidifiers and reheat coils located in the penthouse serving the 777-02 Premises (reheat coils in other spaces shall remain in place).</w:t>
      </w:r>
    </w:p>
    <w:p>
      <w:pPr>
        <w:spacing w:after="0" w:line="19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identify a location from which Tenant shall extend electric service to the 777-02 Premises.</w:t>
      </w:r>
    </w:p>
    <w:p>
      <w:pPr>
        <w:spacing w:after="0" w:line="260" w:lineRule="exact"/>
        <w:rPr>
          <w:rFonts w:ascii="Times New Roman" w:cs="Times New Roman" w:eastAsia="Times New Roman" w:hAnsi="Times New Roman"/>
          <w:sz w:val="22"/>
          <w:szCs w:val="22"/>
          <w:color w:val="auto"/>
        </w:rPr>
      </w:pPr>
    </w:p>
    <w:p>
      <w:pPr>
        <w:ind w:left="328" w:right="100" w:hanging="328"/>
        <w:spacing w:after="0" w:line="271"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electric service to the 777-02 Premises shall be metered by the base building management system. Electric meters will be used to separate the power usage dedicated to the 777-02 Premises only and will be installed by Landlord.</w:t>
      </w:r>
    </w:p>
    <w:p>
      <w:pPr>
        <w:spacing w:after="0" w:line="198" w:lineRule="exact"/>
        <w:rPr>
          <w:rFonts w:ascii="Times New Roman" w:cs="Times New Roman" w:eastAsia="Times New Roman" w:hAnsi="Times New Roman"/>
          <w:sz w:val="22"/>
          <w:szCs w:val="22"/>
          <w:color w:val="auto"/>
        </w:rPr>
      </w:pPr>
    </w:p>
    <w:p>
      <w:pPr>
        <w:ind w:left="328" w:right="260" w:hanging="328"/>
        <w:spacing w:after="0" w:line="271"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fill the existing floor air distribution holes with an acceptable floor fill material and detail, and modify the existing conditions to adequately close and fire rate all perimeter slab penetrations.</w:t>
      </w:r>
    </w:p>
    <w:p>
      <w:pPr>
        <w:spacing w:after="0" w:line="198" w:lineRule="exact"/>
        <w:rPr>
          <w:rFonts w:ascii="Times New Roman" w:cs="Times New Roman" w:eastAsia="Times New Roman" w:hAnsi="Times New Roman"/>
          <w:sz w:val="22"/>
          <w:szCs w:val="22"/>
          <w:color w:val="auto"/>
        </w:rPr>
      </w:pPr>
    </w:p>
    <w:p>
      <w:pPr>
        <w:ind w:left="328" w:right="20" w:hanging="328"/>
        <w:spacing w:after="0" w:line="252"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overhead duct connections including fire smoke detectors in ductwork at the demising wall for the 777-02 Premises. This work will be coordinated with Tenant as existing tenants vacate the 777-02 Premises. All work in the ceiling areas of the 01 Premises and the Additional 01 Premises will be coordinated with Tenant in an effort to prevent damage to the newly renovated spaces.</w:t>
      </w:r>
    </w:p>
    <w:p>
      <w:pPr>
        <w:spacing w:after="0" w:line="220" w:lineRule="exact"/>
        <w:rPr>
          <w:rFonts w:ascii="Times New Roman" w:cs="Times New Roman" w:eastAsia="Times New Roman" w:hAnsi="Times New Roman"/>
          <w:sz w:val="22"/>
          <w:szCs w:val="22"/>
          <w:color w:val="auto"/>
        </w:rPr>
      </w:pPr>
    </w:p>
    <w:p>
      <w:pPr>
        <w:ind w:left="328" w:right="560" w:hanging="328"/>
        <w:spacing w:after="0" w:line="271"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confirm the heating, cooling and airflow capacity of each AHU unit via a baseline balancing report and forward the information to Tenant for its use.</w:t>
      </w:r>
    </w:p>
    <w:p>
      <w:pPr>
        <w:spacing w:after="0" w:line="198" w:lineRule="exact"/>
        <w:rPr>
          <w:rFonts w:ascii="Times New Roman" w:cs="Times New Roman" w:eastAsia="Times New Roman" w:hAnsi="Times New Roman"/>
          <w:sz w:val="22"/>
          <w:szCs w:val="22"/>
          <w:color w:val="auto"/>
        </w:rPr>
      </w:pPr>
    </w:p>
    <w:p>
      <w:pPr>
        <w:ind w:left="328" w:right="560" w:hanging="328"/>
        <w:spacing w:after="0" w:line="250"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two and one-half inch (2-1/2”) chilled water risers with isolation valves and capped outlets for Tenant’s point of connection beyond the demising wall of the 777-02 Premises. Tenant shall review Landlord’s infrastructure changes to ensure that they meet Tenant’s requirements. If supplemental air conditioning systems are required, they shall be provided by Tenant at its sole cost. Landlord shall provide a system that allows for year-round cooling capability for the 777-02 Premises.</w:t>
      </w:r>
    </w:p>
    <w:p>
      <w:pPr>
        <w:spacing w:after="0" w:line="222" w:lineRule="exact"/>
        <w:rPr>
          <w:rFonts w:ascii="Times New Roman" w:cs="Times New Roman" w:eastAsia="Times New Roman" w:hAnsi="Times New Roman"/>
          <w:sz w:val="22"/>
          <w:szCs w:val="22"/>
          <w:color w:val="auto"/>
        </w:rPr>
      </w:pPr>
    </w:p>
    <w:p>
      <w:pPr>
        <w:jc w:val="both"/>
        <w:ind w:left="328" w:right="500" w:hanging="328"/>
        <w:spacing w:after="0" w:line="257"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a hot water riser to extend down from the heat exchanger in the penthouse to heat the space via perimeter fintube and terminal reheat coils from the building hot water system. Landlord shall confirm or provide heat exchanger(s) that can support tenant additional capacity.</w:t>
      </w:r>
    </w:p>
    <w:p>
      <w:pPr>
        <w:spacing w:after="0" w:line="200" w:lineRule="exact"/>
        <w:rPr>
          <w:sz w:val="20"/>
          <w:szCs w:val="20"/>
          <w:color w:val="auto"/>
        </w:rPr>
      </w:pPr>
    </w:p>
    <w:p>
      <w:pPr>
        <w:spacing w:after="0" w:line="25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22"/>
          <w:szCs w:val="22"/>
          <w:color w:val="auto"/>
        </w:rPr>
        <w:t>H-2</w:t>
      </w:r>
    </w:p>
    <w:p>
      <w:pPr>
        <w:sectPr>
          <w:pgSz w:w="11900" w:h="16838" w:orient="portrait"/>
          <w:cols w:equalWidth="0" w:num="1">
            <w:col w:w="11048"/>
          </w:cols>
          <w:pgMar w:left="572" w:top="369" w:right="279" w:bottom="1440" w:gutter="0" w:footer="0" w:header="0"/>
        </w:sectPr>
      </w:pPr>
    </w:p>
    <w:bookmarkStart w:id="127" w:name="page128"/>
    <w:bookmarkEnd w:id="127"/>
    <w:p>
      <w:pPr>
        <w:ind w:left="328" w:hanging="328"/>
        <w:spacing w:after="0" w:line="252" w:lineRule="auto"/>
        <w:tabs>
          <w:tab w:leader="none" w:pos="3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design, permit and construct fire sprinkler service main, including all controls and valves from the street or building riser to the 777-02 Premises. The main line shall be capped inside the 777-02 Premises and be sized to accommodate ordinary fire hazard coverage as required by the City of Greenburgh and/or Town of Mount Pleasant for office occupancy.</w:t>
      </w:r>
    </w:p>
    <w:p>
      <w:pPr>
        <w:spacing w:after="0" w:line="207"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2"/>
          <w:szCs w:val="22"/>
          <w:color w:val="auto"/>
        </w:rPr>
        <w:t>H-2</w:t>
      </w:r>
    </w:p>
    <w:p>
      <w:pPr>
        <w:sectPr>
          <w:pgSz w:w="11900" w:h="16838" w:orient="portrait"/>
          <w:cols w:equalWidth="0" w:num="1">
            <w:col w:w="10868"/>
          </w:cols>
          <w:pgMar w:left="572" w:top="369" w:right="459" w:bottom="1440" w:gutter="0" w:footer="0" w:header="0"/>
        </w:sectPr>
      </w:pPr>
    </w:p>
    <w:bookmarkStart w:id="128" w:name="page129"/>
    <w:bookmarkEnd w:id="128"/>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VAV WORK AND FINTUBE WORK AND ABATEMENT WORK</w:t>
      </w:r>
    </w:p>
    <w:p>
      <w:pPr>
        <w:spacing w:after="0" w:line="224" w:lineRule="exact"/>
        <w:rPr>
          <w:sz w:val="20"/>
          <w:szCs w:val="20"/>
          <w:color w:val="auto"/>
        </w:rPr>
      </w:pPr>
    </w:p>
    <w:p>
      <w:pPr>
        <w:jc w:val="both"/>
        <w:ind w:left="328" w:hanging="328"/>
        <w:spacing w:after="0" w:line="249"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incorporate a VAV HVAC system into the 777-02 Premises. Tenant shall provide all new ductwork from the existing main duct to the new VAV box and from the VAV box to the diffusers. Tenant shall purchase and install VAV boxes at a quantity of one (1) every one thousand two hundred (1,200) usable square feet (which equals twenty-five (25) VAV boxes for the floor zones) plus two (2) for the conference rooms, one (1) for the IDF (the closet for the fiber/phone/data terminations) and one (1) for the pantry, for a total of twenty-nine (29) VAV boxes. Any VAV boxes over such amount shall be at Tenant’s sole cost and expense.</w:t>
      </w:r>
    </w:p>
    <w:p>
      <w:pPr>
        <w:spacing w:after="0" w:line="221"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install the perimeter hot water fintube loop including elements and control valves to be controlled by Tenant. The building management system will be installed by Tenant.</w:t>
      </w:r>
    </w:p>
    <w:p>
      <w:pPr>
        <w:spacing w:after="0" w:line="198"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perform a survey of the 777-02 Premises to locate any asbestos, vermiculite and other asbestos containing materials located in the 777-02 Premises. Tenant shall abate any asbestos, vermiculite and other asbestos containing materials found in the 777-02 Premises. Tenant shall perform the required air monitoring for any asbestos, vermiculite and other asbestos containing materials found in the 777-02 Premises.</w:t>
      </w:r>
    </w:p>
    <w:p>
      <w:pPr>
        <w:spacing w:after="0" w:line="200" w:lineRule="exact"/>
        <w:rPr>
          <w:sz w:val="20"/>
          <w:szCs w:val="20"/>
          <w:color w:val="auto"/>
        </w:rPr>
      </w:pPr>
    </w:p>
    <w:p>
      <w:pPr>
        <w:spacing w:after="0" w:line="26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I-1</w:t>
      </w:r>
    </w:p>
    <w:p>
      <w:pPr>
        <w:sectPr>
          <w:pgSz w:w="11900" w:h="16838" w:orient="portrait"/>
          <w:cols w:equalWidth="0" w:num="1">
            <w:col w:w="11088"/>
          </w:cols>
          <w:pgMar w:left="572" w:top="365" w:right="239" w:bottom="1440" w:gutter="0" w:footer="0" w:header="0"/>
        </w:sectPr>
      </w:pPr>
    </w:p>
    <w:bookmarkStart w:id="129" w:name="page130"/>
    <w:bookmarkEnd w:id="129"/>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777 S-LEVEL CORRIDOR LANDLORD WORK</w:t>
      </w:r>
    </w:p>
    <w:p>
      <w:pPr>
        <w:spacing w:after="0" w:line="224" w:lineRule="exact"/>
        <w:rPr>
          <w:sz w:val="20"/>
          <w:szCs w:val="20"/>
          <w:color w:val="auto"/>
        </w:rPr>
      </w:pPr>
    </w:p>
    <w:p>
      <w:pPr>
        <w:ind w:left="328" w:hanging="328"/>
        <w:spacing w:after="0" w:line="249" w:lineRule="auto"/>
        <w:tabs>
          <w:tab w:leader="none" w:pos="3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system for year-round conditioned air for exterior stairwell. Final HVAC design and plans to be determined pending engineering review. Landlord shall permit Tenant to reasonably review such plans;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delay (beyond five (5) business days after Tenant’s receipt of the initial HVAC design and plans) as a result of such review shall be considered a Tenant Delay.</w:t>
      </w:r>
    </w:p>
    <w:p>
      <w:pPr>
        <w:ind w:left="328" w:right="100" w:hanging="328"/>
        <w:spacing w:after="0" w:line="248" w:lineRule="auto"/>
        <w:tabs>
          <w:tab w:leader="none" w:pos="3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build a demising wall with an entrance and exit door at the east end of the 777 S-Level Corridor Premises in compliance with Applicable Laws.</w:t>
      </w:r>
    </w:p>
    <w:p>
      <w:pPr>
        <w:spacing w:after="0" w:line="20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J-1</w:t>
      </w:r>
    </w:p>
    <w:p>
      <w:pPr>
        <w:sectPr>
          <w:pgSz w:w="11900" w:h="16838" w:orient="portrait"/>
          <w:cols w:equalWidth="0" w:num="1">
            <w:col w:w="11088"/>
          </w:cols>
          <w:pgMar w:left="572" w:top="365" w:right="239" w:bottom="1440" w:gutter="0" w:footer="0" w:header="0"/>
        </w:sectPr>
      </w:pPr>
    </w:p>
    <w:bookmarkStart w:id="130" w:name="page131"/>
    <w:bookmarkEnd w:id="130"/>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2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u w:val="single" w:color="auto"/>
          <w:color w:val="auto"/>
        </w:rPr>
        <w:t>765 MEZZ LANDLORD WORK</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Landlord shall renovate the bathrooms adjacent to the 765 Mezz Premises to be consistent with Tenant’s other restrooms in the New Premises.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K-1</w:t>
      </w:r>
    </w:p>
    <w:p>
      <w:pPr>
        <w:sectPr>
          <w:pgSz w:w="11900" w:h="16838" w:orient="portrait"/>
          <w:cols w:equalWidth="0" w:num="1">
            <w:col w:w="10960"/>
          </w:cols>
          <w:pgMar w:left="240" w:top="365" w:right="699" w:bottom="1440" w:gutter="0" w:footer="0" w:header="0"/>
        </w:sectPr>
      </w:pPr>
    </w:p>
    <w:bookmarkStart w:id="131" w:name="page132"/>
    <w:bookmarkEnd w:id="13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765 EXPANSION PREMISES III LANDLORD WORK</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Landlord shall demolish any existing improvements, including walls, duct work, casework and hoods and abate any known (if any) asbestos or asbestos containing materials in the 765 Expansion Premises III.</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L-1</w:t>
      </w:r>
    </w:p>
    <w:p>
      <w:pPr>
        <w:sectPr>
          <w:pgSz w:w="11900" w:h="16838" w:orient="portrait"/>
          <w:cols w:equalWidth="0" w:num="1">
            <w:col w:w="11360"/>
          </w:cols>
          <w:pgMar w:left="240" w:top="365" w:right="299" w:bottom="1440" w:gutter="0" w:footer="0" w:header="0"/>
        </w:sectPr>
      </w:pPr>
    </w:p>
    <w:bookmarkStart w:id="132" w:name="page133"/>
    <w:bookmarkEnd w:id="132"/>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01 PREMISES LANDLORD WORK</w:t>
      </w:r>
    </w:p>
    <w:p>
      <w:pPr>
        <w:spacing w:after="0" w:line="224" w:lineRule="exact"/>
        <w:rPr>
          <w:sz w:val="20"/>
          <w:szCs w:val="20"/>
          <w:color w:val="auto"/>
        </w:rPr>
      </w:pPr>
    </w:p>
    <w:p>
      <w:pPr>
        <w:ind w:left="328" w:hanging="328"/>
        <w:spacing w:after="0" w:line="254"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fill the existing floor air distribution holes with an acceptable floor fill material and detail, and modify the existing conditions to adequately close and fire rate all perimeter slab penetrations.</w:t>
      </w:r>
    </w:p>
    <w:p>
      <w:pPr>
        <w:spacing w:after="0" w:line="1"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overhead duct connections including fire smoke dampers and detectors in ductwork in the demised area for the Additional 01 Premises. All work in the ceiling areas of the Additional 01 Premises will be coordinated with Tenant in an effort to prevent damage to newly renovated spaces.</w:t>
      </w: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M-1</w:t>
      </w:r>
    </w:p>
    <w:p>
      <w:pPr>
        <w:sectPr>
          <w:pgSz w:w="11900" w:h="16838" w:orient="portrait"/>
          <w:cols w:equalWidth="0" w:num="1">
            <w:col w:w="11088"/>
          </w:cols>
          <w:pgMar w:left="572" w:top="365" w:right="23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TENANT’S PRO RATA SHARES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80" w:type="dxa"/>
            <w:vAlign w:val="bottom"/>
            <w:tcBorders>
              <w:top w:val="single" w:sz="8" w:color="auto"/>
              <w:left w:val="single" w:sz="8" w:color="auto"/>
            </w:tcBorders>
          </w:tcPr>
          <w:p>
            <w:pPr>
              <w:spacing w:after="0"/>
              <w:rPr>
                <w:sz w:val="21"/>
                <w:szCs w:val="21"/>
                <w:color w:val="auto"/>
              </w:rPr>
            </w:pPr>
          </w:p>
        </w:tc>
        <w:tc>
          <w:tcPr>
            <w:tcW w:w="1920" w:type="dxa"/>
            <w:vAlign w:val="bottom"/>
            <w:tcBorders>
              <w:top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Definition or</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Means the Following:</w:t>
            </w:r>
          </w:p>
        </w:tc>
        <w:tc>
          <w:tcPr>
            <w:tcW w:w="16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Square Feet of</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w:t>
            </w:r>
          </w:p>
        </w:tc>
        <w:tc>
          <w:tcPr>
            <w:tcW w:w="0" w:type="dxa"/>
            <w:vAlign w:val="bottom"/>
          </w:tcPr>
          <w:p>
            <w:pPr>
              <w:spacing w:after="0"/>
              <w:rPr>
                <w:sz w:val="1"/>
                <w:szCs w:val="1"/>
                <w:color w:val="auto"/>
              </w:rPr>
            </w:pPr>
          </w:p>
        </w:tc>
      </w:tr>
      <w:tr>
        <w:trPr>
          <w:trHeight w:val="243"/>
        </w:trPr>
        <w:tc>
          <w:tcPr>
            <w:tcW w:w="280" w:type="dxa"/>
            <w:vAlign w:val="bottom"/>
            <w:tcBorders>
              <w:left w:val="single" w:sz="8" w:color="auto"/>
            </w:tcBorders>
          </w:tcPr>
          <w:p>
            <w:pPr>
              <w:spacing w:after="0"/>
              <w:rPr>
                <w:sz w:val="21"/>
                <w:szCs w:val="21"/>
                <w:color w:val="auto"/>
              </w:rPr>
            </w:pPr>
          </w:p>
        </w:tc>
        <w:tc>
          <w:tcPr>
            <w:tcW w:w="1920" w:type="dxa"/>
            <w:vAlign w:val="bottom"/>
            <w:tcBorders>
              <w:right w:val="single" w:sz="8" w:color="auto"/>
            </w:tcBorders>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Provision</w:t>
            </w:r>
          </w:p>
        </w:tc>
        <w:tc>
          <w:tcPr>
            <w:tcW w:w="23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Rentable Area</w:t>
            </w: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Share of</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Rata Share of</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Rata Share of</w:t>
            </w:r>
          </w:p>
        </w:tc>
        <w:tc>
          <w:tcPr>
            <w:tcW w:w="0" w:type="dxa"/>
            <w:vAlign w:val="bottom"/>
          </w:tcPr>
          <w:p>
            <w:pPr>
              <w:spacing w:after="0"/>
              <w:rPr>
                <w:sz w:val="1"/>
                <w:szCs w:val="1"/>
                <w:color w:val="auto"/>
              </w:rPr>
            </w:pPr>
          </w:p>
        </w:tc>
      </w:tr>
      <w:tr>
        <w:trPr>
          <w:trHeight w:val="243"/>
        </w:trPr>
        <w:tc>
          <w:tcPr>
            <w:tcW w:w="28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Applicable</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Existing Project</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the Entire</w:t>
            </w:r>
          </w:p>
        </w:tc>
        <w:tc>
          <w:tcPr>
            <w:tcW w:w="0" w:type="dxa"/>
            <w:vAlign w:val="bottom"/>
          </w:tcPr>
          <w:p>
            <w:pPr>
              <w:spacing w:after="0"/>
              <w:rPr>
                <w:sz w:val="1"/>
                <w:szCs w:val="1"/>
                <w:color w:val="auto"/>
              </w:rPr>
            </w:pPr>
          </w:p>
        </w:tc>
      </w:tr>
      <w:tr>
        <w:trPr>
          <w:trHeight w:val="243"/>
        </w:trPr>
        <w:tc>
          <w:tcPr>
            <w:tcW w:w="28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Building</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(827,790)</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Project</w:t>
            </w:r>
          </w:p>
        </w:tc>
        <w:tc>
          <w:tcPr>
            <w:tcW w:w="0" w:type="dxa"/>
            <w:vAlign w:val="bottom"/>
          </w:tcPr>
          <w:p>
            <w:pPr>
              <w:spacing w:after="0"/>
              <w:rPr>
                <w:sz w:val="1"/>
                <w:szCs w:val="1"/>
                <w:color w:val="auto"/>
              </w:rPr>
            </w:pPr>
          </w:p>
        </w:tc>
      </w:tr>
      <w:tr>
        <w:trPr>
          <w:trHeight w:val="287"/>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(1,188,310)</w:t>
            </w:r>
          </w:p>
        </w:tc>
        <w:tc>
          <w:tcPr>
            <w:tcW w:w="0" w:type="dxa"/>
            <w:vAlign w:val="bottom"/>
          </w:tcPr>
          <w:p>
            <w:pPr>
              <w:spacing w:after="0"/>
              <w:rPr>
                <w:sz w:val="1"/>
                <w:szCs w:val="1"/>
                <w:color w:val="auto"/>
              </w:rPr>
            </w:pPr>
          </w:p>
        </w:tc>
      </w:tr>
      <w:tr>
        <w:trPr>
          <w:trHeight w:val="96"/>
        </w:trPr>
        <w:tc>
          <w:tcPr>
            <w:tcW w:w="280" w:type="dxa"/>
            <w:vAlign w:val="bottom"/>
            <w:tcBorders>
              <w:left w:val="single" w:sz="8" w:color="auto"/>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2"/>
                <w:szCs w:val="22"/>
                <w:color w:val="auto"/>
              </w:rPr>
              <w:t>Portion of added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777-02 Premises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40,495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11.07%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4.89%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3.41%</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gridSpan w:val="3"/>
            <w:vMerge w:val="restart"/>
          </w:tcPr>
          <w:p>
            <w:pPr>
              <w:ind w:left="180"/>
              <w:spacing w:after="0" w:line="230" w:lineRule="exact"/>
              <w:rPr>
                <w:sz w:val="20"/>
                <w:szCs w:val="20"/>
                <w:color w:val="auto"/>
              </w:rPr>
            </w:pPr>
            <w:r>
              <w:rPr>
                <w:rFonts w:ascii="Times New Roman" w:cs="Times New Roman" w:eastAsia="Times New Roman" w:hAnsi="Times New Roman"/>
                <w:sz w:val="22"/>
                <w:szCs w:val="22"/>
                <w:color w:val="auto"/>
              </w:rPr>
              <w:t>“Premises” and</w:t>
            </w:r>
          </w:p>
        </w:tc>
        <w:tc>
          <w:tcPr>
            <w:tcW w:w="23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200" w:type="dxa"/>
            <w:vAlign w:val="bottom"/>
            <w:tcBorders>
              <w:left w:val="single" w:sz="8" w:color="auto"/>
              <w:right w:val="single" w:sz="8" w:color="auto"/>
            </w:tcBorders>
            <w:gridSpan w:val="3"/>
            <w:vMerge w:val="continue"/>
          </w:tcPr>
          <w:p>
            <w:pPr>
              <w:spacing w:after="0"/>
              <w:rPr>
                <w:sz w:val="11"/>
                <w:szCs w:val="11"/>
                <w:color w:val="auto"/>
              </w:rPr>
            </w:pPr>
          </w:p>
        </w:tc>
        <w:tc>
          <w:tcPr>
            <w:tcW w:w="2300" w:type="dxa"/>
            <w:vAlign w:val="bottom"/>
            <w:tcBorders>
              <w:right w:val="single" w:sz="8" w:color="auto"/>
            </w:tcBorders>
            <w:vMerge w:val="restart"/>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777 S-Level Corridor</w:t>
            </w:r>
          </w:p>
        </w:tc>
        <w:tc>
          <w:tcPr>
            <w:tcW w:w="1600" w:type="dxa"/>
            <w:vAlign w:val="bottom"/>
            <w:tcBorders>
              <w:right w:val="single" w:sz="8" w:color="auto"/>
            </w:tcBorders>
            <w:vMerge w:val="restart"/>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3,783</w:t>
            </w:r>
          </w:p>
        </w:tc>
        <w:tc>
          <w:tcPr>
            <w:tcW w:w="1940" w:type="dxa"/>
            <w:vAlign w:val="bottom"/>
            <w:tcBorders>
              <w:right w:val="single" w:sz="8" w:color="auto"/>
            </w:tcBorders>
            <w:vMerge w:val="restart"/>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1.03%</w:t>
            </w:r>
          </w:p>
        </w:tc>
        <w:tc>
          <w:tcPr>
            <w:tcW w:w="1700" w:type="dxa"/>
            <w:vAlign w:val="bottom"/>
            <w:tcBorders>
              <w:right w:val="single" w:sz="8" w:color="auto"/>
            </w:tcBorders>
            <w:vMerge w:val="restart"/>
          </w:tcPr>
          <w:p>
            <w:pPr>
              <w:jc w:val="center"/>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1700" w:type="dxa"/>
            <w:vAlign w:val="bottom"/>
            <w:tcBorders>
              <w:right w:val="single" w:sz="8" w:color="auto"/>
            </w:tcBorders>
            <w:vMerge w:val="restart"/>
          </w:tcPr>
          <w:p>
            <w:pPr>
              <w:jc w:val="center"/>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vMerge w:val="continue"/>
          </w:tcPr>
          <w:p>
            <w:pPr>
              <w:spacing w:after="0" w:line="20" w:lineRule="exact"/>
              <w:rPr>
                <w:sz w:val="1"/>
                <w:szCs w:val="1"/>
                <w:color w:val="auto"/>
              </w:rPr>
            </w:pPr>
          </w:p>
        </w:tc>
        <w:tc>
          <w:tcPr>
            <w:tcW w:w="1600" w:type="dxa"/>
            <w:vAlign w:val="bottom"/>
            <w:tcBorders>
              <w:right w:val="single" w:sz="8" w:color="auto"/>
            </w:tcBorders>
            <w:vMerge w:val="continue"/>
          </w:tcPr>
          <w:p>
            <w:pPr>
              <w:spacing w:after="0" w:line="20" w:lineRule="exact"/>
              <w:rPr>
                <w:sz w:val="1"/>
                <w:szCs w:val="1"/>
                <w:color w:val="auto"/>
              </w:rPr>
            </w:pPr>
          </w:p>
        </w:tc>
        <w:tc>
          <w:tcPr>
            <w:tcW w:w="1940" w:type="dxa"/>
            <w:vAlign w:val="bottom"/>
            <w:tcBorders>
              <w:right w:val="single" w:sz="8" w:color="auto"/>
            </w:tcBorders>
            <w:vMerge w:val="continue"/>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tcBorders>
              <w:left w:val="single" w:sz="8" w:color="auto"/>
              <w:right w:val="single" w:sz="8" w:color="auto"/>
            </w:tcBorders>
            <w:gridSpan w:val="3"/>
            <w:vMerge w:val="restart"/>
          </w:tcPr>
          <w:p>
            <w:pPr>
              <w:ind w:left="180"/>
              <w:spacing w:after="0" w:line="237" w:lineRule="exact"/>
              <w:rPr>
                <w:sz w:val="20"/>
                <w:szCs w:val="20"/>
                <w:color w:val="auto"/>
              </w:rPr>
            </w:pPr>
            <w:r>
              <w:rPr>
                <w:rFonts w:ascii="Times New Roman" w:cs="Times New Roman" w:eastAsia="Times New Roman" w:hAnsi="Times New Roman"/>
                <w:sz w:val="22"/>
                <w:szCs w:val="22"/>
                <w:color w:val="auto"/>
              </w:rPr>
              <w:t>corresponding</w:t>
            </w:r>
          </w:p>
        </w:tc>
        <w:tc>
          <w:tcPr>
            <w:tcW w:w="23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gridSpan w:val="3"/>
            <w:vMerge w:val="continue"/>
          </w:tcPr>
          <w:p>
            <w:pPr>
              <w:spacing w:after="0"/>
              <w:rPr>
                <w:sz w:val="12"/>
                <w:szCs w:val="12"/>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Premises</w:t>
            </w:r>
          </w:p>
        </w:tc>
        <w:tc>
          <w:tcPr>
            <w:tcW w:w="160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00" w:type="dxa"/>
            <w:vAlign w:val="bottom"/>
            <w:tcBorders>
              <w:left w:val="single" w:sz="8" w:color="auto"/>
              <w:right w:val="single" w:sz="8" w:color="auto"/>
            </w:tcBorders>
            <w:gridSpan w:val="3"/>
            <w:vMerge w:val="restart"/>
          </w:tcPr>
          <w:p>
            <w:pPr>
              <w:ind w:left="180"/>
              <w:spacing w:after="0" w:line="230" w:lineRule="exact"/>
              <w:rPr>
                <w:sz w:val="20"/>
                <w:szCs w:val="20"/>
                <w:color w:val="auto"/>
              </w:rPr>
            </w:pPr>
            <w:r>
              <w:rPr>
                <w:rFonts w:ascii="Times New Roman" w:cs="Times New Roman" w:eastAsia="Times New Roman" w:hAnsi="Times New Roman"/>
                <w:sz w:val="22"/>
                <w:szCs w:val="22"/>
                <w:color w:val="auto"/>
              </w:rPr>
              <w:t>Rentable Area</w:t>
            </w:r>
          </w:p>
        </w:tc>
        <w:tc>
          <w:tcPr>
            <w:tcW w:w="23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200" w:type="dxa"/>
            <w:vAlign w:val="bottom"/>
            <w:tcBorders>
              <w:left w:val="single" w:sz="8" w:color="auto"/>
              <w:right w:val="single" w:sz="8" w:color="auto"/>
            </w:tcBorders>
            <w:gridSpan w:val="3"/>
            <w:vMerge w:val="continue"/>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765 2nd Floor Corridor</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416</w:t>
            </w:r>
          </w:p>
        </w:tc>
        <w:tc>
          <w:tcPr>
            <w:tcW w:w="194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.05%</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Premises</w:t>
            </w:r>
          </w:p>
        </w:tc>
        <w:tc>
          <w:tcPr>
            <w:tcW w:w="16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8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765 Mezz Premises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32,519</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15.65%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3.93%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2.74%</w:t>
            </w:r>
          </w:p>
        </w:tc>
        <w:tc>
          <w:tcPr>
            <w:tcW w:w="0" w:type="dxa"/>
            <w:vAlign w:val="bottom"/>
          </w:tcPr>
          <w:p>
            <w:pPr>
              <w:spacing w:after="0"/>
              <w:rPr>
                <w:sz w:val="1"/>
                <w:szCs w:val="1"/>
                <w:color w:val="auto"/>
              </w:rPr>
            </w:pPr>
          </w:p>
        </w:tc>
      </w:tr>
      <w:tr>
        <w:trPr>
          <w:trHeight w:val="96"/>
        </w:trPr>
        <w:tc>
          <w:tcPr>
            <w:tcW w:w="28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765 2nd Floor Elevator</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537</w:t>
            </w:r>
          </w:p>
        </w:tc>
        <w:tc>
          <w:tcPr>
            <w:tcW w:w="194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.06%</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.05%</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Lobby Premises</w:t>
            </w:r>
          </w:p>
        </w:tc>
        <w:tc>
          <w:tcPr>
            <w:tcW w:w="16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8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765 Expansion</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1,054</w:t>
            </w:r>
          </w:p>
        </w:tc>
        <w:tc>
          <w:tcPr>
            <w:tcW w:w="194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.51%</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17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.09%</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Premises III</w:t>
            </w:r>
          </w:p>
        </w:tc>
        <w:tc>
          <w:tcPr>
            <w:tcW w:w="16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8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Additional 01 Premises</w:t>
            </w:r>
          </w:p>
        </w:tc>
        <w:tc>
          <w:tcPr>
            <w:tcW w:w="160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1,675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.46%</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96"/>
        </w:trPr>
        <w:tc>
          <w:tcPr>
            <w:tcW w:w="280" w:type="dxa"/>
            <w:vAlign w:val="bottom"/>
            <w:tcBorders>
              <w:left w:val="single" w:sz="8" w:color="auto"/>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N-1</w:t>
      </w:r>
    </w:p>
    <w:p>
      <w:pPr>
        <w:sectPr>
          <w:pgSz w:w="11900" w:h="16838" w:orient="portrait"/>
          <w:cols w:equalWidth="0" w:num="1">
            <w:col w:w="11440"/>
          </w:cols>
          <w:pgMar w:left="240" w:top="365" w:right="21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SPACE LICENSE TERMINATION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O-1</w:t>
      </w:r>
    </w:p>
    <w:p>
      <w:pPr>
        <w:sectPr>
          <w:pgSz w:w="11900" w:h="16838" w:orient="portrait"/>
          <w:cols w:equalWidth="0" w:num="1">
            <w:col w:w="9019"/>
          </w:cols>
          <w:pgMar w:left="1440" w:top="365"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2"/>
          <w:szCs w:val="22"/>
          <w:b w:val="1"/>
          <w:bCs w:val="1"/>
          <w:color w:val="auto"/>
        </w:rPr>
        <w:t>SPACE LICENSE TERMINATION 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SPACE LICENSE TERMINATION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this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day of October, 2012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User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75" w:lineRule="auto"/>
        <w:tabs>
          <w:tab w:leader="none" w:pos="143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Owner and User entered into that certain Space License Agreement (“</w:t>
      </w:r>
      <w:r>
        <w:rPr>
          <w:rFonts w:ascii="Times New Roman" w:cs="Times New Roman" w:eastAsia="Times New Roman" w:hAnsi="Times New Roman"/>
          <w:sz w:val="21"/>
          <w:szCs w:val="21"/>
          <w:u w:val="single" w:color="auto"/>
          <w:color w:val="auto"/>
        </w:rPr>
        <w:t>Space License</w:t>
      </w:r>
      <w:r>
        <w:rPr>
          <w:rFonts w:ascii="Times New Roman" w:cs="Times New Roman" w:eastAsia="Times New Roman" w:hAnsi="Times New Roman"/>
          <w:sz w:val="21"/>
          <w:szCs w:val="21"/>
          <w:color w:val="auto"/>
        </w:rPr>
        <w:t>”) dated as of the June 4, 2012 whereby User licenses from Owner approximately seven thousand one hundred ten (7,110) square feet of rentable area on the mezzanine level of the building located at 765 Old Saw Mill River Road in Tarrytown, New York (the “</w:t>
      </w:r>
      <w:r>
        <w:rPr>
          <w:rFonts w:ascii="Times New Roman" w:cs="Times New Roman" w:eastAsia="Times New Roman" w:hAnsi="Times New Roman"/>
          <w:sz w:val="21"/>
          <w:szCs w:val="21"/>
          <w:u w:val="single" w:color="auto"/>
          <w:color w:val="auto"/>
        </w:rPr>
        <w:t>License Area</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ind w:left="1520" w:hanging="864"/>
        <w:spacing w:after="0"/>
        <w:tabs>
          <w:tab w:leader="none" w:pos="15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the Term of the Space License continues on a month-to-month basis through May 31, 2013;</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48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User desires to lease the License Area pursuant to an amendment to the Lease (as defined in the Space License); and</w:t>
      </w:r>
    </w:p>
    <w:p>
      <w:pPr>
        <w:spacing w:after="0" w:line="157"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Owner and User desire to terminate the Space License in accordance with the following provisions.</w:t>
      </w:r>
    </w:p>
    <w:p>
      <w:pPr>
        <w:spacing w:after="0" w:line="227" w:lineRule="exact"/>
        <w:rPr>
          <w:rFonts w:ascii="Times New Roman" w:cs="Times New Roman" w:eastAsia="Times New Roman" w:hAnsi="Times New Roman"/>
          <w:sz w:val="21"/>
          <w:szCs w:val="21"/>
          <w:color w:val="auto"/>
        </w:rPr>
      </w:pPr>
    </w:p>
    <w:p>
      <w:pPr>
        <w:ind w:left="50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Owner and User,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jc w:val="both"/>
        <w:ind w:firstLine="656"/>
        <w:spacing w:after="0" w:line="257" w:lineRule="auto"/>
        <w:tabs>
          <w:tab w:leader="none" w:pos="145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Space License Agreement</w:t>
      </w:r>
      <w:r>
        <w:rPr>
          <w:rFonts w:ascii="Times New Roman" w:cs="Times New Roman" w:eastAsia="Times New Roman" w:hAnsi="Times New Roman"/>
          <w:sz w:val="22"/>
          <w:szCs w:val="22"/>
          <w:color w:val="auto"/>
        </w:rPr>
        <w:t>. The parties hereby terminate the Space License as of the Execution Date, and on the Execution Date the Space License shall be terminated and shall no longer be of any force or effect, except for those provisions that, by their express terms, survive the expiration or earlier termination thereof.</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45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of Parties</w:t>
      </w:r>
      <w:r>
        <w:rPr>
          <w:rFonts w:ascii="Times New Roman" w:cs="Times New Roman" w:eastAsia="Times New Roman" w:hAnsi="Times New Roman"/>
          <w:sz w:val="22"/>
          <w:szCs w:val="22"/>
          <w:color w:val="auto"/>
        </w:rPr>
        <w:t>. Each party represents that it has not made any assignment, sublease, transfer, conveyance or other disposition of the Space License or any interest therein, nor made or entered into any agreement that would result in any mechanic’s lien or other claim, demand, obligation, liability, action or cause of action arising from or with respect to the Space License or the License Area.</w:t>
      </w:r>
    </w:p>
    <w:p>
      <w:pPr>
        <w:spacing w:after="0" w:line="179"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100" w:hanging="795"/>
        <w:spacing w:after="0"/>
        <w:tabs>
          <w:tab w:leader="none" w:pos="21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The parties have read this Agreement and have freely and voluntarily entered into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195" w:lineRule="exact"/>
        <w:rPr>
          <w:rFonts w:ascii="Times New Roman" w:cs="Times New Roman" w:eastAsia="Times New Roman" w:hAnsi="Times New Roman"/>
          <w:sz w:val="22"/>
          <w:szCs w:val="22"/>
          <w:color w:val="auto"/>
        </w:rPr>
      </w:pPr>
    </w:p>
    <w:p>
      <w:pPr>
        <w:ind w:firstLine="1305"/>
        <w:spacing w:after="0" w:line="271" w:lineRule="auto"/>
        <w:tabs>
          <w:tab w:leader="none" w:pos="210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either party commences an action against the other party arising out of or in connection with this Agreement, then the substantially prevailing party shall be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O-2</w:t>
      </w:r>
    </w:p>
    <w:p>
      <w:pPr>
        <w:sectPr>
          <w:pgSz w:w="11900" w:h="16838" w:orient="portrait"/>
          <w:cols w:equalWidth="0" w:num="1">
            <w:col w:w="11420"/>
          </w:cols>
          <w:pgMar w:left="240" w:top="365" w:right="239" w:bottom="1440" w:gutter="0" w:footer="0" w:header="0"/>
        </w:sectPr>
      </w:pPr>
    </w:p>
    <w:bookmarkStart w:id="136" w:name="page137"/>
    <w:bookmarkEnd w:id="136"/>
    <w:p>
      <w:pPr>
        <w:spacing w:after="0" w:line="271" w:lineRule="auto"/>
        <w:rPr>
          <w:sz w:val="20"/>
          <w:szCs w:val="20"/>
          <w:color w:val="auto"/>
        </w:rPr>
      </w:pPr>
      <w:r>
        <w:rPr>
          <w:rFonts w:ascii="Times New Roman" w:cs="Times New Roman" w:eastAsia="Times New Roman" w:hAnsi="Times New Roman"/>
          <w:sz w:val="22"/>
          <w:szCs w:val="22"/>
          <w:color w:val="auto"/>
        </w:rPr>
        <w:t>reimbursed by the other party for all reasonable costs and expenses, including reasonable attorneys’ fees and expenses, incurred by the substantially prevailing party in such action or proceeding and in any appeal in connection therewith.</w:t>
      </w:r>
    </w:p>
    <w:p>
      <w:pPr>
        <w:spacing w:after="0" w:line="158" w:lineRule="exact"/>
        <w:rPr>
          <w:sz w:val="20"/>
          <w:szCs w:val="20"/>
          <w:color w:val="auto"/>
        </w:rPr>
      </w:pPr>
    </w:p>
    <w:p>
      <w:pPr>
        <w:ind w:left="2100" w:hanging="795"/>
        <w:spacing w:after="0"/>
        <w:tabs>
          <w:tab w:leader="none" w:pos="21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shall be binding on and inure to the benefit of the parties and their successors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assigns.</w:t>
      </w:r>
    </w:p>
    <w:p>
      <w:pPr>
        <w:spacing w:after="0" w:line="196" w:lineRule="exact"/>
        <w:rPr>
          <w:sz w:val="20"/>
          <w:szCs w:val="20"/>
          <w:color w:val="auto"/>
        </w:rPr>
      </w:pPr>
    </w:p>
    <w:p>
      <w:pPr>
        <w:ind w:firstLine="1305"/>
        <w:spacing w:after="0" w:line="271" w:lineRule="auto"/>
        <w:tabs>
          <w:tab w:leader="none" w:pos="210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that, when taken together, shall constitute one original.</w:t>
      </w:r>
    </w:p>
    <w:p>
      <w:pPr>
        <w:spacing w:after="0" w:line="157" w:lineRule="exact"/>
        <w:rPr>
          <w:rFonts w:ascii="Times New Roman" w:cs="Times New Roman" w:eastAsia="Times New Roman" w:hAnsi="Times New Roman"/>
          <w:sz w:val="22"/>
          <w:szCs w:val="22"/>
          <w:color w:val="auto"/>
        </w:rPr>
      </w:pPr>
    </w:p>
    <w:p>
      <w:pPr>
        <w:ind w:left="2100" w:hanging="795"/>
        <w:spacing w:after="0"/>
        <w:tabs>
          <w:tab w:leader="none" w:pos="21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not otherwise defined herein shall have the meanings given them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Space License.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O-3</w:t>
      </w:r>
    </w:p>
    <w:p>
      <w:pPr>
        <w:sectPr>
          <w:pgSz w:w="11900" w:h="16838" w:orient="portrait"/>
          <w:cols w:equalWidth="0" w:num="1">
            <w:col w:w="11420"/>
          </w:cols>
          <w:pgMar w:left="240" w:top="369" w:right="2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hereinabove first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OWNER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USER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18"/>
        </w:trPr>
        <w:tc>
          <w:tcPr>
            <w:tcW w:w="880" w:type="dxa"/>
            <w:vAlign w:val="bottom"/>
          </w:tcPr>
          <w:p>
            <w:pPr>
              <w:spacing w:after="0"/>
              <w:rPr>
                <w:sz w:val="18"/>
                <w:szCs w:val="18"/>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and Chief Financial Officer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O-4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NYI-4474585v10</w:t>
      </w:r>
    </w:p>
    <w:p>
      <w:pPr>
        <w:sectPr>
          <w:pgSz w:w="11900" w:h="16838" w:orient="portrait"/>
          <w:cols w:equalWidth="0" w:num="1">
            <w:col w:w="10219"/>
          </w:cols>
          <w:pgMar w:left="240" w:top="369"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FOURTEENTH AMENDMENT TO LEASE</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FOURTEENTH AMENDMENT TO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this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October, 2013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45" w:lineRule="auto"/>
        <w:tabs>
          <w:tab w:leader="none" w:pos="150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(the “</w:t>
      </w:r>
      <w:r>
        <w:rPr>
          <w:rFonts w:ascii="Times New Roman" w:cs="Times New Roman" w:eastAsia="Times New Roman" w:hAnsi="Times New Roman"/>
          <w:sz w:val="22"/>
          <w:szCs w:val="22"/>
          <w:u w:val="single" w:color="auto"/>
          <w:color w:val="auto"/>
        </w:rPr>
        <w:t>Ninth Amendment</w:t>
      </w:r>
      <w:r>
        <w:rPr>
          <w:rFonts w:ascii="Times New Roman" w:cs="Times New Roman" w:eastAsia="Times New Roman" w:hAnsi="Times New Roman"/>
          <w:sz w:val="22"/>
          <w:szCs w:val="22"/>
          <w:color w:val="auto"/>
        </w:rPr>
        <w:t>”), that certain Tenth Amendment to Lease dated as of October 25, 2012 (the “</w:t>
      </w:r>
      <w:r>
        <w:rPr>
          <w:rFonts w:ascii="Times New Roman" w:cs="Times New Roman" w:eastAsia="Times New Roman" w:hAnsi="Times New Roman"/>
          <w:sz w:val="22"/>
          <w:szCs w:val="22"/>
          <w:u w:val="single" w:color="auto"/>
          <w:color w:val="auto"/>
        </w:rPr>
        <w:t>Tenth Amendment</w:t>
      </w:r>
      <w:r>
        <w:rPr>
          <w:rFonts w:ascii="Times New Roman" w:cs="Times New Roman" w:eastAsia="Times New Roman" w:hAnsi="Times New Roman"/>
          <w:sz w:val="22"/>
          <w:szCs w:val="22"/>
          <w:color w:val="auto"/>
        </w:rPr>
        <w:t>”), that certain Eleventh Amendment to Lease dated as of April 3, 2013, that certain Twelfth Amendment to Lease dated as of May 31, 2013 and that certain Thirteenth Amendment to Lease dated as of May 31, 2013 (collectively, and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whereby Tenant leases certain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from Landlord at 735, 745, 755, 765 and 777 Old Saw Mill River Road in Tarrytown, New York (collectively, the “</w:t>
      </w: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ind w:firstLine="656"/>
        <w:spacing w:after="0" w:line="271" w:lineRule="auto"/>
        <w:tabs>
          <w:tab w:leader="none" w:pos="14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has completed the 777-02 Landlord Work (as defined in the Tenth Amendment) and, therefore, the Term with respect to the 777-02 Premises (as defined in the Tenth Amendment) has commenced;</w:t>
      </w:r>
    </w:p>
    <w:p>
      <w:pPr>
        <w:spacing w:after="0" w:line="157"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Tenant desires Landlord to complete additional work in the 777-02 Premises;</w:t>
      </w:r>
    </w:p>
    <w:p>
      <w:pPr>
        <w:spacing w:after="0" w:line="210" w:lineRule="exact"/>
        <w:rPr>
          <w:rFonts w:ascii="Times New Roman" w:cs="Times New Roman" w:eastAsia="Times New Roman" w:hAnsi="Times New Roman"/>
          <w:sz w:val="22"/>
          <w:szCs w:val="22"/>
          <w:color w:val="auto"/>
        </w:rPr>
      </w:pPr>
    </w:p>
    <w:p>
      <w:pPr>
        <w:ind w:firstLine="656"/>
        <w:spacing w:after="0" w:line="228" w:lineRule="auto"/>
        <w:tabs>
          <w:tab w:leader="none" w:pos="150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Tenant’s termination rights with respect to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Swing Space (as defined in the Tenth Amendment); and</w:t>
      </w:r>
    </w:p>
    <w:p>
      <w:pPr>
        <w:spacing w:after="0" w:line="191" w:lineRule="exact"/>
        <w:rPr>
          <w:rFonts w:ascii="Times New Roman" w:cs="Times New Roman" w:eastAsia="Times New Roman" w:hAnsi="Times New Roman"/>
          <w:sz w:val="22"/>
          <w:szCs w:val="22"/>
          <w:color w:val="auto"/>
        </w:rPr>
      </w:pPr>
    </w:p>
    <w:p>
      <w:pPr>
        <w:ind w:firstLine="656"/>
        <w:spacing w:after="0" w:line="271" w:lineRule="auto"/>
        <w:tabs>
          <w:tab w:leader="none" w:pos="148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Lease only in the respects and on the conditions hereinafter 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BMR form dated 2/1/13</w:t>
      </w:r>
    </w:p>
    <w:p>
      <w:pPr>
        <w:sectPr>
          <w:pgSz w:w="11900" w:h="16838" w:orient="portrait"/>
          <w:cols w:equalWidth="0" w:num="1">
            <w:col w:w="11420"/>
          </w:cols>
          <w:pgMar w:left="240" w:top="360" w:right="239" w:bottom="1440" w:gutter="0" w:footer="0" w:header="0"/>
        </w:sectPr>
      </w:pPr>
    </w:p>
    <w:bookmarkStart w:id="139" w:name="page140"/>
    <w:bookmarkEnd w:id="139"/>
    <w:p>
      <w:pPr>
        <w:ind w:firstLine="656"/>
        <w:spacing w:after="0" w:line="295" w:lineRule="auto"/>
        <w:tabs>
          <w:tab w:leader="none" w:pos="145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Amendment, capitalized terms shall have the meanings ascribed to them in the Lease unless otherwise defined herein. The Lease, as amended by this Amendment, is referred to herein as the “</w:t>
      </w:r>
      <w:r>
        <w:rPr>
          <w:rFonts w:ascii="Times New Roman" w:cs="Times New Roman" w:eastAsia="Times New Roman" w:hAnsi="Times New Roman"/>
          <w:sz w:val="21"/>
          <w:szCs w:val="21"/>
          <w:u w:val="single" w:color="auto"/>
          <w:color w:val="auto"/>
        </w:rPr>
        <w:t>Amended Lease</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jc w:val="both"/>
        <w:ind w:firstLine="656"/>
        <w:spacing w:after="0" w:line="257" w:lineRule="auto"/>
        <w:tabs>
          <w:tab w:leader="none" w:pos="145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777-02 Premises</w:t>
      </w:r>
      <w:r>
        <w:rPr>
          <w:rFonts w:ascii="Times New Roman" w:cs="Times New Roman" w:eastAsia="Times New Roman" w:hAnsi="Times New Roman"/>
          <w:sz w:val="22"/>
          <w:szCs w:val="22"/>
          <w:color w:val="auto"/>
        </w:rPr>
        <w:t>. Landlord and Tenant acknowledge and agree that (a) Landlord has tendered possession of the 777-02 Premises to Tenant in compliance with all of the terms and conditions of the Amended Lease and with the 777-02 Landlord Work substantially complete and (b) the 777-02 Premises Commencement Date is March 12, 2013.</w:t>
      </w:r>
    </w:p>
    <w:p>
      <w:pPr>
        <w:spacing w:after="0" w:line="173"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777-02 Landlord Work</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firstLine="1305"/>
        <w:spacing w:after="0" w:line="258" w:lineRule="auto"/>
        <w:tabs>
          <w:tab w:leader="none" w:pos="193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at Landlord’s sole cost and expense, cause the work described on attached Exhibit A (the “</w:t>
      </w:r>
      <w:r>
        <w:rPr>
          <w:rFonts w:ascii="Times New Roman" w:cs="Times New Roman" w:eastAsia="Times New Roman" w:hAnsi="Times New Roman"/>
          <w:sz w:val="21"/>
          <w:szCs w:val="21"/>
          <w:u w:val="single" w:color="auto"/>
          <w:color w:val="auto"/>
        </w:rPr>
        <w:t>Additional 777-02 Landlord Work</w:t>
      </w:r>
      <w:r>
        <w:rPr>
          <w:rFonts w:ascii="Times New Roman" w:cs="Times New Roman" w:eastAsia="Times New Roman" w:hAnsi="Times New Roman"/>
          <w:sz w:val="21"/>
          <w:szCs w:val="21"/>
          <w:color w:val="auto"/>
        </w:rPr>
        <w:t>”) to be completed in the 777-02 Premises. Landlord shall commence the Additional 777-02 Landlord Work as soon as reasonably practicable after the Execution Date and shall diligently continue such work until completion (subject to Tenant’s rights pursuant to Section 3(b) below). Tenant acknowledges that Landlord will be constructing the Additional 777-02 Landlord Work in the 777-02 Premises during Tenant’s occupancy thereof. Tenant shall permit Landlord to enter the 777-02 Premises at all times (including during business hours) to construct the Additional 777-02 Landlord Work, and Tenant shall otherwise reasonably cooperate with Landlord throughout the construction process to enable Landlord to complete the Additional 777-02 Landlord Work in a timely and efficient manner. In accessing the 777-02 Premises and constructing the Additional 777-02 Landlord Work, Landlord shall reasonably cooperate with Tenant so as to cause as little interference to Tenant as is reasonably possible; provided, however, that in no event shall Landlord’s construction of the Additional 777-02 Landlord Work in the 777-02 Premises (a) cause Rent to abate under the Amended Lease or (b) constitute a forcible or unlawful entry, a detainer or an eviction of Tenant. In the event that Tenant fails to comply with any of its obligations under this Section and such failure causes Landlord to incur additional costs with respect to the Additional 777-02 Landlord Work, Tenant shall pay to Landlord as Additional Rent the amount of any such additional costs within thirty (30) days of receiving an invoice from Landlord.</w:t>
      </w:r>
    </w:p>
    <w:p>
      <w:pPr>
        <w:spacing w:after="0" w:line="174" w:lineRule="exact"/>
        <w:rPr>
          <w:rFonts w:ascii="Times New Roman" w:cs="Times New Roman" w:eastAsia="Times New Roman" w:hAnsi="Times New Roman"/>
          <w:sz w:val="21"/>
          <w:szCs w:val="21"/>
          <w:color w:val="auto"/>
        </w:rPr>
      </w:pPr>
    </w:p>
    <w:p>
      <w:pPr>
        <w:jc w:val="both"/>
        <w:ind w:firstLine="1305"/>
        <w:spacing w:after="0" w:line="246" w:lineRule="auto"/>
        <w:tabs>
          <w:tab w:leader="none" w:pos="185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has not completed the Additional 777-02 Landlord Work on or before February 14, 2014, then Tenant may (but is not obligated to) notify Landlord that Tenant intends to complete such Additional 777-02 Landlord Work, which notice shall contain a reference to this Section 3(b) (a “</w:t>
      </w:r>
      <w:r>
        <w:rPr>
          <w:rFonts w:ascii="Times New Roman" w:cs="Times New Roman" w:eastAsia="Times New Roman" w:hAnsi="Times New Roman"/>
          <w:sz w:val="22"/>
          <w:szCs w:val="22"/>
          <w:u w:val="single" w:color="auto"/>
          <w:color w:val="auto"/>
        </w:rPr>
        <w:t>777-02 Self-Help Warning Notice</w:t>
      </w:r>
      <w:r>
        <w:rPr>
          <w:rFonts w:ascii="Times New Roman" w:cs="Times New Roman" w:eastAsia="Times New Roman" w:hAnsi="Times New Roman"/>
          <w:sz w:val="22"/>
          <w:szCs w:val="22"/>
          <w:color w:val="auto"/>
        </w:rPr>
        <w:t>”). If, five (5) business days after receiving the 777-02 Self-Help Warning Notice, Landlord has still not completed the Additional 777-02 Landlord Work, then notwithstanding anything to the contrary in the Lease (including this Amendment), Tenant may complete such Additional 777-02 Landlord Work (the “</w:t>
      </w:r>
      <w:r>
        <w:rPr>
          <w:rFonts w:ascii="Times New Roman" w:cs="Times New Roman" w:eastAsia="Times New Roman" w:hAnsi="Times New Roman"/>
          <w:sz w:val="22"/>
          <w:szCs w:val="22"/>
          <w:u w:val="single" w:color="auto"/>
          <w:color w:val="auto"/>
        </w:rPr>
        <w:t>777-02 Self-Help Work</w:t>
      </w:r>
      <w:r>
        <w:rPr>
          <w:rFonts w:ascii="Times New Roman" w:cs="Times New Roman" w:eastAsia="Times New Roman" w:hAnsi="Times New Roman"/>
          <w:sz w:val="22"/>
          <w:szCs w:val="22"/>
          <w:color w:val="auto"/>
        </w:rPr>
        <w:t xml:space="preserve">”) and shall have reasonable access to all portions of the 777 Building necessary to complete such work, provided that: (a) the 777-02 Self-Help Work shall not adversely affect (even in a de-minimis manner) any other tenant or any Utilities, except to the extent set forth in the plans and drawings for the Additional 777-02 Landlord Work; (b) Tenant shall act in a commercially reasonable manner and diligently endeavor to minimize the cost of the 777-02 Self-Help Work; and (c) Tenant shall complete the 777-02 Self-Help Work (i) in a good and workmanlike manner, (ii) in compliance with Applicable Laws and (iii) in accordance with the plans attached to this Amendment as </w:t>
      </w:r>
      <w:r>
        <w:rPr>
          <w:rFonts w:ascii="Times New Roman" w:cs="Times New Roman" w:eastAsia="Times New Roman" w:hAnsi="Times New Roman"/>
          <w:sz w:val="22"/>
          <w:szCs w:val="22"/>
          <w:u w:val="single" w:color="auto"/>
          <w:color w:val="auto"/>
        </w:rPr>
        <w:t>Exhibit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140" w:name="page141"/>
    <w:bookmarkEnd w:id="140"/>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Notwithstanding the foregoing, Tenant shall not engage in 777-02 Self-Help Work involving building systems that serve both Tenant and any other tenant, except to the extent set forth in the plans and drawings for the Additional 777-02 Landlord Work. Landlord shall promptly reimburse Tenant (or allow Tenant a credit against Basic Annual Rent) for Tenant’s actual, reasonable, necessary, and reasonably documented cost of any 777-02 Self-Help Work.</w:t>
      </w:r>
    </w:p>
    <w:p>
      <w:pPr>
        <w:spacing w:after="0" w:line="200" w:lineRule="exact"/>
        <w:rPr>
          <w:sz w:val="20"/>
          <w:szCs w:val="20"/>
          <w:color w:val="auto"/>
        </w:rPr>
      </w:pPr>
    </w:p>
    <w:p>
      <w:pPr>
        <w:spacing w:after="0" w:line="228" w:lineRule="exact"/>
        <w:rPr>
          <w:sz w:val="20"/>
          <w:szCs w:val="20"/>
          <w:color w:val="auto"/>
        </w:rPr>
      </w:pPr>
    </w:p>
    <w:p>
      <w:pPr>
        <w:ind w:firstLine="656"/>
        <w:spacing w:after="0" w:line="228" w:lineRule="auto"/>
        <w:tabs>
          <w:tab w:leader="none" w:pos="145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Option (10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Swing Space)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the Tenth Amendment is hereby deleted in its entirety and replaced with the following:</w:t>
      </w:r>
    </w:p>
    <w:p>
      <w:pPr>
        <w:spacing w:after="0" w:line="192"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22"/>
          <w:szCs w:val="22"/>
          <w:color w:val="auto"/>
        </w:rPr>
        <w:t xml:space="preserve">“3.8 Subject to all of the terms and conditions of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Tenant shall be entitled to terminate (with no penalty) the Amended Lease with respect to one or both of (a) the 777-02 Premises and (b) the Additional 01 Premises together with the 01 Premises ((a) and (b), collectively, the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Swing Space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any such termination be effective prior to December 31, 2018. Tenant shall exercise such right, if at all, by providing Landlord with at least nine (9) months’ advance written notice, which notice shall set forth the applicable space being terminated (the “</w:t>
      </w:r>
      <w:r>
        <w:rPr>
          <w:rFonts w:ascii="Times New Roman" w:cs="Times New Roman" w:eastAsia="Times New Roman" w:hAnsi="Times New Roman"/>
          <w:sz w:val="22"/>
          <w:szCs w:val="22"/>
          <w:u w:val="single" w:color="auto"/>
          <w:color w:val="auto"/>
        </w:rPr>
        <w:t>Terminated Space</w:t>
      </w:r>
      <w:r>
        <w:rPr>
          <w:rFonts w:ascii="Times New Roman" w:cs="Times New Roman" w:eastAsia="Times New Roman" w:hAnsi="Times New Roman"/>
          <w:sz w:val="22"/>
          <w:szCs w:val="22"/>
          <w:color w:val="auto"/>
        </w:rPr>
        <w:t>”) and the effective date of such termination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If, in such notice, Tenant elects to terminate the Amended Lease with respect to only (a) or (b)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Swing Space, then Tenant may elect to terminate the Amended Lease with respect to the other portion (and not less than the entire other portion)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Swing Space at a later date, in accordance with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On or before the applicable Termination Date, Tenant shall surrender the applicable Terminated Space in the condition required under the Amended Lease. From and after the applicable Termination Date, (x) the Lease shall terminate and be of no further force and effect with respect to the applicable Terminated Space, except for those provisions that expressly survive the expiration or earlier termination thereof, (y) the applicable Terminated Space shall be removed from the Premises and (z) Tenant’s Pro Rata Shares shall be adjusted accordingly.”</w:t>
      </w:r>
    </w:p>
    <w:p>
      <w:pPr>
        <w:spacing w:after="0" w:line="200" w:lineRule="exact"/>
        <w:rPr>
          <w:sz w:val="20"/>
          <w:szCs w:val="20"/>
          <w:color w:val="auto"/>
        </w:rPr>
      </w:pPr>
    </w:p>
    <w:p>
      <w:pPr>
        <w:jc w:val="both"/>
        <w:ind w:firstLine="656"/>
        <w:spacing w:after="0" w:line="257" w:lineRule="auto"/>
        <w:tabs>
          <w:tab w:leader="none" w:pos="14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Deletion of Termination Options</w:t>
      </w:r>
      <w:r>
        <w:rPr>
          <w:rFonts w:ascii="Times New Roman" w:cs="Times New Roman" w:eastAsia="Times New Roman" w:hAnsi="Times New Roman"/>
          <w:sz w:val="22"/>
          <w:szCs w:val="22"/>
          <w:color w:val="auto"/>
        </w:rPr>
        <w:t xml:space="preserve">. Notwithstanding anything to the contrary in the Amended Lease,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Ninth Amendment,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Tenth Amendment and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of the Tenth Amendment are hereby deleted in their entirety and shall no longer be of any further force or effect.</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4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or agent in the negotiation for or the obtaining of this Amendment, other than Studley Inc.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provided, however, Broker is not entitled to a leasing commission in connection with this Amendment. Tenant agrees to indemnify, defend and hold Landlord harmless from any and all cost or liability for compensation claimed by any such broker or agent (including Broker) employed or engaged by it or claiming to have been employed or engaged by it in connection with this Amendment.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4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85" w:right="239" w:bottom="1440" w:gutter="0" w:footer="0" w:header="0"/>
        </w:sectPr>
      </w:pPr>
    </w:p>
    <w:bookmarkStart w:id="141" w:name="page142"/>
    <w:bookmarkEnd w:id="141"/>
    <w:p>
      <w:pPr>
        <w:ind w:firstLine="656"/>
        <w:spacing w:after="0" w:line="271" w:lineRule="auto"/>
        <w:tabs>
          <w:tab w:leader="none" w:pos="145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Amended Lease should be sent to:</w:t>
      </w:r>
    </w:p>
    <w:p>
      <w:pPr>
        <w:spacing w:after="0" w:line="1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Vice President of Facilities.</w:t>
      </w:r>
    </w:p>
    <w:p>
      <w:pPr>
        <w:spacing w:after="0" w:line="236" w:lineRule="exact"/>
        <w:rPr>
          <w:sz w:val="20"/>
          <w:szCs w:val="20"/>
          <w:color w:val="auto"/>
        </w:rPr>
      </w:pPr>
    </w:p>
    <w:p>
      <w:pPr>
        <w:jc w:val="both"/>
        <w:ind w:firstLine="656"/>
        <w:spacing w:after="0" w:line="248" w:lineRule="auto"/>
        <w:tabs>
          <w:tab w:leader="none" w:pos="145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Amendment, the Lease and all the covenants, agreements, terms, provisions and conditions thereof shall remain in full force and effect and are hereby ratified and affirmed. The covenants, agreements, terms, provisions and 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182" w:lineRule="exact"/>
        <w:rPr>
          <w:rFonts w:ascii="Times New Roman" w:cs="Times New Roman" w:eastAsia="Times New Roman" w:hAnsi="Times New Roman"/>
          <w:sz w:val="22"/>
          <w:szCs w:val="22"/>
          <w:color w:val="auto"/>
        </w:rPr>
      </w:pPr>
    </w:p>
    <w:p>
      <w:pPr>
        <w:jc w:val="both"/>
        <w:ind w:firstLine="656"/>
        <w:spacing w:after="0" w:line="249" w:lineRule="auto"/>
        <w:tabs>
          <w:tab w:leader="none" w:pos="156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55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when taken together, shall constitute one and the same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42" w:name="page143"/>
    <w:bookmarkEnd w:id="14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hereunto set their hands as of the date and year first above written, and acknowledge that they possess the requisite authority to enter into this transaction and to execute this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Jonathan P. Klassen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Jonathan P. Klassen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9" w:right="2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777-02 LANDLORD WORK</w:t>
      </w:r>
    </w:p>
    <w:p>
      <w:pPr>
        <w:sectPr>
          <w:pgSz w:w="11900" w:h="16838" w:orient="portrait"/>
          <w:cols w:equalWidth="0" w:num="1">
            <w:col w:w="9019"/>
          </w:cols>
          <w:pgMar w:left="1440" w:top="1440" w:right="1440" w:bottom="1440" w:gutter="0" w:footer="0" w:header="0"/>
        </w:sectPr>
      </w:pPr>
    </w:p>
    <w:bookmarkStart w:id="144" w:name="page145"/>
    <w:bookmarkEnd w:id="14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SECTION 23 09 00</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BUILDING AUTOMATION AND AUTOMATIC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TEMPERATURE CONTROL SYSTEMS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1 -GENERAL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GENERAL REQUIREMENTS</w:t>
      </w:r>
    </w:p>
    <w:p>
      <w:pPr>
        <w:spacing w:after="0" w:line="268" w:lineRule="exact"/>
        <w:rPr>
          <w:sz w:val="20"/>
          <w:szCs w:val="20"/>
          <w:color w:val="auto"/>
        </w:rPr>
      </w:pPr>
    </w:p>
    <w:p>
      <w:pPr>
        <w:ind w:left="540" w:right="120" w:hanging="328"/>
        <w:spacing w:after="0" w:line="281" w:lineRule="auto"/>
        <w:tabs>
          <w:tab w:leader="none" w:pos="5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is coordinated with and complementary to the General Conditions and Supplementary General Conditions of the Work, wherever applicable to Mechanical Work.</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23 05 02- Basic Mechanical Requirements shall apply.</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1.2</w:t>
        <w:tab/>
        <w:t>DESCRIPTION</w:t>
      </w:r>
    </w:p>
    <w:p>
      <w:pPr>
        <w:spacing w:after="0" w:line="268" w:lineRule="exact"/>
        <w:rPr>
          <w:sz w:val="20"/>
          <w:szCs w:val="20"/>
          <w:color w:val="auto"/>
        </w:rPr>
      </w:pPr>
    </w:p>
    <w:p>
      <w:pPr>
        <w:ind w:left="540" w:right="8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work described under this division is for all labor, materials, and equipment required for the construction of the Building Management System (BMS or BAS/Automatic Temperature Control/(ATC) system.</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system shall be complete in all respects, tested and ready for operation.</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materials, equipment and apparatus shall be new and of first-class quality.</w:t>
      </w:r>
    </w:p>
    <w:p>
      <w:pPr>
        <w:spacing w:after="0" w:line="209" w:lineRule="exact"/>
        <w:rPr>
          <w:rFonts w:ascii="Times New Roman" w:cs="Times New Roman" w:eastAsia="Times New Roman" w:hAnsi="Times New Roman"/>
          <w:sz w:val="17"/>
          <w:szCs w:val="17"/>
          <w:color w:val="auto"/>
        </w:rPr>
      </w:pPr>
    </w:p>
    <w:p>
      <w:pPr>
        <w:ind w:left="54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Electrical Standards: Provide electrical products which have been tested, listed and labeled by Underwriters' Laboratories and comply with NEMA standards, The Building Code of the City of New York, and the National Electric Code.</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"Operator" is defined as the Owner's representative designated to operate the BMS/ATC system after Owner acceptance.</w:t>
      </w:r>
    </w:p>
    <w:p>
      <w:pPr>
        <w:spacing w:after="0" w:line="209" w:lineRule="exact"/>
        <w:rPr>
          <w:rFonts w:ascii="Times New Roman" w:cs="Times New Roman" w:eastAsia="Times New Roman" w:hAnsi="Times New Roman"/>
          <w:sz w:val="17"/>
          <w:szCs w:val="17"/>
          <w:color w:val="auto"/>
        </w:rPr>
      </w:pPr>
    </w:p>
    <w:p>
      <w:pPr>
        <w:ind w:left="540" w:right="2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work includes the providing of all labor, materials, equipment, accessories, services and tests necessary to complete and make ready for operation by the Owner, a building automatic system as shown on the drawings and hereinafter specified.</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 Automation System shall be provided by the same manufacturer as the automatic temperature controls.</w:t>
      </w:r>
    </w:p>
    <w:p>
      <w:pPr>
        <w:spacing w:after="0" w:line="209" w:lineRule="exact"/>
        <w:rPr>
          <w:rFonts w:ascii="Times New Roman" w:cs="Times New Roman" w:eastAsia="Times New Roman" w:hAnsi="Times New Roman"/>
          <w:sz w:val="17"/>
          <w:szCs w:val="17"/>
          <w:color w:val="auto"/>
        </w:rPr>
      </w:pPr>
    </w:p>
    <w:p>
      <w:pPr>
        <w:ind w:left="540" w:right="64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Automation System subcontractor shall furnish and install all equipment, accessories, wiring and instrument piping required for a complete and functioning system.</w:t>
      </w:r>
    </w:p>
    <w:p>
      <w:pPr>
        <w:spacing w:after="0" w:line="149" w:lineRule="exact"/>
        <w:rPr>
          <w:rFonts w:ascii="Times New Roman" w:cs="Times New Roman" w:eastAsia="Times New Roman" w:hAnsi="Times New Roman"/>
          <w:sz w:val="17"/>
          <w:szCs w:val="17"/>
          <w:color w:val="auto"/>
        </w:rPr>
      </w:pPr>
    </w:p>
    <w:p>
      <w:pPr>
        <w:ind w:left="540" w:right="2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materials and equipment used shall be standard components, regularly manufactured for this and/or other systems and not custom designed especially for this project. All systems and components shall have been thoroughly tested and proven in actual use.</w:t>
      </w:r>
    </w:p>
    <w:p>
      <w:pPr>
        <w:spacing w:after="0" w:line="149" w:lineRule="exact"/>
        <w:rPr>
          <w:rFonts w:ascii="Times New Roman" w:cs="Times New Roman" w:eastAsia="Times New Roman" w:hAnsi="Times New Roman"/>
          <w:sz w:val="17"/>
          <w:szCs w:val="17"/>
          <w:color w:val="auto"/>
        </w:rPr>
      </w:pPr>
    </w:p>
    <w:p>
      <w:pPr>
        <w:ind w:left="540" w:right="4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automation system shall be of a fully modular architecture permitting expansion by adding computer memory, application software, operator peripherals and field hardware.</w:t>
      </w:r>
    </w:p>
    <w:p>
      <w:pPr>
        <w:spacing w:after="0" w:line="149" w:lineRule="exact"/>
        <w:rPr>
          <w:rFonts w:ascii="Times New Roman" w:cs="Times New Roman" w:eastAsia="Times New Roman" w:hAnsi="Times New Roman"/>
          <w:sz w:val="17"/>
          <w:szCs w:val="17"/>
          <w:color w:val="auto"/>
        </w:rPr>
      </w:pPr>
    </w:p>
    <w:p>
      <w:pPr>
        <w:ind w:left="540" w:right="320" w:hanging="328"/>
        <w:spacing w:after="0" w:line="281" w:lineRule="auto"/>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expansion of the automation system necessitates greater computer processing power, it shall be possible to transfer all existing software and data base, both vendor supplied and user defined, to a new more powerful computer. This shall be accomplished by using removable, compatible disk cartridges.</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Systems which require the existing user-defined data base to be reentered through the operator's terminal shall not be acceptable.</w:t>
      </w:r>
    </w:p>
    <w:p>
      <w:pPr>
        <w:sectPr>
          <w:pgSz w:w="11900" w:h="16838" w:orient="portrait"/>
          <w:cols w:equalWidth="0" w:num="1">
            <w:col w:w="11300"/>
          </w:cols>
          <w:pgMar w:left="360" w:top="536" w:right="239" w:bottom="1440" w:gutter="0" w:footer="0" w:header="0"/>
        </w:sectPr>
      </w:pPr>
    </w:p>
    <w:bookmarkStart w:id="145" w:name="page146"/>
    <w:bookmarkEnd w:id="145"/>
    <w:p>
      <w:pPr>
        <w:ind w:left="540" w:right="160" w:hanging="328"/>
        <w:spacing w:after="0" w:line="281"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fire alarm and security points will not be installed or monitored, initially the system shall be installed completely ready to receive or accept these points at a later date without additional central hardware or software.</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system as specified shall monitor, control, and calculate all of the points and functions as listed in the Building Automation Schedule.</w:t>
      </w:r>
    </w:p>
    <w:p>
      <w:pPr>
        <w:spacing w:after="0" w:line="209" w:lineRule="exact"/>
        <w:rPr>
          <w:rFonts w:ascii="Times New Roman" w:cs="Times New Roman" w:eastAsia="Times New Roman" w:hAnsi="Times New Roman"/>
          <w:sz w:val="17"/>
          <w:szCs w:val="17"/>
          <w:color w:val="auto"/>
        </w:rPr>
      </w:pPr>
    </w:p>
    <w:p>
      <w:pPr>
        <w:ind w:left="540" w:right="80" w:hanging="328"/>
        <w:spacing w:after="0" w:line="281"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system as installed shall have sufficient computer memory and application software for 100% point expansion above those points required and as listed in the Building Automation Schedule.</w:t>
      </w:r>
    </w:p>
    <w:p>
      <w:pPr>
        <w:spacing w:after="0" w:line="149" w:lineRule="exact"/>
        <w:rPr>
          <w:rFonts w:ascii="Times New Roman" w:cs="Times New Roman" w:eastAsia="Times New Roman" w:hAnsi="Times New Roman"/>
          <w:sz w:val="17"/>
          <w:szCs w:val="17"/>
          <w:color w:val="auto"/>
        </w:rPr>
      </w:pPr>
    </w:p>
    <w:p>
      <w:pPr>
        <w:ind w:left="540" w:right="20" w:hanging="328"/>
        <w:spacing w:after="0" w:line="281"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Work includes the providing of all labor, materials, equipment, accessories, services and tests necessary to complete the place into satisfactory operation a complete system of automatic temperature controls as shown on the Drawings and hereinafter specified.</w:t>
      </w:r>
    </w:p>
    <w:p>
      <w:pPr>
        <w:spacing w:after="0" w:line="204" w:lineRule="exact"/>
        <w:rPr>
          <w:rFonts w:ascii="Times New Roman" w:cs="Times New Roman" w:eastAsia="Times New Roman" w:hAnsi="Times New Roman"/>
          <w:sz w:val="17"/>
          <w:szCs w:val="17"/>
          <w:color w:val="auto"/>
        </w:rPr>
      </w:pPr>
    </w:p>
    <w:p>
      <w:pPr>
        <w:ind w:left="540" w:right="360" w:hanging="328"/>
        <w:spacing w:after="0" w:line="265"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system shall be of the electronic fully modulating type unless otherwise indicated, or as hereinafter specified. Control equipment shall be as manufactured by Andover, Siemens, Johnson Controls, Inc., or Honeywell, Inc. All controls shall be the product of one manufacturer. The temperature control manufacturer shall be responsible for the quality and satisfactory operation of material provided even if not actually manufactured by him.</w:t>
      </w:r>
    </w:p>
    <w:p>
      <w:pPr>
        <w:spacing w:after="0" w:line="162" w:lineRule="exact"/>
        <w:rPr>
          <w:rFonts w:ascii="Times New Roman" w:cs="Times New Roman" w:eastAsia="Times New Roman" w:hAnsi="Times New Roman"/>
          <w:sz w:val="17"/>
          <w:szCs w:val="17"/>
          <w:color w:val="auto"/>
        </w:rPr>
      </w:pPr>
    </w:p>
    <w:p>
      <w:pPr>
        <w:ind w:left="540" w:right="140" w:hanging="328"/>
        <w:spacing w:after="0" w:line="281"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system shall include all necessary temperature sensors, damper motors, relays, sensors valves, etc., and all necessary equipment for a complete control system, regardless of whether or not specifically mentioned.</w:t>
      </w:r>
    </w:p>
    <w:p>
      <w:pPr>
        <w:spacing w:after="0" w:line="149" w:lineRule="exact"/>
        <w:rPr>
          <w:rFonts w:ascii="Times New Roman" w:cs="Times New Roman" w:eastAsia="Times New Roman" w:hAnsi="Times New Roman"/>
          <w:sz w:val="17"/>
          <w:szCs w:val="17"/>
          <w:color w:val="auto"/>
        </w:rPr>
      </w:pPr>
    </w:p>
    <w:p>
      <w:pPr>
        <w:ind w:left="540" w:hanging="328"/>
        <w:spacing w:after="0" w:line="256"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system shall include all control and interlock wiring. The control wiring shall include all wiring, including power wiring for sensors, controls, control devices, relays, freezestats, firestats and all other necessary equipment to provide a complete control system, regardless of whether or not specifically mentioned, unless otherwise shown on the electrical drawings, including electric relays and contactors required for control interlocking. Interlock wiring shall include interlocks between fan starters between pump starters between starters and remote condensing units, between pumps, chillers and cooling towers and wherever else called for in these specifications. Unless otherwise noted; all control circuits shall be 120 volts or less.</w:t>
      </w:r>
    </w:p>
    <w:p>
      <w:pPr>
        <w:spacing w:after="0" w:line="172" w:lineRule="exact"/>
        <w:rPr>
          <w:rFonts w:ascii="Times New Roman" w:cs="Times New Roman" w:eastAsia="Times New Roman" w:hAnsi="Times New Roman"/>
          <w:sz w:val="17"/>
          <w:szCs w:val="17"/>
          <w:color w:val="auto"/>
        </w:rPr>
      </w:pPr>
    </w:p>
    <w:p>
      <w:pPr>
        <w:ind w:left="540" w:right="340" w:hanging="328"/>
        <w:spacing w:after="0" w:line="281"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nameplates on all devices, whether or not mounted on the face of local control panels. In occupied areas, nameplates shall be concealed beneath covers of room type instruments, to describe functions.</w:t>
      </w:r>
    </w:p>
    <w:p>
      <w:pPr>
        <w:spacing w:after="0" w:line="1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1.3</w:t>
        <w:tab/>
        <w:t>GENERAL INSTRUCTIONS</w:t>
      </w:r>
    </w:p>
    <w:p>
      <w:pPr>
        <w:spacing w:after="0" w:line="214" w:lineRule="exact"/>
        <w:rPr>
          <w:sz w:val="20"/>
          <w:szCs w:val="20"/>
          <w:color w:val="auto"/>
        </w:rPr>
      </w:pPr>
    </w:p>
    <w:p>
      <w:pPr>
        <w:ind w:left="540" w:right="120" w:hanging="328"/>
        <w:spacing w:after="0" w:line="281" w:lineRule="auto"/>
        <w:tabs>
          <w:tab w:leader="none" w:pos="5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BMS/ATC systems as specified herein shall be provided in their entirety by the BMS/ATC Contractor. The BMS/ATC Contractor shall base his Bid on the systems as specified.</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provision of the contract (Division 1 and sections 23 05 01, 23 05 02, and 23 05 03) apply to work specified in this section.</w:t>
      </w:r>
    </w:p>
    <w:p>
      <w:pPr>
        <w:spacing w:after="0" w:line="209" w:lineRule="exact"/>
        <w:rPr>
          <w:rFonts w:ascii="Times New Roman" w:cs="Times New Roman" w:eastAsia="Times New Roman" w:hAnsi="Times New Roman"/>
          <w:sz w:val="17"/>
          <w:szCs w:val="17"/>
          <w:color w:val="auto"/>
        </w:rPr>
      </w:pPr>
    </w:p>
    <w:p>
      <w:pPr>
        <w:ind w:left="540" w:right="60" w:hanging="328"/>
        <w:spacing w:after="0" w:line="265" w:lineRule="auto"/>
        <w:tabs>
          <w:tab w:leader="none" w:pos="5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SUBMITTAL: Prospective BMS/ATC Contractors shall submit for review by the Owner's authorized representatives a preliminary written description of his proposed BMS/ATC systems, including block diagrams showing all major components and panels, printers and other processing devices and required cabling between each. Include environmental and space requirements for panels, CPU's and other major devices.</w:t>
      </w:r>
    </w:p>
    <w:p>
      <w:pPr>
        <w:spacing w:after="0" w:line="162"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manufacturer's literature for each type of panel, controller or device that may be shown on the block Diagram.</w:t>
      </w:r>
    </w:p>
    <w:p>
      <w:pPr>
        <w:sectPr>
          <w:pgSz w:w="11900" w:h="16838" w:orient="portrait"/>
          <w:cols w:equalWidth="0" w:num="1">
            <w:col w:w="11280"/>
          </w:cols>
          <w:pgMar w:left="360" w:top="833" w:right="259" w:bottom="1440" w:gutter="0" w:footer="0" w:header="0"/>
        </w:sectPr>
      </w:pPr>
    </w:p>
    <w:bookmarkStart w:id="146" w:name="page147"/>
    <w:bookmarkEnd w:id="146"/>
    <w:p>
      <w:pPr>
        <w:ind w:left="1180" w:hanging="320"/>
        <w:spacing w:after="0"/>
        <w:tabs>
          <w:tab w:leader="none" w:pos="11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Diagram shall show, schematically, the entire building system with all major components identified.</w:t>
      </w:r>
    </w:p>
    <w:p>
      <w:pPr>
        <w:spacing w:after="0" w:line="25"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points list for all input and output devices which shall be provided by the proposed systems.</w:t>
      </w:r>
    </w:p>
    <w:p>
      <w:pPr>
        <w:spacing w:after="0" w:line="7"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information about proposed communications buss and data transmission.</w:t>
      </w:r>
    </w:p>
    <w:p>
      <w:pPr>
        <w:spacing w:after="0" w:line="7" w:lineRule="exact"/>
        <w:rPr>
          <w:rFonts w:ascii="Times New Roman" w:cs="Times New Roman" w:eastAsia="Times New Roman" w:hAnsi="Times New Roman"/>
          <w:sz w:val="17"/>
          <w:szCs w:val="17"/>
          <w:color w:val="auto"/>
        </w:rPr>
      </w:pPr>
    </w:p>
    <w:p>
      <w:pPr>
        <w:ind w:left="1660" w:right="340" w:hanging="800"/>
        <w:spacing w:after="0" w:line="248" w:lineRule="auto"/>
        <w:tabs>
          <w:tab w:leader="none" w:pos="119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written explanation of any characteristics, items of equipment or control intent, which differs from the requirements of this Division. Explain what, if any, alternative characteristics, items of equipment or control intent will be provided.</w:t>
      </w:r>
    </w:p>
    <w:p>
      <w:pPr>
        <w:spacing w:after="0" w:line="1" w:lineRule="exact"/>
        <w:rPr>
          <w:rFonts w:ascii="Times New Roman" w:cs="Times New Roman" w:eastAsia="Times New Roman" w:hAnsi="Times New Roman"/>
          <w:sz w:val="17"/>
          <w:szCs w:val="17"/>
          <w:color w:val="auto"/>
        </w:rPr>
      </w:pPr>
    </w:p>
    <w:p>
      <w:pPr>
        <w:ind w:left="1660" w:right="440" w:hanging="800"/>
        <w:spacing w:after="0" w:line="254" w:lineRule="auto"/>
        <w:tabs>
          <w:tab w:leader="none" w:pos="119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Alternate systems, characteristics, items of equipment or control intent, which do not comply with these specifications, may be rejected if not acceptable to the Engineer. Any rejected alternate system, characteristics, items of equipment or control intent shall be replaced by the specified system, characteristics, items of equipment or control intent at no extra cost to the project.</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1.4</w:t>
        <w:tab/>
        <w:t>QUALITY ASSURANCE</w:t>
      </w:r>
    </w:p>
    <w:p>
      <w:pPr>
        <w:spacing w:after="0" w:line="268" w:lineRule="exact"/>
        <w:rPr>
          <w:sz w:val="20"/>
          <w:szCs w:val="20"/>
          <w:color w:val="auto"/>
        </w:rPr>
      </w:pPr>
    </w:p>
    <w:p>
      <w:pPr>
        <w:ind w:left="540" w:right="280" w:hanging="328"/>
        <w:spacing w:after="0" w:line="281" w:lineRule="auto"/>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firms regularly engaged in manufacture and installation of this equipment with characteristics and capacities required, whose products have been in satisfactory use in similar service for not less than 10 years shall be acceptable.</w:t>
      </w:r>
    </w:p>
    <w:p>
      <w:pPr>
        <w:spacing w:after="0" w:line="149" w:lineRule="exact"/>
        <w:rPr>
          <w:rFonts w:ascii="Times New Roman" w:cs="Times New Roman" w:eastAsia="Times New Roman" w:hAnsi="Times New Roman"/>
          <w:sz w:val="17"/>
          <w:szCs w:val="17"/>
          <w:color w:val="auto"/>
        </w:rPr>
      </w:pPr>
    </w:p>
    <w:p>
      <w:pPr>
        <w:ind w:left="540" w:right="120" w:hanging="328"/>
        <w:spacing w:after="0" w:line="281" w:lineRule="auto"/>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entire building automation system shall be installed by skilled electricians and mechanics, all of whom are properly trained and qualified for this work. All wiring shall be installed in accordance with the Project Electrical Specifications.</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Supervision and checkout of the system shall be by factory-trained engineers and technicians directly employed by the automation Contractor.</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system produced and installed by the manufacturers, which are listed in Section "Approved Manufacturer's List".</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equipment which performance, under specified conditions, is certified by the manufacturer.</w:t>
      </w: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1.5</w:t>
        <w:tab/>
        <w:t>SCOPE</w:t>
      </w:r>
    </w:p>
    <w:p>
      <w:pPr>
        <w:spacing w:after="0" w:line="268" w:lineRule="exact"/>
        <w:rPr>
          <w:sz w:val="20"/>
          <w:szCs w:val="20"/>
          <w:color w:val="auto"/>
        </w:rPr>
      </w:pPr>
    </w:p>
    <w:p>
      <w:pPr>
        <w:ind w:left="540" w:hanging="328"/>
        <w:spacing w:after="0"/>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 shall be based on an electronic system. Provide electronic sensors and transmitters with full DDC capabilities.</w:t>
      </w:r>
    </w:p>
    <w:p>
      <w:pPr>
        <w:spacing w:after="0" w:line="209" w:lineRule="exact"/>
        <w:rPr>
          <w:rFonts w:ascii="Times New Roman" w:cs="Times New Roman" w:eastAsia="Times New Roman" w:hAnsi="Times New Roman"/>
          <w:sz w:val="17"/>
          <w:szCs w:val="17"/>
          <w:color w:val="auto"/>
        </w:rPr>
      </w:pPr>
    </w:p>
    <w:p>
      <w:pPr>
        <w:ind w:left="540" w:right="160" w:hanging="328"/>
        <w:spacing w:after="0" w:line="281"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engineering, installation, calibration, hardware, software programming and checkout necessary for complete and fully operational BMS/ATC systems, as specified hereafter, shall be provided under this division by the BMS/ATC Installer.</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BMS Contractor shall guarantee that the installed system is capable of maintaining the following comfort goals in conditioned areas served by the BMS.</w:t>
      </w:r>
    </w:p>
    <w:p>
      <w:pPr>
        <w:spacing w:after="0" w:line="209"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Space Design Temperature +/- 1°F.</w:t>
      </w:r>
    </w:p>
    <w:p>
      <w:pPr>
        <w:spacing w:after="0" w:line="25"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Humidity 50% +/- 5%.</w:t>
      </w:r>
    </w:p>
    <w:p>
      <w:pPr>
        <w:spacing w:after="0" w:line="7" w:lineRule="exact"/>
        <w:rPr>
          <w:rFonts w:ascii="Times New Roman" w:cs="Times New Roman" w:eastAsia="Times New Roman" w:hAnsi="Times New Roman"/>
          <w:sz w:val="17"/>
          <w:szCs w:val="17"/>
          <w:color w:val="auto"/>
        </w:rPr>
      </w:pPr>
    </w:p>
    <w:p>
      <w:pPr>
        <w:ind w:left="1660" w:right="100" w:hanging="800"/>
        <w:spacing w:after="0" w:line="254" w:lineRule="auto"/>
        <w:tabs>
          <w:tab w:leader="none" w:pos="119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BMS Contractor is not responsible for improper installation by other Divisions, however the BMS Contractor is responsible for informing the Construction Manager and Engineer of any requirements of this specification or any installation problem which prevents these goals from being maintained.</w:t>
      </w:r>
    </w:p>
    <w:p>
      <w:pPr>
        <w:spacing w:after="0" w:line="171" w:lineRule="exact"/>
        <w:rPr>
          <w:rFonts w:ascii="Times New Roman" w:cs="Times New Roman" w:eastAsia="Times New Roman" w:hAnsi="Times New Roman"/>
          <w:sz w:val="17"/>
          <w:szCs w:val="17"/>
          <w:color w:val="auto"/>
        </w:rPr>
      </w:pPr>
    </w:p>
    <w:p>
      <w:pPr>
        <w:ind w:left="540" w:right="380" w:hanging="328"/>
        <w:spacing w:after="0" w:line="281"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contractor shall be responsible for all power and control wiring for BMS equipment including BMS panels, actuators, dampers, controllers, control power transformers, relays, etc. work shall be sub-contracted to a licensed electrical contractor by the BMS contractor if the BMS</w:t>
      </w:r>
    </w:p>
    <w:p>
      <w:pPr>
        <w:sectPr>
          <w:pgSz w:w="11900" w:h="16838" w:orient="portrait"/>
          <w:cols w:equalWidth="0" w:num="1">
            <w:col w:w="11280"/>
          </w:cols>
          <w:pgMar w:left="360" w:top="536" w:right="259" w:bottom="1440" w:gutter="0" w:footer="0" w:header="0"/>
        </w:sectPr>
      </w:pPr>
    </w:p>
    <w:bookmarkStart w:id="147" w:name="page148"/>
    <w:bookmarkEnd w:id="147"/>
    <w:p>
      <w:pPr>
        <w:ind w:left="540"/>
        <w:spacing w:after="0"/>
        <w:rPr>
          <w:sz w:val="20"/>
          <w:szCs w:val="20"/>
          <w:color w:val="auto"/>
        </w:rPr>
      </w:pPr>
      <w:r>
        <w:rPr>
          <w:rFonts w:ascii="Times New Roman" w:cs="Times New Roman" w:eastAsia="Times New Roman" w:hAnsi="Times New Roman"/>
          <w:sz w:val="17"/>
          <w:szCs w:val="17"/>
          <w:color w:val="auto"/>
        </w:rPr>
        <w:t>contractor is not suitably licensed. All work shall be completed in accordance with the electrical specification sections of this specification</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1.6</w:t>
        <w:tab/>
        <w:t>ITEMS REQUIRED TO BE COORDINATED WITH OTHER DIVISIONS</w:t>
      </w:r>
    </w:p>
    <w:p>
      <w:pPr>
        <w:spacing w:after="0" w:line="214" w:lineRule="exact"/>
        <w:rPr>
          <w:sz w:val="20"/>
          <w:szCs w:val="20"/>
          <w:color w:val="auto"/>
        </w:rPr>
      </w:pPr>
    </w:p>
    <w:p>
      <w:pPr>
        <w:ind w:left="540" w:hanging="328"/>
        <w:spacing w:after="0"/>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responsible for coordinating the following:</w:t>
      </w:r>
    </w:p>
    <w:p>
      <w:pPr>
        <w:spacing w:after="0" w:line="25"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requirements (voltage, amps, location) for all BMS equipment requiring power. See Section 23 05 01.</w:t>
      </w:r>
    </w:p>
    <w:p>
      <w:pPr>
        <w:spacing w:after="0" w:line="191"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and connection of all power wiring. Power wiring shall be defined as follows:</w:t>
      </w:r>
    </w:p>
    <w:p>
      <w:pPr>
        <w:spacing w:after="0" w:line="209"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Wiring of power feeds through all disconnect starters and variable speed controllers to electric motors.</w:t>
      </w:r>
    </w:p>
    <w:p>
      <w:pPr>
        <w:spacing w:after="0" w:line="25"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VAC Emergency and 120V Normal power feeds to all BAS temperature control panels and equipment.</w:t>
      </w:r>
    </w:p>
    <w:p>
      <w:pPr>
        <w:spacing w:after="0" w:line="7"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Wiring of any remote start/stop switches and manual or automatic motor speed control devices not furnished by the BAS/ATC Contractor.</w:t>
      </w:r>
    </w:p>
    <w:p>
      <w:pPr>
        <w:spacing w:after="0" w:line="191" w:lineRule="exact"/>
        <w:rPr>
          <w:rFonts w:ascii="Times New Roman" w:cs="Times New Roman" w:eastAsia="Times New Roman" w:hAnsi="Times New Roman"/>
          <w:sz w:val="17"/>
          <w:szCs w:val="17"/>
          <w:color w:val="auto"/>
        </w:rPr>
      </w:pPr>
    </w:p>
    <w:p>
      <w:pPr>
        <w:ind w:left="540" w:right="420" w:hanging="328"/>
        <w:spacing w:after="0" w:line="281" w:lineRule="auto"/>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that 120V to 24V surge protected transformers for low voltage wiring by this Division shall be furnished, set in place and wired (from designated circuit in electrical panel) by this Division, and all low voltage control wiring shall be installed under this Division.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WORK BY OTHERS</w:t>
      </w:r>
    </w:p>
    <w:p>
      <w:pPr>
        <w:spacing w:after="0" w:line="214" w:lineRule="exact"/>
        <w:rPr>
          <w:sz w:val="20"/>
          <w:szCs w:val="20"/>
          <w:color w:val="auto"/>
        </w:rPr>
      </w:pPr>
    </w:p>
    <w:p>
      <w:pPr>
        <w:ind w:left="540" w:hanging="328"/>
        <w:spacing w:after="0"/>
        <w:tabs>
          <w:tab w:leader="none" w:pos="5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work shall be provided under separate divisions of the specifications:</w:t>
      </w:r>
    </w:p>
    <w:p>
      <w:pPr>
        <w:spacing w:after="0" w:line="209"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of all line size and non-line size automatic valves and separable wells. However, these devices shall be furnished under this division.</w:t>
      </w:r>
    </w:p>
    <w:p>
      <w:pPr>
        <w:spacing w:after="0" w:line="25" w:lineRule="exact"/>
        <w:rPr>
          <w:rFonts w:ascii="Times New Roman" w:cs="Times New Roman" w:eastAsia="Times New Roman" w:hAnsi="Times New Roman"/>
          <w:sz w:val="17"/>
          <w:szCs w:val="17"/>
          <w:color w:val="auto"/>
        </w:rPr>
      </w:pPr>
    </w:p>
    <w:p>
      <w:pPr>
        <w:ind w:left="1660" w:hanging="800"/>
        <w:spacing w:after="0" w:line="248" w:lineRule="auto"/>
        <w:tabs>
          <w:tab w:leader="none" w:pos="1192"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of all necessary piping connections, taps and direct-contact wells required for flow, pressure or temperature devices specified under other divisions.</w:t>
      </w:r>
    </w:p>
    <w:p>
      <w:pPr>
        <w:spacing w:after="0" w:line="1"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of manual balancing dampers as specified under other divisions of Divisions 21 through 23.</w:t>
      </w:r>
    </w:p>
    <w:p>
      <w:pPr>
        <w:spacing w:after="0" w:line="7"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of all automatic control dampers shall be by HVAC Contractor. All control dampers shall be furnished under this division.</w:t>
      </w:r>
    </w:p>
    <w:p>
      <w:pPr>
        <w:spacing w:after="0" w:line="1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AGENCY LISTINGS</w:t>
      </w:r>
    </w:p>
    <w:p>
      <w:pPr>
        <w:spacing w:after="0" w:line="200" w:lineRule="exact"/>
        <w:rPr>
          <w:sz w:val="20"/>
          <w:szCs w:val="20"/>
          <w:color w:val="auto"/>
        </w:rPr>
      </w:pPr>
    </w:p>
    <w:p>
      <w:pPr>
        <w:spacing w:after="0" w:line="216" w:lineRule="exact"/>
        <w:rPr>
          <w:sz w:val="20"/>
          <w:szCs w:val="20"/>
          <w:color w:val="auto"/>
        </w:rPr>
      </w:pPr>
    </w:p>
    <w:p>
      <w:pPr>
        <w:ind w:left="540" w:hanging="328"/>
        <w:spacing w:after="0"/>
        <w:tabs>
          <w:tab w:leader="none" w:pos="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 916 PAZX Energy Management Systems.</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FCC-Part 15 Subparagraph J. Class A. Emissions requirements.</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UL-864/UUKL Smoke Removal.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RELATED SECTIONS</w:t>
      </w:r>
    </w:p>
    <w:p>
      <w:pPr>
        <w:spacing w:after="0" w:line="214" w:lineRule="exact"/>
        <w:rPr>
          <w:sz w:val="20"/>
          <w:szCs w:val="20"/>
          <w:color w:val="auto"/>
        </w:rPr>
      </w:pPr>
    </w:p>
    <w:p>
      <w:pPr>
        <w:ind w:left="540" w:hanging="328"/>
        <w:spacing w:after="0"/>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05 01 -Mechanical and Electrical Coordination.</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05 02 - Basic Mechanical Requirements.</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05 03 - Basic Mechanical Materials and Methods.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1.10 BMS/ATC CONTRACTOR</w:t>
      </w:r>
    </w:p>
    <w:p>
      <w:pPr>
        <w:spacing w:after="0" w:line="214" w:lineRule="exact"/>
        <w:rPr>
          <w:sz w:val="20"/>
          <w:szCs w:val="20"/>
          <w:color w:val="auto"/>
        </w:rPr>
      </w:pPr>
    </w:p>
    <w:p>
      <w:pPr>
        <w:ind w:left="540" w:right="200" w:hanging="328"/>
        <w:spacing w:after="0" w:line="281" w:lineRule="auto"/>
        <w:tabs>
          <w:tab w:leader="none" w:pos="5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BMS/ATC Contractor shall have a local office within a 50 mile radius of the job site, staffed with factory trained engineers fully capable of providing instruction, routine maintenance and 24-</w:t>
      </w:r>
    </w:p>
    <w:p>
      <w:pPr>
        <w:sectPr>
          <w:pgSz w:w="11900" w:h="16838" w:orient="portrait"/>
          <w:cols w:equalWidth="0" w:num="1">
            <w:col w:w="11260"/>
          </w:cols>
          <w:pgMar w:left="360" w:top="739" w:right="279" w:bottom="1440" w:gutter="0" w:footer="0" w:header="0"/>
        </w:sectPr>
      </w:pPr>
    </w:p>
    <w:bookmarkStart w:id="148" w:name="page149"/>
    <w:bookmarkEnd w:id="148"/>
    <w:p>
      <w:pPr>
        <w:ind w:left="540" w:right="300"/>
        <w:spacing w:after="0" w:line="265" w:lineRule="auto"/>
        <w:rPr>
          <w:sz w:val="20"/>
          <w:szCs w:val="20"/>
          <w:color w:val="auto"/>
        </w:rPr>
      </w:pPr>
      <w:r>
        <w:rPr>
          <w:rFonts w:ascii="Times New Roman" w:cs="Times New Roman" w:eastAsia="Times New Roman" w:hAnsi="Times New Roman"/>
          <w:sz w:val="17"/>
          <w:szCs w:val="17"/>
          <w:color w:val="auto"/>
        </w:rPr>
        <w:t>hour emergency maintenance service on all system components. The BMS/ATC Contractor shall have a ten year experience record in the design and installation of computerized building systems similar in scope and performance to that specified herein, and shall be prepared to provide evidence of this history prior to Contract Award should the Owner request it.</w:t>
      </w:r>
    </w:p>
    <w:p>
      <w:pPr>
        <w:spacing w:after="0" w:line="163" w:lineRule="exact"/>
        <w:rPr>
          <w:sz w:val="20"/>
          <w:szCs w:val="20"/>
          <w:color w:val="auto"/>
        </w:rPr>
      </w:pPr>
    </w:p>
    <w:p>
      <w:pPr>
        <w:ind w:left="540" w:right="100" w:hanging="328"/>
        <w:spacing w:after="0" w:line="281" w:lineRule="auto"/>
        <w:tabs>
          <w:tab w:leader="none" w:pos="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BMS/ATC Contractor shall be prepared to make a personal presentation of his systems to the Owner or his designated representatives prior to award of Contract should the Owner request it.</w:t>
      </w:r>
    </w:p>
    <w:p>
      <w:pPr>
        <w:spacing w:after="0" w:line="149" w:lineRule="exact"/>
        <w:rPr>
          <w:rFonts w:ascii="Times New Roman" w:cs="Times New Roman" w:eastAsia="Times New Roman" w:hAnsi="Times New Roman"/>
          <w:sz w:val="17"/>
          <w:szCs w:val="17"/>
          <w:color w:val="auto"/>
        </w:rPr>
      </w:pPr>
    </w:p>
    <w:p>
      <w:pPr>
        <w:ind w:left="540" w:right="160" w:hanging="328"/>
        <w:spacing w:after="0" w:line="281" w:lineRule="auto"/>
        <w:tabs>
          <w:tab w:leader="none" w:pos="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engineering, installation, calibration, hardware, software programming and checkout necessary for complete and fully operational BMS/ATC systems, shall be provided under this division by the BMS/ATC Installer.</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components shall be mounted and wired by the BAS/ATC Contractor except as noted. Controllers may be mounted on terminal units at the factory.</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b w:val="1"/>
          <w:bCs w:val="1"/>
          <w:color w:val="auto"/>
        </w:rPr>
        <w:t>1.11</w:t>
      </w:r>
      <w:r>
        <w:rPr>
          <w:sz w:val="20"/>
          <w:szCs w:val="20"/>
          <w:color w:val="auto"/>
        </w:rPr>
        <w:tab/>
      </w:r>
      <w:r>
        <w:rPr>
          <w:rFonts w:ascii="Times New Roman" w:cs="Times New Roman" w:eastAsia="Times New Roman" w:hAnsi="Times New Roman"/>
          <w:sz w:val="16"/>
          <w:szCs w:val="16"/>
          <w:b w:val="1"/>
          <w:bCs w:val="1"/>
          <w:color w:val="auto"/>
        </w:rPr>
        <w:t>SUBMITTALS AFTER CONTRACT AWARD</w:t>
      </w:r>
    </w:p>
    <w:p>
      <w:pPr>
        <w:spacing w:after="0" w:line="187" w:lineRule="exact"/>
        <w:rPr>
          <w:sz w:val="20"/>
          <w:szCs w:val="20"/>
          <w:color w:val="auto"/>
        </w:rPr>
      </w:pPr>
    </w:p>
    <w:p>
      <w:pPr>
        <w:ind w:left="540" w:hanging="328"/>
        <w:spacing w:after="0"/>
        <w:tabs>
          <w:tab w:leader="none" w:pos="5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data/information shall be submitted for approval:</w:t>
      </w:r>
    </w:p>
    <w:p>
      <w:pPr>
        <w:spacing w:after="0" w:line="209"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sequence of operation.</w:t>
      </w:r>
    </w:p>
    <w:p>
      <w:pPr>
        <w:spacing w:after="0" w:line="26"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system CAD generated drawings including all pertinent data to provide a functional operating system.</w:t>
      </w:r>
    </w:p>
    <w:p>
      <w:pPr>
        <w:spacing w:after="0" w:line="20"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 and damper schedules showing size, configuration, capacity and location of all equipment.</w:t>
      </w:r>
    </w:p>
    <w:p>
      <w:pPr>
        <w:spacing w:after="0" w:line="20"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sheets for all hardware and software control components.</w:t>
      </w:r>
    </w:p>
    <w:p>
      <w:pPr>
        <w:spacing w:after="0" w:line="20"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installation materials including conduit, wire, flex, etc.</w:t>
      </w:r>
    </w:p>
    <w:p>
      <w:pPr>
        <w:spacing w:after="0" w:line="20"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Management System panel locations.</w:t>
      </w:r>
    </w:p>
    <w:p>
      <w:pPr>
        <w:spacing w:after="0" w:line="20" w:lineRule="exact"/>
        <w:rPr>
          <w:rFonts w:ascii="Times New Roman" w:cs="Times New Roman" w:eastAsia="Times New Roman" w:hAnsi="Times New Roman"/>
          <w:sz w:val="17"/>
          <w:szCs w:val="17"/>
          <w:color w:val="auto"/>
        </w:rPr>
      </w:pPr>
    </w:p>
    <w:p>
      <w:pPr>
        <w:ind w:left="1180" w:hanging="320"/>
        <w:spacing w:after="0"/>
        <w:tabs>
          <w:tab w:leader="none" w:pos="11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Schematic and flow diagrams indicating sensor and device locations.</w:t>
      </w:r>
    </w:p>
    <w:p>
      <w:pPr>
        <w:spacing w:after="0" w:line="189" w:lineRule="exact"/>
        <w:rPr>
          <w:rFonts w:ascii="Times New Roman" w:cs="Times New Roman" w:eastAsia="Times New Roman" w:hAnsi="Times New Roman"/>
          <w:sz w:val="17"/>
          <w:szCs w:val="17"/>
          <w:color w:val="auto"/>
        </w:rPr>
      </w:pPr>
    </w:p>
    <w:p>
      <w:pPr>
        <w:ind w:left="540" w:hanging="328"/>
        <w:spacing w:after="0" w:line="256" w:lineRule="auto"/>
        <w:tabs>
          <w:tab w:leader="none" w:pos="5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Controls Contractor shall provide submittal drawings for the entire control system for review and approval before work shall begin. Included in the submittal drawings shall be a diagram depicting the system architecture complete with a communications riser. Drawings shall include point-to-point wiring diagrams and must show all temperature controls, start-stop arrangement for each piece of equipment, equipment interlocks, wiring terminal numbers and any special connection information required for properly controlling the mechanical equipment. The submittal shall include a bill of material reference list as well as equipment sequences of operation.</w:t>
      </w:r>
    </w:p>
    <w:p>
      <w:pPr>
        <w:spacing w:after="0" w:line="172" w:lineRule="exact"/>
        <w:rPr>
          <w:rFonts w:ascii="Times New Roman" w:cs="Times New Roman" w:eastAsia="Times New Roman" w:hAnsi="Times New Roman"/>
          <w:sz w:val="17"/>
          <w:szCs w:val="17"/>
          <w:color w:val="auto"/>
        </w:rPr>
      </w:pPr>
    </w:p>
    <w:p>
      <w:pPr>
        <w:ind w:left="540" w:right="200" w:hanging="328"/>
        <w:spacing w:after="0" w:line="259" w:lineRule="auto"/>
        <w:tabs>
          <w:tab w:leader="none" w:pos="5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submittals shall include a specification compliance analysis for review and approval before work shall begin. The compliance document shall address each paragraph of this specification by indicating COMPLY, EXCEED, or EXCEPTION. Do not indicate COMPLY unless the proposed system exactly meets the paragraph requirement. If EXCEED or EXCEPTION is indicated, then provide a clear and concise explanation of the variance from the specifications and the net effect this would have on the specified system performance.</w:t>
      </w:r>
    </w:p>
    <w:p>
      <w:pPr>
        <w:spacing w:after="0" w:line="16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Wiring diagrams shall include internal wiring of all electrical control devices.</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completed computer graphics for all the equipment and building floor plans and equipment prior to scheduled completion of the project for approval.</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2- PRODUCTS</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GENERAL</w:t>
      </w:r>
    </w:p>
    <w:p>
      <w:pPr>
        <w:sectPr>
          <w:pgSz w:w="11900" w:h="16838" w:orient="portrait"/>
          <w:cols w:equalWidth="0" w:num="1">
            <w:col w:w="11280"/>
          </w:cols>
          <w:pgMar w:left="360" w:top="536" w:right="259" w:bottom="1440" w:gutter="0" w:footer="0" w:header="0"/>
        </w:sectPr>
      </w:pPr>
    </w:p>
    <w:bookmarkStart w:id="149" w:name="page150"/>
    <w:bookmarkEnd w:id="149"/>
    <w:p>
      <w:pPr>
        <w:ind w:left="540" w:right="40" w:hanging="328"/>
        <w:spacing w:after="0" w:line="255" w:lineRule="auto"/>
        <w:tabs>
          <w:tab w:leader="none" w:pos="5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Building Management System (BMS) shall </w:t>
      </w:r>
      <w:r>
        <w:rPr>
          <w:rFonts w:ascii="Times New Roman" w:cs="Times New Roman" w:eastAsia="Times New Roman" w:hAnsi="Times New Roman"/>
          <w:sz w:val="17"/>
          <w:szCs w:val="17"/>
          <w:u w:val="single" w:color="auto"/>
          <w:color w:val="auto"/>
        </w:rPr>
        <w:t>provide an easy to use interface for monitoring and managing the building</w:t>
      </w:r>
      <w:r>
        <w:rPr>
          <w:rFonts w:ascii="Times New Roman" w:cs="Times New Roman" w:eastAsia="Times New Roman" w:hAnsi="Times New Roman"/>
          <w:sz w:val="17"/>
          <w:szCs w:val="17"/>
          <w:color w:val="auto"/>
        </w:rPr>
        <w:t>. The Building Management System shall provide the necessary Hardware, Software, and Network Communication abilities to provide Scheduling, Monitoring, Trending, Historical Storage, and Alarm Functions for the HVAC equipment and systems as described in this specification. Control capabilities shall include: Time of Day scheduling, Direct Digital Control, Custom Control, Boolean Logic, Optimum Start/Stop, Duty Cycling, Electrical Demand Control, Temperature Control, After Hours Override, Reports and Logs, Trend Prints, Remote Communications, Alarm Logging, Run Time and Maintenance, and Expanded Informational Messages.</w:t>
      </w:r>
    </w:p>
    <w:p>
      <w:pPr>
        <w:spacing w:after="0" w:line="171" w:lineRule="exact"/>
        <w:rPr>
          <w:rFonts w:ascii="Times New Roman" w:cs="Times New Roman" w:eastAsia="Times New Roman" w:hAnsi="Times New Roman"/>
          <w:sz w:val="17"/>
          <w:szCs w:val="17"/>
          <w:color w:val="auto"/>
        </w:rPr>
      </w:pPr>
    </w:p>
    <w:p>
      <w:pPr>
        <w:ind w:left="540" w:hanging="328"/>
        <w:spacing w:after="0" w:line="281" w:lineRule="auto"/>
        <w:tabs>
          <w:tab w:leader="none" w:pos="5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 Management system shall be designed to allow full Operator operation with a minimum of training. It shall have an on-screen "Help" Operator tutorial.</w:t>
      </w:r>
    </w:p>
    <w:p>
      <w:pPr>
        <w:spacing w:after="0" w:line="149" w:lineRule="exact"/>
        <w:rPr>
          <w:rFonts w:ascii="Times New Roman" w:cs="Times New Roman" w:eastAsia="Times New Roman" w:hAnsi="Times New Roman"/>
          <w:sz w:val="17"/>
          <w:szCs w:val="17"/>
          <w:color w:val="auto"/>
        </w:rPr>
      </w:pPr>
    </w:p>
    <w:p>
      <w:pPr>
        <w:ind w:left="540" w:right="760" w:hanging="328"/>
        <w:spacing w:after="0" w:line="281" w:lineRule="auto"/>
        <w:tabs>
          <w:tab w:leader="none" w:pos="5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application programs shall be engineered, programmed and pre-tested prior to site installation. This shall be verified by standard format programming worksheets or flow diagrams included with the submittals.</w:t>
      </w:r>
    </w:p>
    <w:p>
      <w:pPr>
        <w:spacing w:after="0" w:line="1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2.2</w:t>
        <w:tab/>
        <w:t>BUILDING MANAGEMENT SYSTEM</w:t>
      </w:r>
    </w:p>
    <w:p>
      <w:pPr>
        <w:spacing w:after="0" w:line="187" w:lineRule="exact"/>
        <w:rPr>
          <w:sz w:val="20"/>
          <w:szCs w:val="20"/>
          <w:color w:val="auto"/>
        </w:rPr>
      </w:pPr>
    </w:p>
    <w:p>
      <w:pPr>
        <w:ind w:left="540" w:hanging="328"/>
        <w:spacing w:after="0"/>
        <w:tabs>
          <w:tab w:leader="none" w:pos="5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panel memory shall be protected for a minimum of 48 hours in the event of power failure.</w:t>
      </w:r>
    </w:p>
    <w:p>
      <w:pPr>
        <w:spacing w:after="0" w:line="25" w:lineRule="exact"/>
        <w:rPr>
          <w:rFonts w:ascii="Times New Roman" w:cs="Times New Roman" w:eastAsia="Times New Roman" w:hAnsi="Times New Roman"/>
          <w:sz w:val="17"/>
          <w:szCs w:val="17"/>
          <w:color w:val="auto"/>
        </w:rPr>
      </w:pPr>
    </w:p>
    <w:p>
      <w:pPr>
        <w:ind w:left="540" w:right="5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clock shall continue to run during a power failure so that the system makes the appropriate adjustment to all connected points when power is restored.</w:t>
      </w:r>
    </w:p>
    <w:p>
      <w:pPr>
        <w:spacing w:after="0" w:line="167" w:lineRule="exact"/>
        <w:rPr>
          <w:rFonts w:ascii="Times New Roman" w:cs="Times New Roman" w:eastAsia="Times New Roman" w:hAnsi="Times New Roman"/>
          <w:sz w:val="17"/>
          <w:szCs w:val="17"/>
          <w:color w:val="auto"/>
        </w:rPr>
      </w:pPr>
    </w:p>
    <w:p>
      <w:pPr>
        <w:ind w:left="540" w:right="480" w:hanging="328"/>
        <w:spacing w:after="0" w:line="281" w:lineRule="auto"/>
        <w:tabs>
          <w:tab w:leader="none" w:pos="5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specified or indicated on the point list or where required by the sequence of operation, outputs shall have three position manual override switch (On/Off/Auto), a status light, and shall be selectable for either normally open or closed operation.</w:t>
      </w:r>
    </w:p>
    <w:p>
      <w:pPr>
        <w:spacing w:after="0" w:line="1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MANUFACTURERS</w:t>
      </w:r>
    </w:p>
    <w:p>
      <w:pPr>
        <w:spacing w:after="0" w:line="187"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7"/>
          <w:szCs w:val="17"/>
          <w:color w:val="auto"/>
        </w:rPr>
        <w:t>A.</w:t>
        <w:tab/>
        <w:t>Acceptable Manufacturers Are:</w:t>
      </w:r>
    </w:p>
    <w:p>
      <w:pPr>
        <w:spacing w:after="0" w:line="210" w:lineRule="exact"/>
        <w:rPr>
          <w:sz w:val="20"/>
          <w:szCs w:val="20"/>
          <w:color w:val="auto"/>
        </w:rPr>
      </w:pPr>
    </w:p>
    <w:p>
      <w:pPr>
        <w:ind w:left="1020" w:hanging="416"/>
        <w:spacing w:after="0"/>
        <w:tabs>
          <w:tab w:leader="none" w:pos="10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Johnson Controls as installed by local factory office.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Any other manufacturer shall be considered a substitution and may submit for approval after the bid.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OPERATOR INTERFACE</w:t>
      </w:r>
    </w:p>
    <w:p>
      <w:pPr>
        <w:spacing w:after="0" w:line="187" w:lineRule="exact"/>
        <w:rPr>
          <w:sz w:val="20"/>
          <w:szCs w:val="20"/>
          <w:color w:val="auto"/>
        </w:rPr>
      </w:pPr>
    </w:p>
    <w:p>
      <w:pPr>
        <w:ind w:left="540" w:right="160" w:hanging="328"/>
        <w:spacing w:after="0" w:line="281" w:lineRule="auto"/>
        <w:tabs>
          <w:tab w:leader="none" w:pos="5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Interface. Extend new controls from the existing base building PC based workstation(s). All graphics based workstation(s) shall be able to access all information in the system.</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Workstation Software</w:t>
      </w:r>
    </w:p>
    <w:p>
      <w:pPr>
        <w:spacing w:after="0" w:line="223" w:lineRule="exact"/>
        <w:rPr>
          <w:rFonts w:ascii="Times New Roman" w:cs="Times New Roman" w:eastAsia="Times New Roman" w:hAnsi="Times New Roman"/>
          <w:sz w:val="17"/>
          <w:szCs w:val="17"/>
          <w:color w:val="auto"/>
        </w:rPr>
      </w:pPr>
    </w:p>
    <w:p>
      <w:pPr>
        <w:ind w:left="1020" w:right="160" w:hanging="484"/>
        <w:spacing w:after="0" w:line="267" w:lineRule="auto"/>
        <w:tabs>
          <w:tab w:leader="none" w:pos="10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Users: The system shall accommodate simultaneous multiple user operation. Access to the system data should be limited only by operator password. Multiple users shall have access to all valid system data. An operator shall be able to log onto any workstation on the system and have access to all valid data.</w:t>
      </w:r>
    </w:p>
    <w:p>
      <w:pPr>
        <w:spacing w:after="0" w:line="2" w:lineRule="exact"/>
        <w:rPr>
          <w:rFonts w:ascii="Times New Roman" w:cs="Times New Roman" w:eastAsia="Times New Roman" w:hAnsi="Times New Roman"/>
          <w:sz w:val="17"/>
          <w:szCs w:val="17"/>
          <w:color w:val="auto"/>
        </w:rPr>
      </w:pPr>
    </w:p>
    <w:p>
      <w:pPr>
        <w:ind w:left="1020" w:right="180" w:hanging="484"/>
        <w:spacing w:after="0" w:line="265" w:lineRule="auto"/>
        <w:tabs>
          <w:tab w:leader="none" w:pos="10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System: Furnish a concurrent multi-tasking operating system. The operating system shall also support the use of other common software applications that operate under Microsoft Windows. Examples include Lotus 123, Microsoft Excel, Word, and Paradox.</w:t>
      </w:r>
    </w:p>
    <w:p>
      <w:pPr>
        <w:ind w:left="1020" w:right="100" w:hanging="484"/>
        <w:spacing w:after="0" w:line="273" w:lineRule="auto"/>
        <w:tabs>
          <w:tab w:leader="none" w:pos="10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Graphics: The Operator Workstation software shall be graphically oriented. The system shall allow display of up to multiple graphic screens at once for comparison and monitoring of system status. Provide a method for the operator to easily move between graphic displays and change the size and location of graphic displays on the screen. The system graphics shall be able to be modified while on line. An operator with the proper password level shall be able to add, delete, or change dynamic points on a graphic.</w:t>
      </w:r>
    </w:p>
    <w:p>
      <w:pPr>
        <w:sectPr>
          <w:pgSz w:w="11900" w:h="16838" w:orient="portrait"/>
          <w:cols w:equalWidth="0" w:num="1">
            <w:col w:w="11260"/>
          </w:cols>
          <w:pgMar w:left="360" w:top="712" w:right="279" w:bottom="1440" w:gutter="0" w:footer="0" w:header="0"/>
        </w:sectPr>
      </w:pPr>
    </w:p>
    <w:bookmarkStart w:id="150" w:name="page151"/>
    <w:bookmarkEnd w:id="150"/>
    <w:p>
      <w:pPr>
        <w:ind w:left="404" w:right="20"/>
        <w:spacing w:after="0" w:line="269" w:lineRule="auto"/>
        <w:rPr>
          <w:sz w:val="20"/>
          <w:szCs w:val="20"/>
          <w:color w:val="auto"/>
        </w:rPr>
      </w:pPr>
      <w:r>
        <w:rPr>
          <w:rFonts w:ascii="Times New Roman" w:cs="Times New Roman" w:eastAsia="Times New Roman" w:hAnsi="Times New Roman"/>
          <w:sz w:val="17"/>
          <w:szCs w:val="17"/>
          <w:color w:val="auto"/>
        </w:rPr>
        <w:t>Dynamic points shall include analog and binary values, dynamic text, static text, and animation files. Graphics shall have the ability to show animation by shifting image files based on the status of the point.</w:t>
      </w:r>
    </w:p>
    <w:p>
      <w:pPr>
        <w:ind w:left="804" w:hanging="318"/>
        <w:spacing w:after="0"/>
        <w:tabs>
          <w:tab w:leader="none" w:pos="80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Graphics. Provide graphics for each major piece of equipment in the building. This includes but not limited to, each Chiller, Air</w:t>
      </w:r>
    </w:p>
    <w:p>
      <w:pPr>
        <w:spacing w:after="0" w:line="20" w:lineRule="exact"/>
        <w:rPr>
          <w:rFonts w:ascii="Times New Roman" w:cs="Times New Roman" w:eastAsia="Times New Roman" w:hAnsi="Times New Roman"/>
          <w:sz w:val="17"/>
          <w:szCs w:val="17"/>
          <w:color w:val="auto"/>
        </w:rPr>
      </w:pPr>
    </w:p>
    <w:p>
      <w:pPr>
        <w:ind w:left="1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Handler, VAV Terminal, &amp; heat exchanger. These standard graphics shall show all points as specified in the points list.</w:t>
      </w:r>
    </w:p>
    <w:p>
      <w:pPr>
        <w:spacing w:after="0" w:line="20" w:lineRule="exact"/>
        <w:rPr>
          <w:rFonts w:ascii="Times New Roman" w:cs="Times New Roman" w:eastAsia="Times New Roman" w:hAnsi="Times New Roman"/>
          <w:sz w:val="17"/>
          <w:szCs w:val="17"/>
          <w:color w:val="auto"/>
        </w:rPr>
      </w:pPr>
    </w:p>
    <w:p>
      <w:pPr>
        <w:ind w:left="1444" w:right="60" w:hanging="958"/>
        <w:spacing w:after="0" w:line="265" w:lineRule="auto"/>
        <w:tabs>
          <w:tab w:leader="none" w:pos="81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 Graphics. The system shall have custom graphics provided for all air handling systems and hydronic systems. Graphics shall also include actual floor plans showing equipment, and sensors. Custom graphic files shall be created with the use of a PC Paint package furnished with the system. The PC Paint package shall be a graphically based system that uses the mouse to create and modify graphics that are saved in industry standard formats such as PCX, TIFF, and GEM. The PC Paint package shall also provide the capability of capturing or converting graphics from other programs such as Designer, or AutoCad.</w:t>
      </w:r>
    </w:p>
    <w:p>
      <w:pPr>
        <w:spacing w:after="0" w:line="1" w:lineRule="exact"/>
        <w:rPr>
          <w:rFonts w:ascii="Times New Roman" w:cs="Times New Roman" w:eastAsia="Times New Roman" w:hAnsi="Times New Roman"/>
          <w:sz w:val="17"/>
          <w:szCs w:val="17"/>
          <w:color w:val="auto"/>
        </w:rPr>
      </w:pPr>
    </w:p>
    <w:p>
      <w:pPr>
        <w:ind w:left="1444" w:hanging="958"/>
        <w:spacing w:after="0" w:line="265" w:lineRule="auto"/>
        <w:tabs>
          <w:tab w:leader="none" w:pos="81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Graphics Library. Furnish a complete library of common HVAC equipment such as chillers, boilers, air handlers, terminals, fan coils, and unit ventilators. This library shall also include symbols for other equipment including fans, pumps, valves, piping, and ductwork. The library shall be furnished in a file format compatible with the PC Paint Program.</w:t>
      </w:r>
    </w:p>
    <w:p>
      <w:pPr>
        <w:ind w:left="1444" w:right="180" w:hanging="958"/>
        <w:spacing w:after="0" w:line="265" w:lineRule="auto"/>
        <w:tabs>
          <w:tab w:leader="none" w:pos="81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Photo Quality Input. The system shall be able to accommodate high resolution digitized photographs. The owner shall be able to edit the photo quality graphics using the furnished PC Paint Program.</w:t>
      </w:r>
    </w:p>
    <w:p>
      <w:pPr>
        <w:ind w:left="404" w:right="440" w:hanging="404"/>
        <w:spacing w:after="0" w:line="265" w:lineRule="auto"/>
        <w:tabs>
          <w:tab w:leader="none" w:pos="40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Workstation Applications. The workstation shall serve as the primary area of the system for operator interface and off-line storage of system information. The workstation shall also serve as the bridge to other building systems. Provide the following applications at the workstation. a.Manual Database Save and Restore. A system operator with the proper password clearance shall be able to save the database from any system</w:t>
      </w:r>
    </w:p>
    <w:p>
      <w:pPr>
        <w:ind w:left="1244"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panel. The operator shall also be able to clear a panel database and manually initiate a download of a specified database to any panel in the system.</w:t>
      </w:r>
    </w:p>
    <w:p>
      <w:pPr>
        <w:ind w:left="1244" w:right="60" w:hanging="765"/>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b.System Configuration. The workstation software shall provide a simple to use graphical method of configuring the system. As elements are located on the site they shall be displayed on a graphical representation of the system. This shall be flexible to allow for future system changes or additions.</w:t>
      </w:r>
    </w:p>
    <w:p>
      <w:pPr>
        <w:ind w:left="1244" w:right="240" w:hanging="752"/>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 Line Help. Provide a context sensitive, on line help system to assist the operator in operation and editing of the system. On line help shall be available for all applications and shall provide the relevant data for that particular screen. Additional help information shall be available through the use of hypertext.</w:t>
      </w:r>
    </w:p>
    <w:p>
      <w:pPr>
        <w:ind w:left="1244" w:hanging="765"/>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d.Security. Each operator shall be required to log on to the system with a user name and a password in order to view, edit, add, or delete data. System security shall be selectable for each operator. The system supervisor shall have the ability to set passwords and security levels for all other operators. Each operator password shall be able to restrict the functions accessible to viewing and/or changing each system application, editor, and object (i.e. Operator One can view and change all airside data but only view chiller plant data, operator two can only acknowledge alarms and not view or change system data etc.) Each operator shall automatically be logged off of the system if no keyboard or mouse activity is detected. This auto logoff time shall be set per operator password. All system security data shall be stored in an encrypted format in the building management panels.</w:t>
      </w:r>
    </w:p>
    <w:p>
      <w:pPr>
        <w:spacing w:after="0" w:line="1" w:lineRule="exact"/>
        <w:rPr>
          <w:rFonts w:ascii="Times New Roman" w:cs="Times New Roman" w:eastAsia="Times New Roman" w:hAnsi="Times New Roman"/>
          <w:sz w:val="17"/>
          <w:szCs w:val="17"/>
          <w:color w:val="auto"/>
        </w:rPr>
      </w:pPr>
    </w:p>
    <w:p>
      <w:pPr>
        <w:ind w:left="1244" w:right="540" w:hanging="752"/>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e.System Diagnostics. The system shall automatically monitor the operation of all workstations, printers, modems, LAN connections, building management panels and controllers. The failure of any device shall be annunciated to the operator.</w:t>
      </w:r>
    </w:p>
    <w:p>
      <w:pPr>
        <w:sectPr>
          <w:pgSz w:w="11900" w:h="16838" w:orient="portrait"/>
          <w:cols w:equalWidth="0" w:num="1">
            <w:col w:w="10764"/>
          </w:cols>
          <w:pgMar w:left="896" w:top="550" w:right="239" w:bottom="1440" w:gutter="0" w:footer="0" w:header="0"/>
        </w:sectPr>
      </w:pPr>
    </w:p>
    <w:bookmarkStart w:id="151" w:name="page152"/>
    <w:bookmarkEnd w:id="151"/>
    <w:p>
      <w:pPr>
        <w:ind w:left="1224" w:right="80" w:hanging="737"/>
        <w:spacing w:after="0" w:line="269" w:lineRule="auto"/>
        <w:rPr>
          <w:sz w:val="20"/>
          <w:szCs w:val="20"/>
          <w:color w:val="auto"/>
        </w:rPr>
      </w:pPr>
      <w:r>
        <w:rPr>
          <w:rFonts w:ascii="Times New Roman" w:cs="Times New Roman" w:eastAsia="Times New Roman" w:hAnsi="Times New Roman"/>
          <w:sz w:val="17"/>
          <w:szCs w:val="17"/>
          <w:color w:val="auto"/>
        </w:rPr>
        <w:t>f.Trend Logs. Each object in the system shall automatically be trend logged. This trend shall be stored for a minimum of 24 hours. The operator shall be able to view this trend on demand.</w:t>
      </w:r>
    </w:p>
    <w:p>
      <w:pPr>
        <w:jc w:val="both"/>
        <w:ind w:left="1244" w:right="160" w:hanging="764"/>
        <w:spacing w:after="0" w:line="265" w:lineRule="auto"/>
        <w:rPr>
          <w:sz w:val="20"/>
          <w:szCs w:val="20"/>
          <w:color w:val="auto"/>
        </w:rPr>
      </w:pPr>
      <w:r>
        <w:rPr>
          <w:rFonts w:ascii="Times New Roman" w:cs="Times New Roman" w:eastAsia="Times New Roman" w:hAnsi="Times New Roman"/>
          <w:sz w:val="17"/>
          <w:szCs w:val="17"/>
          <w:color w:val="auto"/>
        </w:rPr>
        <w:t>g.Event Log. The operator shall be able to view all systems alarms and change of states. Events shall be listed chronologically. An operator with the proper security level may acknowledge and clear alarms. All that have not been cleared by the operator shall be archived to the hard disk on the workstation.</w:t>
      </w:r>
    </w:p>
    <w:p>
      <w:pPr>
        <w:spacing w:after="0" w:line="1"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7"/>
          <w:szCs w:val="17"/>
          <w:color w:val="auto"/>
        </w:rPr>
        <w:t>h.Point Status and Control. Provide a method for the operator to view, and edit if applicable, the status of any object and property in the system.</w:t>
      </w:r>
    </w:p>
    <w:p>
      <w:pPr>
        <w:spacing w:after="0" w:line="21" w:lineRule="exact"/>
        <w:rPr>
          <w:sz w:val="20"/>
          <w:szCs w:val="20"/>
          <w:color w:val="auto"/>
        </w:rPr>
      </w:pPr>
    </w:p>
    <w:p>
      <w:pPr>
        <w:ind w:left="1244"/>
        <w:spacing w:after="0"/>
        <w:rPr>
          <w:sz w:val="20"/>
          <w:szCs w:val="20"/>
          <w:color w:val="auto"/>
        </w:rPr>
      </w:pPr>
      <w:r>
        <w:rPr>
          <w:rFonts w:ascii="Times New Roman" w:cs="Times New Roman" w:eastAsia="Times New Roman" w:hAnsi="Times New Roman"/>
          <w:sz w:val="17"/>
          <w:szCs w:val="17"/>
          <w:color w:val="auto"/>
        </w:rPr>
        <w:t>These statuses shall be available by menu on graphics or through custom programs.</w:t>
      </w:r>
    </w:p>
    <w:p>
      <w:pPr>
        <w:spacing w:after="0" w:line="21" w:lineRule="exact"/>
        <w:rPr>
          <w:sz w:val="20"/>
          <w:szCs w:val="20"/>
          <w:color w:val="auto"/>
        </w:rPr>
      </w:pPr>
    </w:p>
    <w:p>
      <w:pPr>
        <w:jc w:val="both"/>
        <w:ind w:left="1204" w:right="60" w:hanging="724"/>
        <w:spacing w:after="0" w:line="265" w:lineRule="auto"/>
        <w:rPr>
          <w:sz w:val="20"/>
          <w:szCs w:val="20"/>
          <w:color w:val="auto"/>
        </w:rPr>
      </w:pPr>
      <w:r>
        <w:rPr>
          <w:rFonts w:ascii="Times New Roman" w:cs="Times New Roman" w:eastAsia="Times New Roman" w:hAnsi="Times New Roman"/>
          <w:sz w:val="17"/>
          <w:szCs w:val="17"/>
          <w:color w:val="auto"/>
        </w:rPr>
        <w:t>i.Clock Synchronization. The real time clocks in all building control panels and workstations shall be synchronized on command of an operator. The system shall also be able to automatically sequence all system clocks, daily from any operator designated device in the system. The system shall automatically adjust for daylight savings and standard time if applicable.</w:t>
      </w:r>
    </w:p>
    <w:p>
      <w:pPr>
        <w:spacing w:after="0" w:line="1" w:lineRule="exact"/>
        <w:rPr>
          <w:sz w:val="20"/>
          <w:szCs w:val="20"/>
          <w:color w:val="auto"/>
        </w:rPr>
      </w:pPr>
    </w:p>
    <w:p>
      <w:pPr>
        <w:ind w:left="404" w:right="80" w:hanging="404"/>
        <w:spacing w:after="0" w:line="265" w:lineRule="auto"/>
        <w:tabs>
          <w:tab w:leader="none" w:pos="38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Alarm Processing. Any object in the system shall be configurable to alarm in and out of normal state. The operator shall be able to configure the alarm limits, states and reactions for each object in the system.</w:t>
      </w:r>
    </w:p>
    <w:p>
      <w:pPr>
        <w:ind w:left="1244" w:right="140" w:hanging="752"/>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a.Binary Alarms. Each binary object shall be set to alarm based on the operator specified state. Provide the capability to automatically and manually disable alarming.</w:t>
      </w:r>
    </w:p>
    <w:p>
      <w:pPr>
        <w:ind w:left="1244" w:right="180" w:hanging="765"/>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b.Analog Alarms. Each analog object shall have both high and low alarm limits a well as high and low "early warning" limits. Provide separate sets of limits for both occupied and unoccupied (on/off) conditions. Alarming must be able to be automatically or manually disabled.</w:t>
      </w:r>
    </w:p>
    <w:p>
      <w:pPr>
        <w:ind w:left="1244" w:right="120" w:hanging="752"/>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c.Alarm Reactions. The operator shall be able to determine what action if any are to be taken, by object, during an alarm. Actions shall include logging, printing, starting programs, displaying messages, providing audible annunciation or displaying specific system graphics. Each of these actions shall be configurable by workstation and time of day. The system shall provide multiple levels of alarm priority.</w:t>
      </w:r>
    </w:p>
    <w:p>
      <w:pPr>
        <w:ind w:left="404" w:right="100" w:hanging="404"/>
        <w:spacing w:after="0" w:line="265" w:lineRule="auto"/>
        <w:tabs>
          <w:tab w:leader="none" w:pos="38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Workstation Applications Editors. Each PC workstation shall support editing of all system applications. Provide graphically based editors for each application at the PC workstation. The applications shall be downloaded and executed at one or more of the building management panels. a.Application Specific Controller. Provide a full page editor for each application specific controller. This shall allow the operator to view and change</w:t>
      </w:r>
    </w:p>
    <w:p>
      <w:pPr>
        <w:ind w:left="484" w:right="4420" w:firstLine="752"/>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configuration, name, control parameters and set points for each device. b.Scheduling.</w:t>
      </w:r>
    </w:p>
    <w:p>
      <w:pPr>
        <w:ind w:left="2264" w:right="40" w:hanging="1453"/>
        <w:spacing w:after="0" w:line="265" w:lineRule="auto"/>
        <w:tabs>
          <w:tab w:leader="none" w:pos="122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complete graphically based editor for the scheduling application shall be provided at each workstation. Provide an easy to use method of selecting the desired schedule and month.</w:t>
      </w:r>
    </w:p>
    <w:p>
      <w:pPr>
        <w:ind w:left="1224" w:hanging="413"/>
        <w:spacing w:after="0"/>
        <w:tabs>
          <w:tab w:leader="none" w:pos="1224"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shall consist of graphically represented daily schedules and holidays.</w:t>
      </w:r>
    </w:p>
    <w:p>
      <w:pPr>
        <w:spacing w:after="0" w:line="20" w:lineRule="exact"/>
        <w:rPr>
          <w:rFonts w:ascii="Times New Roman" w:cs="Times New Roman" w:eastAsia="Times New Roman" w:hAnsi="Times New Roman"/>
          <w:sz w:val="17"/>
          <w:szCs w:val="17"/>
          <w:color w:val="auto"/>
        </w:rPr>
      </w:pPr>
    </w:p>
    <w:p>
      <w:pPr>
        <w:ind w:left="2264" w:hanging="1453"/>
        <w:spacing w:after="0" w:line="265" w:lineRule="auto"/>
        <w:tabs>
          <w:tab w:leader="none" w:pos="122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the capability for seasonal schedules that will be automatically executed during user defined periods. This shall enable the operator to have a group of equipment in discrete "Summer" and "Winter" schedules. Each seasonal schedule shall only be active during the operator specified time periods. The schedule shall be available for viewing and editing even when not active. The operator viewing a schedule shall be able to see graphically whether the schedule is active or inactive for up to a year in advance.</w:t>
      </w:r>
    </w:p>
    <w:p>
      <w:pPr>
        <w:spacing w:after="0" w:line="1" w:lineRule="exact"/>
        <w:rPr>
          <w:rFonts w:ascii="Times New Roman" w:cs="Times New Roman" w:eastAsia="Times New Roman" w:hAnsi="Times New Roman"/>
          <w:sz w:val="17"/>
          <w:szCs w:val="17"/>
          <w:color w:val="auto"/>
        </w:rPr>
      </w:pPr>
    </w:p>
    <w:p>
      <w:pPr>
        <w:ind w:left="2264" w:right="200" w:hanging="1453"/>
        <w:spacing w:after="0" w:line="265" w:lineRule="auto"/>
        <w:tabs>
          <w:tab w:leader="none" w:pos="122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operator with proper password level shall be able to modify the schedule. Schedules shall be able to be easily copied between objects and/or dates.</w:t>
      </w:r>
    </w:p>
    <w:p>
      <w:pPr>
        <w:ind w:left="404" w:right="180" w:hanging="404"/>
        <w:spacing w:after="0" w:line="290" w:lineRule="auto"/>
        <w:tabs>
          <w:tab w:leader="none" w:pos="38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 Programming Language. Provide the capability to perform custom applications. The custom programming editor shall be accessible from all workstations. The operator shall be able to create, edit, and download custom programs at the same time that all</w:t>
      </w:r>
    </w:p>
    <w:p>
      <w:pPr>
        <w:sectPr>
          <w:pgSz w:w="11900" w:h="16838" w:orient="portrait"/>
          <w:cols w:equalWidth="0" w:num="1">
            <w:col w:w="10764"/>
          </w:cols>
          <w:pgMar w:left="896" w:top="725" w:right="239" w:bottom="1440" w:gutter="0" w:footer="0" w:header="0"/>
        </w:sectPr>
      </w:pPr>
    </w:p>
    <w:bookmarkStart w:id="152" w:name="page153"/>
    <w:bookmarkEnd w:id="152"/>
    <w:p>
      <w:pPr>
        <w:ind w:left="323" w:right="80"/>
        <w:spacing w:after="0" w:line="281" w:lineRule="auto"/>
        <w:rPr>
          <w:sz w:val="20"/>
          <w:szCs w:val="20"/>
          <w:color w:val="auto"/>
        </w:rPr>
      </w:pPr>
      <w:r>
        <w:rPr>
          <w:rFonts w:ascii="Times New Roman" w:cs="Times New Roman" w:eastAsia="Times New Roman" w:hAnsi="Times New Roman"/>
          <w:sz w:val="17"/>
          <w:szCs w:val="17"/>
          <w:color w:val="auto"/>
        </w:rPr>
        <w:t>other system applications are operating. The system shall be fully operable while custom routines are edited, compiled, and downloaded. Systems that require the operator interface be shut down to edit and compile programs shall include and additional Custom Programming Workstation. This workstation shall be identical to the operators workstation in section 2.04.B.2.A.</w:t>
      </w:r>
    </w:p>
    <w:p>
      <w:pPr>
        <w:spacing w:after="0" w:line="137" w:lineRule="exact"/>
        <w:rPr>
          <w:sz w:val="20"/>
          <w:szCs w:val="20"/>
          <w:color w:val="auto"/>
        </w:rPr>
      </w:pPr>
    </w:p>
    <w:p>
      <w:pPr>
        <w:ind w:left="323" w:right="120"/>
        <w:spacing w:after="0" w:line="267" w:lineRule="auto"/>
        <w:rPr>
          <w:sz w:val="20"/>
          <w:szCs w:val="20"/>
          <w:color w:val="auto"/>
        </w:rPr>
      </w:pPr>
      <w:r>
        <w:rPr>
          <w:rFonts w:ascii="Times New Roman" w:cs="Times New Roman" w:eastAsia="Times New Roman" w:hAnsi="Times New Roman"/>
          <w:sz w:val="17"/>
          <w:szCs w:val="17"/>
          <w:color w:val="auto"/>
        </w:rPr>
        <w:t>The Program editor shall allow for creation, editing, troubleshooting, and simulation of custom programs. The editor shall check for proper programming context, use, spelling, and format. The custom programming editor shall also compile the program and be able to upload and download to the building management panel. All custom routines shall be executed at the building management panel.</w:t>
      </w:r>
    </w:p>
    <w:p>
      <w:pPr>
        <w:spacing w:after="0" w:line="2" w:lineRule="exact"/>
        <w:rPr>
          <w:sz w:val="20"/>
          <w:szCs w:val="20"/>
          <w:color w:val="auto"/>
        </w:rPr>
      </w:pPr>
    </w:p>
    <w:p>
      <w:pPr>
        <w:ind w:left="323" w:hanging="323"/>
        <w:spacing w:after="0"/>
        <w:tabs>
          <w:tab w:leader="none" w:pos="32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Alarm Annunciation.</w:t>
      </w:r>
    </w:p>
    <w:p>
      <w:pPr>
        <w:spacing w:after="0" w:line="21" w:lineRule="exact"/>
        <w:rPr>
          <w:sz w:val="20"/>
          <w:szCs w:val="20"/>
          <w:color w:val="auto"/>
        </w:rPr>
      </w:pPr>
    </w:p>
    <w:p>
      <w:pPr>
        <w:ind w:left="1163" w:hanging="751"/>
        <w:spacing w:after="0" w:line="265" w:lineRule="auto"/>
        <w:rPr>
          <w:sz w:val="20"/>
          <w:szCs w:val="20"/>
          <w:color w:val="auto"/>
        </w:rPr>
      </w:pPr>
      <w:r>
        <w:rPr>
          <w:rFonts w:ascii="Times New Roman" w:cs="Times New Roman" w:eastAsia="Times New Roman" w:hAnsi="Times New Roman"/>
          <w:sz w:val="17"/>
          <w:szCs w:val="17"/>
          <w:color w:val="auto"/>
        </w:rPr>
        <w:t>a.Upon the incidence of an alarm, an alarm window shall be displayed showing the point in alarm, the time and date of the alarm and a user-selected predefined alarm message (and optionally printed to a user defined printer, printers and/or VT-100 or dumb terminal devices). Alarms shall be displayed regardless of the application in use including any non-ddc system DOS or Windows applications. The program shall display the current unacknowledged and acknowledged alarms. The user shall be able to selectively enable or disable a reminder in the event there are unacknowledged alarms. This reminder shall be both visual and audible. The user shall be able to record their own reminder messages and select the frequency at which they will play.</w:t>
      </w:r>
    </w:p>
    <w:p>
      <w:pPr>
        <w:spacing w:after="0" w:line="1" w:lineRule="exact"/>
        <w:rPr>
          <w:sz w:val="20"/>
          <w:szCs w:val="20"/>
          <w:color w:val="auto"/>
        </w:rPr>
      </w:pPr>
    </w:p>
    <w:p>
      <w:pPr>
        <w:ind w:left="1163" w:right="100" w:hanging="764"/>
        <w:spacing w:after="0" w:line="265" w:lineRule="auto"/>
        <w:rPr>
          <w:sz w:val="20"/>
          <w:szCs w:val="20"/>
          <w:color w:val="auto"/>
        </w:rPr>
      </w:pPr>
      <w:r>
        <w:rPr>
          <w:rFonts w:ascii="Times New Roman" w:cs="Times New Roman" w:eastAsia="Times New Roman" w:hAnsi="Times New Roman"/>
          <w:sz w:val="17"/>
          <w:szCs w:val="17"/>
          <w:color w:val="auto"/>
        </w:rPr>
        <w:t>b.Acknowledgement of alarms shall be from the alarm "pop-up" and/or from a separate alarm summary. Acknowledgment shall be by a specific event, date range, class, or specific alarm definition and condition. Upon acknowledging the alarm, the name of the operator acknowledging the alarm and the time and date will be associated with the acknowledgement, this data will be stored to the alarm history file and printed to the chosen printers or terminal devices.</w:t>
      </w:r>
    </w:p>
    <w:p>
      <w:pPr>
        <w:spacing w:after="0" w:line="1"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7"/>
          <w:szCs w:val="17"/>
          <w:color w:val="auto"/>
        </w:rPr>
        <w:t>c.The system shall allow automatic or manual display of associated dynamic graphic screens and trend charts shall be provided for each alarm.</w:t>
      </w:r>
    </w:p>
    <w:p>
      <w:pPr>
        <w:spacing w:after="0" w:line="21"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7"/>
          <w:szCs w:val="17"/>
          <w:color w:val="auto"/>
        </w:rPr>
        <w:t>d.Upon exiting the alarm handling mode the user shall be placed back to the application in use at the time of alarm/exception occurrence.</w:t>
      </w:r>
    </w:p>
    <w:p>
      <w:pPr>
        <w:spacing w:after="0" w:line="21" w:lineRule="exact"/>
        <w:rPr>
          <w:sz w:val="20"/>
          <w:szCs w:val="20"/>
          <w:color w:val="auto"/>
        </w:rPr>
      </w:pPr>
    </w:p>
    <w:p>
      <w:pPr>
        <w:ind w:left="1163" w:right="300" w:hanging="751"/>
        <w:spacing w:after="0" w:line="265" w:lineRule="auto"/>
        <w:rPr>
          <w:sz w:val="20"/>
          <w:szCs w:val="20"/>
          <w:color w:val="auto"/>
        </w:rPr>
      </w:pPr>
      <w:r>
        <w:rPr>
          <w:rFonts w:ascii="Times New Roman" w:cs="Times New Roman" w:eastAsia="Times New Roman" w:hAnsi="Times New Roman"/>
          <w:sz w:val="17"/>
          <w:szCs w:val="17"/>
          <w:color w:val="auto"/>
        </w:rPr>
        <w:t>e.A current alarm screen shall be provided which will dynamically display only alarms that are currently in alarm. As alarms are return-to-normal from their respective alarm states the current alarm screen shall be dynamically updated to reflect the change.</w:t>
      </w:r>
    </w:p>
    <w:p>
      <w:pPr>
        <w:ind w:left="323" w:hanging="323"/>
        <w:spacing w:after="0"/>
        <w:tabs>
          <w:tab w:leader="none" w:pos="323"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 Management</w:t>
      </w:r>
    </w:p>
    <w:p>
      <w:pPr>
        <w:spacing w:after="0" w:line="21" w:lineRule="exact"/>
        <w:rPr>
          <w:sz w:val="20"/>
          <w:szCs w:val="20"/>
          <w:color w:val="auto"/>
        </w:rPr>
      </w:pPr>
    </w:p>
    <w:p>
      <w:pPr>
        <w:ind w:left="1163" w:hanging="751"/>
        <w:spacing w:after="0" w:line="265" w:lineRule="auto"/>
        <w:rPr>
          <w:sz w:val="20"/>
          <w:szCs w:val="20"/>
          <w:color w:val="auto"/>
        </w:rPr>
      </w:pPr>
      <w:r>
        <w:rPr>
          <w:rFonts w:ascii="Times New Roman" w:cs="Times New Roman" w:eastAsia="Times New Roman" w:hAnsi="Times New Roman"/>
          <w:sz w:val="17"/>
          <w:szCs w:val="17"/>
          <w:color w:val="auto"/>
        </w:rPr>
        <w:t>a.The program shall automatically perform time based periodic collection of real time point data and subsequently store it to the systems hard disk. There shall be local and remote modes of operation. Local collection shall allow the program to directly query the controllers for individual point samples. Remote collection shall mean the controllers collect and store trend data on individual points and then release the entire trend table(s) upon a request from the computer work station.</w:t>
      </w:r>
    </w:p>
    <w:p>
      <w:pPr>
        <w:spacing w:after="0" w:line="1"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7"/>
          <w:szCs w:val="17"/>
          <w:color w:val="auto"/>
        </w:rPr>
        <w:t>b.Storage and manipulation of sample points shall only be limited by disk space.</w:t>
      </w:r>
    </w:p>
    <w:p>
      <w:pPr>
        <w:spacing w:after="0" w:line="21" w:lineRule="exact"/>
        <w:rPr>
          <w:sz w:val="20"/>
          <w:szCs w:val="20"/>
          <w:color w:val="auto"/>
        </w:rPr>
      </w:pPr>
    </w:p>
    <w:p>
      <w:pPr>
        <w:ind w:left="723" w:right="180"/>
        <w:spacing w:after="0" w:line="265" w:lineRule="auto"/>
        <w:rPr>
          <w:sz w:val="20"/>
          <w:szCs w:val="20"/>
          <w:color w:val="auto"/>
        </w:rPr>
      </w:pPr>
      <w:r>
        <w:rPr>
          <w:rFonts w:ascii="Times New Roman" w:cs="Times New Roman" w:eastAsia="Times New Roman" w:hAnsi="Times New Roman"/>
          <w:sz w:val="17"/>
          <w:szCs w:val="17"/>
          <w:color w:val="auto"/>
        </w:rPr>
        <w:t>Sampling rates shall be user selectable from instantaneous (once a second or less) to once a week. Collection of data shall be user selectable to start and stop on specific times and dates.</w:t>
      </w:r>
    </w:p>
    <w:p>
      <w:pPr>
        <w:ind w:left="1163" w:right="60" w:hanging="751"/>
        <w:spacing w:after="0" w:line="271" w:lineRule="auto"/>
        <w:rPr>
          <w:sz w:val="20"/>
          <w:szCs w:val="20"/>
          <w:color w:val="auto"/>
        </w:rPr>
      </w:pPr>
      <w:r>
        <w:rPr>
          <w:rFonts w:ascii="Times New Roman" w:cs="Times New Roman" w:eastAsia="Times New Roman" w:hAnsi="Times New Roman"/>
          <w:sz w:val="17"/>
          <w:szCs w:val="17"/>
          <w:color w:val="auto"/>
        </w:rPr>
        <w:t>c.Charting of the trend data shall be an integral part of the trend management program. Third party graphing packages such as Excel shall not be required to implement this program. Multiple points shall be chartable. Multiple XIV charts may be run simultaneously displaying either real time data (instantaneous) or historical. Y scaling shall be either automatic or user selectable for any chart displayed, each chart may have different scaling. X scales shall be user selectable allowing for display of data over the wide range of times and dates. Multiple years of data shall be allowed. The chart display shall be capable of displaying a window</w:t>
      </w:r>
    </w:p>
    <w:p>
      <w:pPr>
        <w:sectPr>
          <w:pgSz w:w="11900" w:h="16838" w:orient="portrait"/>
          <w:cols w:equalWidth="0" w:num="1">
            <w:col w:w="10663"/>
          </w:cols>
          <w:pgMar w:left="977" w:top="550" w:right="259" w:bottom="1440" w:gutter="0" w:footer="0" w:header="0"/>
        </w:sectPr>
      </w:pPr>
    </w:p>
    <w:bookmarkStart w:id="153" w:name="page154"/>
    <w:bookmarkEnd w:id="153"/>
    <w:p>
      <w:pPr>
        <w:ind w:left="1420"/>
        <w:spacing w:after="0"/>
        <w:rPr>
          <w:sz w:val="20"/>
          <w:szCs w:val="20"/>
          <w:color w:val="auto"/>
        </w:rPr>
      </w:pPr>
      <w:r>
        <w:rPr>
          <w:rFonts w:ascii="Times New Roman" w:cs="Times New Roman" w:eastAsia="Times New Roman" w:hAnsi="Times New Roman"/>
          <w:sz w:val="17"/>
          <w:szCs w:val="17"/>
          <w:color w:val="auto"/>
        </w:rPr>
        <w:t>of time as short as 15 seconds. Average, high and low values shall be displayed for selected point.</w:t>
      </w:r>
    </w:p>
    <w:p>
      <w:pPr>
        <w:spacing w:after="0" w:line="27" w:lineRule="exact"/>
        <w:rPr>
          <w:sz w:val="20"/>
          <w:szCs w:val="20"/>
          <w:color w:val="auto"/>
        </w:rPr>
      </w:pPr>
    </w:p>
    <w:p>
      <w:pPr>
        <w:ind w:left="1020" w:hanging="416"/>
        <w:spacing w:after="0"/>
        <w:tabs>
          <w:tab w:leader="none" w:pos="10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w:t>
      </w:r>
    </w:p>
    <w:p>
      <w:pPr>
        <w:spacing w:after="0" w:line="21" w:lineRule="exact"/>
        <w:rPr>
          <w:sz w:val="20"/>
          <w:szCs w:val="20"/>
          <w:color w:val="auto"/>
        </w:rPr>
      </w:pPr>
    </w:p>
    <w:p>
      <w:pPr>
        <w:ind w:left="1940" w:right="620" w:hanging="841"/>
        <w:spacing w:after="0" w:line="265" w:lineRule="auto"/>
        <w:rPr>
          <w:sz w:val="20"/>
          <w:szCs w:val="20"/>
          <w:color w:val="auto"/>
        </w:rPr>
      </w:pPr>
      <w:r>
        <w:rPr>
          <w:rFonts w:ascii="Times New Roman" w:cs="Times New Roman" w:eastAsia="Times New Roman" w:hAnsi="Times New Roman"/>
          <w:sz w:val="17"/>
          <w:szCs w:val="17"/>
          <w:color w:val="auto"/>
        </w:rPr>
        <w:t>a.The report section shall be the gateway to the database for all data collected and shall provide an easy means of reporting and information management.</w:t>
      </w:r>
    </w:p>
    <w:p>
      <w:pPr>
        <w:ind w:left="1960" w:right="460" w:hanging="854"/>
        <w:spacing w:after="0" w:line="265" w:lineRule="auto"/>
        <w:rPr>
          <w:sz w:val="20"/>
          <w:szCs w:val="20"/>
          <w:color w:val="auto"/>
        </w:rPr>
      </w:pPr>
      <w:r>
        <w:rPr>
          <w:rFonts w:ascii="Times New Roman" w:cs="Times New Roman" w:eastAsia="Times New Roman" w:hAnsi="Times New Roman"/>
          <w:sz w:val="17"/>
          <w:szCs w:val="17"/>
          <w:color w:val="auto"/>
        </w:rPr>
        <w:t>b.The report generator shall be an integral part of the system. Offline third party packages (such as Excel) for report manipulation shall not be required to implement this program.</w:t>
      </w:r>
    </w:p>
    <w:p>
      <w:pPr>
        <w:ind w:left="1940" w:right="80" w:hanging="841"/>
        <w:spacing w:after="0" w:line="265" w:lineRule="auto"/>
        <w:rPr>
          <w:sz w:val="20"/>
          <w:szCs w:val="20"/>
          <w:color w:val="auto"/>
        </w:rPr>
      </w:pPr>
      <w:r>
        <w:rPr>
          <w:rFonts w:ascii="Times New Roman" w:cs="Times New Roman" w:eastAsia="Times New Roman" w:hAnsi="Times New Roman"/>
          <w:sz w:val="17"/>
          <w:szCs w:val="17"/>
          <w:color w:val="auto"/>
        </w:rPr>
        <w:t>c.Reports on historical trend data shall allow for daily, weekly, monthly and yearly reporting. These reports shall be completely flexible on the data items to be reported on. The user shall be able to select from a list of predefined reports or selected data items on-the-fly. The selection of data item shall not be restricted by panel source. Reports shall have multiple columns and be infinite in length. Reports must be capable of reporting on data that has been collected at varying time intervals. Report generator shall allow an operator to easily and quickly define the contents of a report as well as define a print time and date if so desired. Information contained in the reports shall be derived from alarm history, system database, trend data and timed overrides.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d.The operator shall be able to compile reports by user, department, time and data period, point or points.</w:t>
      </w:r>
    </w:p>
    <w:p>
      <w:pPr>
        <w:spacing w:after="0" w:line="21" w:lineRule="exact"/>
        <w:rPr>
          <w:sz w:val="20"/>
          <w:szCs w:val="20"/>
          <w:color w:val="auto"/>
        </w:rPr>
      </w:pPr>
    </w:p>
    <w:p>
      <w:pPr>
        <w:ind w:left="1020" w:hanging="416"/>
        <w:spacing w:after="0"/>
        <w:tabs>
          <w:tab w:leader="none" w:pos="10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Multi-tasking</w:t>
      </w:r>
    </w:p>
    <w:p>
      <w:pPr>
        <w:spacing w:after="0" w:line="20" w:lineRule="exact"/>
        <w:rPr>
          <w:rFonts w:ascii="Times New Roman" w:cs="Times New Roman" w:eastAsia="Times New Roman" w:hAnsi="Times New Roman"/>
          <w:sz w:val="17"/>
          <w:szCs w:val="17"/>
          <w:color w:val="auto"/>
        </w:rPr>
      </w:pPr>
    </w:p>
    <w:p>
      <w:pPr>
        <w:ind w:left="2140" w:hanging="1044"/>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system shall be capable of true multi-tasking capabilities. The user shall be able to use other non-related programs in the system while still running all ddc system application with no interruptions. This shall include the use of real time data in other applications. This feature shall allow spread sheet programs to gather data from the system dynamically while running a dynamically updated graphic screen. The system shall have the ability to allow the passing of data freely to MS Windows application, which incorporate the use of Dynamic Data Exchange.</w:t>
      </w:r>
    </w:p>
    <w:p>
      <w:pPr>
        <w:spacing w:after="0" w:line="1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6"/>
          <w:szCs w:val="16"/>
          <w:b w:val="1"/>
          <w:bCs w:val="1"/>
          <w:color w:val="auto"/>
        </w:rPr>
        <w:t>SYSTEM PERFORMANCE</w:t>
      </w:r>
    </w:p>
    <w:p>
      <w:pPr>
        <w:spacing w:after="0" w:line="187" w:lineRule="exact"/>
        <w:rPr>
          <w:sz w:val="20"/>
          <w:szCs w:val="20"/>
          <w:color w:val="auto"/>
        </w:rPr>
      </w:pPr>
    </w:p>
    <w:p>
      <w:pPr>
        <w:ind w:left="620" w:right="80" w:hanging="408"/>
        <w:spacing w:after="0" w:line="256"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system shall consist of Operator Workstation, Building Management Panels, and Application Specific Controllers. All elements of the system shall be designed for standalone operation. Control shall always occur at the lowest level of the system. Communication between the building management panels and workstations shall be over a high speed communications buss. All nodes on this LAN shall be peers. The operator shall not have to know the panel identifier or location to view or control an object. Application Specific Controllers shall be constantly scanned by the building management panels to update point information and alarm information.</w:t>
      </w:r>
    </w:p>
    <w:p>
      <w:pPr>
        <w:spacing w:after="0" w:line="12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SYSTEM APPLICATION CONTROLLER SOFTWARE</w:t>
      </w:r>
    </w:p>
    <w:p>
      <w:pPr>
        <w:spacing w:after="0" w:line="187" w:lineRule="exact"/>
        <w:rPr>
          <w:sz w:val="20"/>
          <w:szCs w:val="20"/>
          <w:color w:val="auto"/>
        </w:rPr>
      </w:pPr>
    </w:p>
    <w:p>
      <w:pPr>
        <w:ind w:left="620" w:hanging="408"/>
        <w:spacing w:after="0"/>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Security: User access shall be secured using individual security passwords and user names.</w:t>
      </w:r>
    </w:p>
    <w:p>
      <w:pPr>
        <w:spacing w:after="0" w:line="209" w:lineRule="exact"/>
        <w:rPr>
          <w:rFonts w:ascii="Times New Roman" w:cs="Times New Roman" w:eastAsia="Times New Roman" w:hAnsi="Times New Roman"/>
          <w:sz w:val="17"/>
          <w:szCs w:val="17"/>
          <w:color w:val="auto"/>
        </w:rPr>
      </w:pPr>
    </w:p>
    <w:p>
      <w:pPr>
        <w:ind w:left="620" w:hanging="408"/>
        <w:spacing w:after="0"/>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Passwords shall restrict the user to only the object, applications and system functions as assigned by the system manager.</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6"/>
          <w:szCs w:val="16"/>
          <w:b w:val="1"/>
          <w:bCs w:val="1"/>
          <w:color w:val="auto"/>
        </w:rPr>
        <w:t>SYSTEM SOFTWARE</w:t>
      </w:r>
    </w:p>
    <w:p>
      <w:pPr>
        <w:spacing w:after="0" w:line="187" w:lineRule="exact"/>
        <w:rPr>
          <w:sz w:val="20"/>
          <w:szCs w:val="20"/>
          <w:color w:val="auto"/>
        </w:rPr>
      </w:pPr>
    </w:p>
    <w:p>
      <w:pPr>
        <w:ind w:left="620" w:right="60" w:hanging="408"/>
        <w:spacing w:after="0" w:line="281" w:lineRule="auto"/>
        <w:tabs>
          <w:tab w:leader="none" w:pos="6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the following applications for building and energy management. All software applications shall reside and run in the system controllers. Editing of applications shall occur at the operator workstation.</w:t>
      </w:r>
    </w:p>
    <w:p>
      <w:pPr>
        <w:sectPr>
          <w:pgSz w:w="11900" w:h="16838" w:orient="portrait"/>
          <w:cols w:equalWidth="0" w:num="1">
            <w:col w:w="11260"/>
          </w:cols>
          <w:pgMar w:left="360" w:top="766" w:right="279" w:bottom="1440" w:gutter="0" w:footer="0" w:header="0"/>
        </w:sectPr>
      </w:pPr>
    </w:p>
    <w:bookmarkStart w:id="154" w:name="page155"/>
    <w:bookmarkEnd w:id="154"/>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Scheduling: Provide the capability to schedule each object or group of objects in the system. Each scheduler shall consist of the following:</w:t>
      </w:r>
    </w:p>
    <w:p>
      <w:pPr>
        <w:spacing w:after="0" w:line="26" w:lineRule="exact"/>
        <w:rPr>
          <w:rFonts w:ascii="Times New Roman" w:cs="Times New Roman" w:eastAsia="Times New Roman" w:hAnsi="Times New Roman"/>
          <w:sz w:val="17"/>
          <w:szCs w:val="17"/>
          <w:color w:val="auto"/>
        </w:rPr>
      </w:pPr>
    </w:p>
    <w:p>
      <w:pPr>
        <w:ind w:left="2140" w:right="300" w:hanging="1118"/>
        <w:spacing w:after="0" w:line="265" w:lineRule="auto"/>
        <w:tabs>
          <w:tab w:leader="none" w:pos="14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Weekly Schedule: Provide separate schedules for each day of the week. Each of these schedules should include the capability for start, stop, optimal start, optimal stop, and night economizer. Each scheduler may consist of up to 10 events. When a group of objects are scheduled together, provide the capability to adjust the start and stop times for each number.</w:t>
      </w:r>
    </w:p>
    <w:p>
      <w:pPr>
        <w:ind w:left="2140" w:hanging="1118"/>
        <w:spacing w:after="0" w:line="265" w:lineRule="auto"/>
        <w:tabs>
          <w:tab w:leader="none" w:pos="14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Exception Schedules: Provide the ability for the operator to designate any day of the year as an exception schedule. Exception schedules may be defined up to one year in advance. Once an exception schedule is executed, it will be discarded and replaced by the standard schedule for that day of the week.</w:t>
      </w:r>
    </w:p>
    <w:p>
      <w:pPr>
        <w:ind w:left="2140" w:right="240" w:hanging="1118"/>
        <w:spacing w:after="0" w:line="265" w:lineRule="auto"/>
        <w:tabs>
          <w:tab w:leader="none" w:pos="14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Holiday Schedules: Provide the capability for the operator to define up to 30 special or holiday schedules. These schedules may be placed on the scheduling calendar and will be repeated each year. The operator shall be able to define the length of each holiday period.</w:t>
      </w:r>
    </w:p>
    <w:p>
      <w:pPr>
        <w:ind w:left="1320" w:right="300" w:hanging="716"/>
        <w:spacing w:after="0" w:line="265" w:lineRule="auto"/>
        <w:tabs>
          <w:tab w:leader="none" w:pos="101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Optimal Start/Stop: The scheduling application outlined above shall support an optimal start/stop algorithm. This shall calculate the thermal characteristics of a zone and start the equipment prior to occupancy to achieve the desired space temperature at the specified occupancy time. Provide an early start limit in minutes to prevent the system from starting too early.</w:t>
      </w: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Coordination: Provide a standard application for the proper coordination of equipment.</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Alarm Reporting.</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Trending.</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Diagnostics.</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Fail Recovery.</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and Logs.</w:t>
      </w:r>
    </w:p>
    <w:p>
      <w:pPr>
        <w:spacing w:after="0" w:line="15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NETWORK CONTROLLERS</w:t>
      </w:r>
    </w:p>
    <w:p>
      <w:pPr>
        <w:spacing w:after="0" w:line="187" w:lineRule="exact"/>
        <w:rPr>
          <w:sz w:val="20"/>
          <w:szCs w:val="20"/>
          <w:color w:val="auto"/>
        </w:rPr>
      </w:pPr>
    </w:p>
    <w:p>
      <w:pPr>
        <w:ind w:left="620" w:right="380" w:hanging="408"/>
        <w:spacing w:after="0" w:line="281" w:lineRule="auto"/>
        <w:tabs>
          <w:tab w:leader="none" w:pos="6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Provide an adequate number of Building Management Panels to provide the performance specified above. Each of these panels shall meet the following requirements.</w:t>
      </w:r>
    </w:p>
    <w:p>
      <w:pPr>
        <w:spacing w:after="0" w:line="163" w:lineRule="exact"/>
        <w:rPr>
          <w:rFonts w:ascii="Times New Roman" w:cs="Times New Roman" w:eastAsia="Times New Roman" w:hAnsi="Times New Roman"/>
          <w:sz w:val="17"/>
          <w:szCs w:val="17"/>
          <w:color w:val="auto"/>
        </w:rPr>
      </w:pPr>
    </w:p>
    <w:p>
      <w:pPr>
        <w:ind w:left="1320" w:right="140" w:hanging="716"/>
        <w:spacing w:after="0" w:line="269" w:lineRule="auto"/>
        <w:tabs>
          <w:tab w:leader="none" w:pos="101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 Automation System shall be composed of one or more independent stand alone, microprocessor based Network Controllers to manage the global strategies describes in Application software section.</w:t>
      </w:r>
    </w:p>
    <w:p>
      <w:pPr>
        <w:ind w:left="1020" w:hanging="416"/>
        <w:spacing w:after="0"/>
        <w:tabs>
          <w:tab w:leader="none" w:pos="10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Master Controller shall have substantial memory to support its operating system, database, and programming requirements.</w:t>
      </w:r>
    </w:p>
    <w:p>
      <w:pPr>
        <w:spacing w:after="0" w:line="20" w:lineRule="exact"/>
        <w:rPr>
          <w:rFonts w:ascii="Times New Roman" w:cs="Times New Roman" w:eastAsia="Times New Roman" w:hAnsi="Times New Roman"/>
          <w:sz w:val="17"/>
          <w:szCs w:val="17"/>
          <w:color w:val="auto"/>
        </w:rPr>
      </w:pPr>
    </w:p>
    <w:p>
      <w:pPr>
        <w:ind w:left="1320" w:right="300" w:hanging="716"/>
        <w:spacing w:after="0" w:line="265" w:lineRule="auto"/>
        <w:tabs>
          <w:tab w:leader="none" w:pos="101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multi-tasking operating system of the Controller shall manage the input and output communications signals to allow distributed controllers to share real and virtual point information and allow central monitoring and alarms.</w:t>
      </w:r>
    </w:p>
    <w:p>
      <w:pPr>
        <w:ind w:left="1020" w:hanging="416"/>
        <w:spacing w:after="0"/>
        <w:tabs>
          <w:tab w:leader="none" w:pos="10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shall automatically be shared between Master Controllers when they are networked together.</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database and custom programming routines of remote Network Controllers shall be editable from a single operator station.</w:t>
      </w:r>
    </w:p>
    <w:p>
      <w:pPr>
        <w:spacing w:after="0" w:line="20"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Master Controller shall continually check the status of all processor and memory circuits. If a failure is detected, the controller shall:</w:t>
      </w:r>
    </w:p>
    <w:p>
      <w:pPr>
        <w:spacing w:after="0" w:line="20"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 a predetermined failure mode.</w:t>
      </w:r>
    </w:p>
    <w:p>
      <w:pPr>
        <w:spacing w:after="0" w:line="20"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Emit an alarm.</w:t>
      </w:r>
    </w:p>
    <w:p>
      <w:pPr>
        <w:spacing w:after="0" w:line="20"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Display card failure identification.</w:t>
      </w:r>
    </w:p>
    <w:p>
      <w:pPr>
        <w:spacing w:after="0" w:line="176" w:lineRule="exact"/>
        <w:rPr>
          <w:rFonts w:ascii="Times New Roman" w:cs="Times New Roman" w:eastAsia="Times New Roman" w:hAnsi="Times New Roman"/>
          <w:sz w:val="17"/>
          <w:szCs w:val="17"/>
          <w:color w:val="auto"/>
        </w:rPr>
      </w:pPr>
    </w:p>
    <w:p>
      <w:pPr>
        <w:ind w:left="620" w:right="140" w:hanging="408"/>
        <w:spacing w:after="0" w:line="281" w:lineRule="auto"/>
        <w:tabs>
          <w:tab w:leader="none" w:pos="6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Communications. Each Master Controller and Operator Workstation shall communicate using 10/100/1000 Ethernet (IEEE802.3). This LAN shall be self-configuring and shall automatically reconfigure as nodes are added or removed.</w:t>
      </w:r>
    </w:p>
    <w:p>
      <w:pPr>
        <w:sectPr>
          <w:pgSz w:w="11900" w:h="16838" w:orient="portrait"/>
          <w:cols w:equalWidth="0" w:num="1">
            <w:col w:w="11300"/>
          </w:cols>
          <w:pgMar w:left="360" w:top="739" w:right="239" w:bottom="1440" w:gutter="0" w:footer="0" w:header="0"/>
        </w:sectPr>
      </w:pPr>
    </w:p>
    <w:bookmarkStart w:id="155" w:name="page156"/>
    <w:bookmarkEnd w:id="155"/>
    <w:p>
      <w:pPr>
        <w:ind w:left="1060" w:right="460" w:hanging="416"/>
        <w:spacing w:after="0" w:line="298" w:lineRule="auto"/>
        <w:tabs>
          <w:tab w:leader="none" w:pos="10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 Wired Connections. Provide a twisted pair copper (CAT.5E or higher) cable between all nodes on the system LAN. Provide all necessary network switches to complete the network.</w:t>
      </w:r>
    </w:p>
    <w:p>
      <w:pPr>
        <w:spacing w:after="0" w:line="108" w:lineRule="exact"/>
        <w:rPr>
          <w:rFonts w:ascii="Times New Roman" w:cs="Times New Roman" w:eastAsia="Times New Roman" w:hAnsi="Times New Roman"/>
          <w:sz w:val="17"/>
          <w:szCs w:val="17"/>
          <w:color w:val="auto"/>
        </w:rPr>
      </w:pPr>
    </w:p>
    <w:p>
      <w:pPr>
        <w:ind w:left="660" w:right="520" w:hanging="408"/>
        <w:spacing w:after="0" w:line="281" w:lineRule="auto"/>
        <w:tabs>
          <w:tab w:leader="none" w:pos="6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controllers shall allow communication over open protocol such as LonTalk or BACNET. Open protocol; shall be appropriate to the signal being transmitted and shall selected to best communicate with the domains open protocol for systems that have been previously installed at the facility.</w:t>
      </w:r>
    </w:p>
    <w:p>
      <w:pPr>
        <w:spacing w:after="0" w:line="149" w:lineRule="exact"/>
        <w:rPr>
          <w:rFonts w:ascii="Times New Roman" w:cs="Times New Roman" w:eastAsia="Times New Roman" w:hAnsi="Times New Roman"/>
          <w:sz w:val="17"/>
          <w:szCs w:val="17"/>
          <w:color w:val="auto"/>
        </w:rPr>
      </w:pPr>
    </w:p>
    <w:p>
      <w:pPr>
        <w:jc w:val="both"/>
        <w:ind w:left="660" w:right="320" w:hanging="408"/>
        <w:spacing w:after="0" w:line="265" w:lineRule="auto"/>
        <w:tabs>
          <w:tab w:leader="none" w:pos="6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Serviceability. The Network Controller should be designed in a modular fashion so that the enclosure may be roughed in prior to the installation of the electronics. Provide diagnostic LEOs for power, communications, and alarms. The controller shall have provisions for expansion and future controller architecture. All wiring connections shall be made to field serviceable terminal strips or to a termination card connected by a ribbon cable.</w:t>
      </w:r>
    </w:p>
    <w:p>
      <w:pPr>
        <w:spacing w:after="0" w:line="162" w:lineRule="exact"/>
        <w:rPr>
          <w:rFonts w:ascii="Times New Roman" w:cs="Times New Roman" w:eastAsia="Times New Roman" w:hAnsi="Times New Roman"/>
          <w:sz w:val="17"/>
          <w:szCs w:val="17"/>
          <w:color w:val="auto"/>
        </w:rPr>
      </w:pPr>
    </w:p>
    <w:p>
      <w:pPr>
        <w:ind w:left="660" w:hanging="408"/>
        <w:spacing w:after="0" w:line="265" w:lineRule="auto"/>
        <w:tabs>
          <w:tab w:leader="none" w:pos="6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Memory. The Network Controller shall maintain all BIOS and programming information in EEPROM. The system BIOS shall be easily upgradable for the PC workstation without the need for going out to the panel. System manufacturer shall provide current version software and firmware at the end of the warranty period.</w:t>
      </w:r>
    </w:p>
    <w:p>
      <w:pPr>
        <w:spacing w:after="0" w:line="1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APPLICATION SPECIFIC CONTROLLERS</w:t>
      </w:r>
    </w:p>
    <w:p>
      <w:pPr>
        <w:spacing w:after="0" w:line="187" w:lineRule="exact"/>
        <w:rPr>
          <w:sz w:val="20"/>
          <w:szCs w:val="20"/>
          <w:color w:val="auto"/>
        </w:rPr>
      </w:pPr>
    </w:p>
    <w:p>
      <w:pPr>
        <w:ind w:left="660" w:right="360" w:hanging="408"/>
        <w:spacing w:after="0" w:line="281" w:lineRule="auto"/>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Specific Controllers shall be stand-alone, microprocessor based Direct Digital Controllers with sufficient EEPROM memory to handle its operating system, database and programming requirements.</w:t>
      </w:r>
    </w:p>
    <w:p>
      <w:pPr>
        <w:spacing w:after="0" w:line="149" w:lineRule="exact"/>
        <w:rPr>
          <w:rFonts w:ascii="Times New Roman" w:cs="Times New Roman" w:eastAsia="Times New Roman" w:hAnsi="Times New Roman"/>
          <w:sz w:val="17"/>
          <w:szCs w:val="17"/>
          <w:color w:val="auto"/>
        </w:rPr>
      </w:pPr>
    </w:p>
    <w:p>
      <w:pPr>
        <w:ind w:left="660" w:right="22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controllers shall be clearly labeled as to controller type, where it is to be installed, and software address (if applicable). The controller shall be fully tested upon installation to ensure that it is properly matched to the equipment it is controlling.</w:t>
      </w:r>
    </w:p>
    <w:p>
      <w:pPr>
        <w:spacing w:after="0" w:line="149" w:lineRule="exact"/>
        <w:rPr>
          <w:rFonts w:ascii="Times New Roman" w:cs="Times New Roman" w:eastAsia="Times New Roman" w:hAnsi="Times New Roman"/>
          <w:sz w:val="17"/>
          <w:szCs w:val="17"/>
          <w:color w:val="auto"/>
        </w:rPr>
      </w:pPr>
    </w:p>
    <w:p>
      <w:pPr>
        <w:ind w:left="660" w:hanging="408"/>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controller shall communicate with other devices on the communication network and be fully integrated with the other system components.</w:t>
      </w:r>
    </w:p>
    <w:p>
      <w:pPr>
        <w:spacing w:after="0" w:line="209" w:lineRule="exact"/>
        <w:rPr>
          <w:rFonts w:ascii="Times New Roman" w:cs="Times New Roman" w:eastAsia="Times New Roman" w:hAnsi="Times New Roman"/>
          <w:sz w:val="17"/>
          <w:szCs w:val="17"/>
          <w:color w:val="auto"/>
        </w:rPr>
      </w:pPr>
    </w:p>
    <w:p>
      <w:pPr>
        <w:ind w:left="660" w:hanging="408"/>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hardware shall be suitable for the anticipated ambient conditions.</w:t>
      </w:r>
    </w:p>
    <w:p>
      <w:pPr>
        <w:spacing w:after="0" w:line="196"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Controllers used outdoors and/or in wet ambient shall be mounted within waterproof enclosures, and shall be rated for operation at --40°F to 155°F.</w:t>
      </w:r>
    </w:p>
    <w:p>
      <w:pPr>
        <w:spacing w:after="0" w:line="26" w:lineRule="exact"/>
        <w:rPr>
          <w:rFonts w:ascii="Times New Roman" w:cs="Times New Roman" w:eastAsia="Times New Roman" w:hAnsi="Times New Roman"/>
          <w:sz w:val="17"/>
          <w:szCs w:val="17"/>
          <w:color w:val="auto"/>
        </w:rPr>
      </w:pPr>
    </w:p>
    <w:p>
      <w:pPr>
        <w:ind w:left="960" w:hanging="303"/>
        <w:spacing w:after="0"/>
        <w:tabs>
          <w:tab w:leader="none" w:pos="96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Controller used in conditioned ambient shall be mounted in dust-proof enclosures, and shall be rated for operation at 32°F to 120°F.</w:t>
      </w:r>
    </w:p>
    <w:p>
      <w:pPr>
        <w:spacing w:after="0" w:line="216" w:lineRule="exact"/>
        <w:rPr>
          <w:rFonts w:ascii="Times New Roman" w:cs="Times New Roman" w:eastAsia="Times New Roman" w:hAnsi="Times New Roman"/>
          <w:sz w:val="17"/>
          <w:szCs w:val="17"/>
          <w:color w:val="auto"/>
        </w:rPr>
      </w:pPr>
    </w:p>
    <w:p>
      <w:pPr>
        <w:ind w:left="660" w:hanging="408"/>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Terminal Unit Controllers</w:t>
      </w:r>
    </w:p>
    <w:p>
      <w:pPr>
        <w:spacing w:after="0" w:line="223" w:lineRule="exact"/>
        <w:rPr>
          <w:rFonts w:ascii="Times New Roman" w:cs="Times New Roman" w:eastAsia="Times New Roman" w:hAnsi="Times New Roman"/>
          <w:sz w:val="17"/>
          <w:szCs w:val="17"/>
          <w:color w:val="auto"/>
        </w:rPr>
      </w:pPr>
    </w:p>
    <w:p>
      <w:pPr>
        <w:ind w:left="960" w:hanging="303"/>
        <w:spacing w:after="0"/>
        <w:tabs>
          <w:tab w:leader="none" w:pos="96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Terminal Box Diagnostics:</w:t>
      </w:r>
    </w:p>
    <w:p>
      <w:pPr>
        <w:spacing w:after="0" w:line="26" w:lineRule="exact"/>
        <w:rPr>
          <w:rFonts w:ascii="Times New Roman" w:cs="Times New Roman" w:eastAsia="Times New Roman" w:hAnsi="Times New Roman"/>
          <w:sz w:val="17"/>
          <w:szCs w:val="17"/>
          <w:color w:val="auto"/>
        </w:rPr>
      </w:pPr>
    </w:p>
    <w:p>
      <w:pPr>
        <w:ind w:left="2180" w:right="100" w:hanging="1118"/>
        <w:spacing w:after="0" w:line="265" w:lineRule="auto"/>
        <w:tabs>
          <w:tab w:leader="none" w:pos="146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zone temperature sensor input fails above its high range, unit shall control at its maximum CFM setpoint. If sensor input fails below its low range, units shall control to its minimum CFM setpoint.</w:t>
      </w:r>
    </w:p>
    <w:p>
      <w:pPr>
        <w:ind w:left="1460" w:hanging="398"/>
        <w:spacing w:after="0"/>
        <w:tabs>
          <w:tab w:leader="none" w:pos="146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both cases, all heat outputs shall be disabled. A diagnostic message shall be displayed upon operator inquiry.</w:t>
      </w:r>
    </w:p>
    <w:p>
      <w:pPr>
        <w:spacing w:after="0" w:line="20" w:lineRule="exact"/>
        <w:rPr>
          <w:rFonts w:ascii="Times New Roman" w:cs="Times New Roman" w:eastAsia="Times New Roman" w:hAnsi="Times New Roman"/>
          <w:sz w:val="17"/>
          <w:szCs w:val="17"/>
          <w:color w:val="auto"/>
        </w:rPr>
      </w:pPr>
    </w:p>
    <w:p>
      <w:pPr>
        <w:ind w:left="2180" w:right="40" w:hanging="1118"/>
        <w:spacing w:after="0" w:line="265" w:lineRule="auto"/>
        <w:tabs>
          <w:tab w:leader="none" w:pos="146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flow measuring system fails, unit shall automatically convert to a pressure dependent, damper position based algorithm. Diagnostic message shall be displayed upon operator inquiry.</w:t>
      </w:r>
    </w:p>
    <w:p>
      <w:pPr>
        <w:ind w:left="2180" w:right="40" w:hanging="1118"/>
        <w:spacing w:after="0" w:line="265" w:lineRule="auto"/>
        <w:tabs>
          <w:tab w:leader="none" w:pos="146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zone temperature setpoint potentiometer on zone sensor fails, unit shall automatically control to programmed occupied setpoints. Diagnostic message shall be displayed upon operator inquiry.</w:t>
      </w:r>
    </w:p>
    <w:p>
      <w:pPr>
        <w:ind w:left="2180" w:right="140" w:hanging="1118"/>
        <w:spacing w:after="0" w:line="290" w:lineRule="auto"/>
        <w:tabs>
          <w:tab w:leader="none" w:pos="146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communications are not lost, controller shall continue to operate in current mode of operation. All setpoints shall be retained in nonvolatile memory. If communications are not restored within 15 minutes, unit shall automatically initiate a reset-recalibrate.</w:t>
      </w:r>
    </w:p>
    <w:p>
      <w:pPr>
        <w:sectPr>
          <w:pgSz w:w="11900" w:h="16838" w:orient="portrait"/>
          <w:cols w:equalWidth="0" w:num="1">
            <w:col w:w="11260"/>
          </w:cols>
          <w:pgMar w:left="320" w:top="739" w:right="319" w:bottom="1440" w:gutter="0" w:footer="0" w:header="0"/>
        </w:sectPr>
      </w:pPr>
    </w:p>
    <w:bookmarkStart w:id="156" w:name="page157"/>
    <w:bookmarkEnd w:id="156"/>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6"/>
          <w:szCs w:val="16"/>
          <w:b w:val="1"/>
          <w:bCs w:val="1"/>
          <w:color w:val="auto"/>
        </w:rPr>
        <w:t>CUSTOM APPLICATION CONTROLLERS</w:t>
      </w:r>
    </w:p>
    <w:p>
      <w:pPr>
        <w:spacing w:after="0" w:line="187" w:lineRule="exact"/>
        <w:rPr>
          <w:sz w:val="20"/>
          <w:szCs w:val="20"/>
          <w:color w:val="auto"/>
        </w:rPr>
      </w:pPr>
    </w:p>
    <w:p>
      <w:pPr>
        <w:ind w:left="540" w:right="220" w:hanging="328"/>
        <w:spacing w:after="0" w:line="265" w:lineRule="auto"/>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 Application Controllers shall provide stand-alone control and require no additional system components for complete operation. It shall have sufficient EEPROM memory to support its operation system, database, and programming requirements. Custom application controllers shall meet the requirements of 2.06 Master Control Panels except they shall reside on a communications network operating at a minimum of 38,400 KBPS.</w:t>
      </w:r>
    </w:p>
    <w:p>
      <w:pPr>
        <w:spacing w:after="0" w:line="162"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programming required for operation shall be memory resident and shall be retained in permanent memory.</w:t>
      </w:r>
    </w:p>
    <w:p>
      <w:pPr>
        <w:spacing w:after="0" w:line="209" w:lineRule="exact"/>
        <w:rPr>
          <w:rFonts w:ascii="Times New Roman" w:cs="Times New Roman" w:eastAsia="Times New Roman" w:hAnsi="Times New Roman"/>
          <w:sz w:val="17"/>
          <w:szCs w:val="17"/>
          <w:color w:val="auto"/>
        </w:rPr>
      </w:pPr>
    </w:p>
    <w:p>
      <w:pPr>
        <w:ind w:left="540" w:right="620" w:hanging="328"/>
        <w:spacing w:after="0" w:line="281" w:lineRule="auto"/>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 Application Controller shall be configured such that the Portable Operators Terminal can be plugged directly into it or within sight for programming, editing, and other operator functions. Custom application controllers shall also be programmable from the operator workstation.</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Controller hardware shall be suitable for the anticipated ambient conditions.</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Controllers used outdoors and/or in wet ambient shall be mounted within waterproof enclosures and shall be rated for operation at -40°F to 155°F.</w:t>
      </w:r>
    </w:p>
    <w:p>
      <w:pPr>
        <w:spacing w:after="0" w:line="20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Controller used in conditioned ambient shall be mounted in dust-proof enclosures, and shall be rated for operation at 32°F to 120°F.</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2.11</w:t>
      </w:r>
      <w:r>
        <w:rPr>
          <w:sz w:val="20"/>
          <w:szCs w:val="20"/>
          <w:color w:val="auto"/>
        </w:rPr>
        <w:tab/>
      </w:r>
      <w:r>
        <w:rPr>
          <w:rFonts w:ascii="Times New Roman" w:cs="Times New Roman" w:eastAsia="Times New Roman" w:hAnsi="Times New Roman"/>
          <w:sz w:val="16"/>
          <w:szCs w:val="16"/>
          <w:b w:val="1"/>
          <w:bCs w:val="1"/>
          <w:color w:val="auto"/>
        </w:rPr>
        <w:t>INPUT/OUTPUT INTERFACE</w:t>
      </w:r>
    </w:p>
    <w:p>
      <w:pPr>
        <w:spacing w:after="0" w:line="187" w:lineRule="exact"/>
        <w:rPr>
          <w:sz w:val="20"/>
          <w:szCs w:val="20"/>
          <w:color w:val="auto"/>
        </w:rPr>
      </w:pPr>
    </w:p>
    <w:p>
      <w:pPr>
        <w:ind w:left="540" w:right="80" w:hanging="328"/>
        <w:spacing w:after="0" w:line="281" w:lineRule="auto"/>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Hardwired inputs and outputs may tie into the system through Master Control Panel, Custom Application, or Application Specific Controllers. Any critical points requiring immediate reaction shall be tied directly in to the controller hosting the control software algorithm for the critical function.</w:t>
      </w:r>
    </w:p>
    <w:p>
      <w:pPr>
        <w:spacing w:after="0" w:line="149" w:lineRule="exact"/>
        <w:rPr>
          <w:rFonts w:ascii="Times New Roman" w:cs="Times New Roman" w:eastAsia="Times New Roman" w:hAnsi="Times New Roman"/>
          <w:sz w:val="17"/>
          <w:szCs w:val="17"/>
          <w:color w:val="auto"/>
        </w:rPr>
      </w:pPr>
    </w:p>
    <w:p>
      <w:pPr>
        <w:ind w:left="540" w:hanging="328"/>
        <w:spacing w:after="0" w:line="281" w:lineRule="auto"/>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Binary inputs shall allow the monitoring of on/off signals from remote devices. The binary inputs shall provide a sufficient wetting current to be compatible with commonly available control devices.</w:t>
      </w:r>
    </w:p>
    <w:p>
      <w:pPr>
        <w:spacing w:after="0" w:line="149"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status points shown on the point list shall be positive proof differential pressure or current sensing binary switches.</w:t>
      </w:r>
    </w:p>
    <w:p>
      <w:pPr>
        <w:spacing w:after="0" w:line="209" w:lineRule="exact"/>
        <w:rPr>
          <w:rFonts w:ascii="Times New Roman" w:cs="Times New Roman" w:eastAsia="Times New Roman" w:hAnsi="Times New Roman"/>
          <w:sz w:val="17"/>
          <w:szCs w:val="17"/>
          <w:color w:val="auto"/>
        </w:rPr>
      </w:pPr>
    </w:p>
    <w:p>
      <w:pPr>
        <w:ind w:left="540" w:right="180" w:hanging="328"/>
        <w:spacing w:after="0" w:line="281" w:lineRule="auto"/>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 inputs shall allow the monitoring of low voltage, current, or resistance signals and shall have a minimum resolution of 0.1% of the sensing range. Analog inputs shall be compatible with, and field configurable to commonly available sensing devices.</w:t>
      </w:r>
    </w:p>
    <w:p>
      <w:pPr>
        <w:spacing w:after="0" w:line="149" w:lineRule="exact"/>
        <w:rPr>
          <w:rFonts w:ascii="Times New Roman" w:cs="Times New Roman" w:eastAsia="Times New Roman" w:hAnsi="Times New Roman"/>
          <w:sz w:val="17"/>
          <w:szCs w:val="17"/>
          <w:color w:val="auto"/>
        </w:rPr>
      </w:pPr>
    </w:p>
    <w:p>
      <w:pPr>
        <w:ind w:left="540" w:hanging="328"/>
        <w:spacing w:after="0"/>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Binary outputs shall provide a continuous low voltage signal for on/off control of remote devices.</w:t>
      </w:r>
    </w:p>
    <w:p>
      <w:pPr>
        <w:spacing w:after="0" w:line="25" w:lineRule="exact"/>
        <w:rPr>
          <w:rFonts w:ascii="Times New Roman" w:cs="Times New Roman" w:eastAsia="Times New Roman" w:hAnsi="Times New Roman"/>
          <w:sz w:val="17"/>
          <w:szCs w:val="17"/>
          <w:color w:val="auto"/>
        </w:rPr>
      </w:pPr>
    </w:p>
    <w:p>
      <w:pPr>
        <w:ind w:left="540" w:right="3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specified in the sequence of operations or indicated on the points list, binary outputs shall have 3-position (on/off/auto) override switches, status lights, and shall be selectable for either normally open or normally closed position.</w:t>
      </w:r>
    </w:p>
    <w:p>
      <w:pPr>
        <w:spacing w:after="0" w:line="167" w:lineRule="exact"/>
        <w:rPr>
          <w:rFonts w:ascii="Times New Roman" w:cs="Times New Roman" w:eastAsia="Times New Roman" w:hAnsi="Times New Roman"/>
          <w:sz w:val="17"/>
          <w:szCs w:val="17"/>
          <w:color w:val="auto"/>
        </w:rPr>
      </w:pPr>
    </w:p>
    <w:p>
      <w:pPr>
        <w:ind w:left="540" w:right="160" w:hanging="328"/>
        <w:spacing w:after="0" w:line="265" w:lineRule="auto"/>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 outputs shall provide a modulating signal for the control of end devices. Outputs shall provide either a 0 to 10 VDC, 0 to 20 VDC or a 4 to 20 milliampere signal as required to provide proper control of the output device. Systems that utilize a pulse width modulating output (PWM) shall include a position feedback AI for each output.</w:t>
      </w:r>
    </w:p>
    <w:p>
      <w:pPr>
        <w:sectPr>
          <w:pgSz w:w="11900" w:h="16838" w:orient="portrait"/>
          <w:cols w:equalWidth="0" w:num="1">
            <w:col w:w="11200"/>
          </w:cols>
          <w:pgMar w:left="360" w:top="532" w:right="339" w:bottom="1440" w:gutter="0" w:footer="0" w:header="0"/>
        </w:sectPr>
      </w:pPr>
    </w:p>
    <w:bookmarkStart w:id="157" w:name="page158"/>
    <w:bookmarkEnd w:id="157"/>
    <w:p>
      <w:pPr>
        <w:ind w:left="580" w:hanging="287"/>
        <w:spacing w:after="0"/>
        <w:tabs>
          <w:tab w:leader="none" w:pos="5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architecture shall allow for point expansion in one of the following ways:</w:t>
      </w:r>
    </w:p>
    <w:p>
      <w:pPr>
        <w:spacing w:after="0" w:line="182"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input/output cards to an existing System Application Controller.</w:t>
      </w:r>
    </w:p>
    <w:p>
      <w:pPr>
        <w:spacing w:after="0" w:line="25" w:lineRule="exact"/>
        <w:rPr>
          <w:sz w:val="20"/>
          <w:szCs w:val="20"/>
          <w:color w:val="auto"/>
        </w:rPr>
      </w:pPr>
    </w:p>
    <w:p>
      <w:pPr>
        <w:ind w:left="780" w:hanging="163"/>
        <w:spacing w:after="0"/>
        <w:tabs>
          <w:tab w:leader="none" w:pos="78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panel and/or controller may be used to expand point capacity.</w:t>
      </w:r>
    </w:p>
    <w:p>
      <w:pPr>
        <w:spacing w:after="0" w:line="7"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 (10) percent expansion capacity for all point types in all DDC panels.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2.12 IDENTIFICATION</w:t>
      </w:r>
    </w:p>
    <w:p>
      <w:pPr>
        <w:spacing w:after="0" w:line="214" w:lineRule="exact"/>
        <w:rPr>
          <w:sz w:val="20"/>
          <w:szCs w:val="20"/>
          <w:color w:val="auto"/>
        </w:rPr>
      </w:pPr>
    </w:p>
    <w:p>
      <w:pPr>
        <w:ind w:left="600" w:hanging="307"/>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Engraved Labels</w:t>
      </w:r>
    </w:p>
    <w:p>
      <w:pPr>
        <w:spacing w:after="0" w:line="209"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Melamine plastic laminate.</w:t>
      </w:r>
    </w:p>
    <w:p>
      <w:pPr>
        <w:spacing w:after="0" w:line="25"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Thickness: 1/16".</w:t>
      </w:r>
    </w:p>
    <w:p>
      <w:pPr>
        <w:spacing w:after="0" w:line="7"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Color</w:t>
      </w:r>
    </w:p>
    <w:p>
      <w:pPr>
        <w:spacing w:after="0" w:line="7" w:lineRule="exact"/>
        <w:rPr>
          <w:rFonts w:ascii="Times New Roman" w:cs="Times New Roman" w:eastAsia="Times New Roman" w:hAnsi="Times New Roman"/>
          <w:sz w:val="17"/>
          <w:szCs w:val="17"/>
          <w:color w:val="auto"/>
        </w:rPr>
      </w:pPr>
    </w:p>
    <w:p>
      <w:pPr>
        <w:ind w:left="1500" w:hanging="410"/>
        <w:spacing w:after="0"/>
        <w:tabs>
          <w:tab w:leader="none" w:pos="1500" w:val="left"/>
        </w:tabs>
        <w:numPr>
          <w:ilvl w:val="3"/>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Surface: White.</w:t>
      </w:r>
    </w:p>
    <w:p>
      <w:pPr>
        <w:spacing w:after="0" w:line="7" w:lineRule="exact"/>
        <w:rPr>
          <w:rFonts w:ascii="Times New Roman" w:cs="Times New Roman" w:eastAsia="Times New Roman" w:hAnsi="Times New Roman"/>
          <w:sz w:val="17"/>
          <w:szCs w:val="17"/>
          <w:color w:val="auto"/>
        </w:rPr>
      </w:pPr>
    </w:p>
    <w:p>
      <w:pPr>
        <w:ind w:left="1500" w:hanging="410"/>
        <w:spacing w:after="0"/>
        <w:tabs>
          <w:tab w:leader="none" w:pos="1500" w:val="left"/>
        </w:tabs>
        <w:numPr>
          <w:ilvl w:val="3"/>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Black (letter color).</w:t>
      </w:r>
    </w:p>
    <w:p>
      <w:pPr>
        <w:spacing w:after="0" w:line="7"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Fastenings: Any of the following:</w:t>
      </w:r>
    </w:p>
    <w:p>
      <w:pPr>
        <w:spacing w:after="0" w:line="7" w:lineRule="exact"/>
        <w:rPr>
          <w:rFonts w:ascii="Times New Roman" w:cs="Times New Roman" w:eastAsia="Times New Roman" w:hAnsi="Times New Roman"/>
          <w:sz w:val="17"/>
          <w:szCs w:val="17"/>
          <w:color w:val="auto"/>
        </w:rPr>
      </w:pPr>
    </w:p>
    <w:p>
      <w:pPr>
        <w:ind w:left="1500" w:hanging="478"/>
        <w:spacing w:after="0" w:line="232" w:lineRule="auto"/>
        <w:tabs>
          <w:tab w:leader="none" w:pos="1500" w:val="left"/>
        </w:tabs>
        <w:numPr>
          <w:ilvl w:val="2"/>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Screws.</w:t>
      </w:r>
    </w:p>
    <w:p>
      <w:pPr>
        <w:ind w:left="1500" w:hanging="478"/>
        <w:spacing w:after="0" w:line="232" w:lineRule="auto"/>
        <w:tabs>
          <w:tab w:leader="none" w:pos="1500" w:val="left"/>
        </w:tabs>
        <w:numPr>
          <w:ilvl w:val="2"/>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Rivets.</w:t>
      </w:r>
    </w:p>
    <w:p>
      <w:pPr>
        <w:ind w:left="1500" w:hanging="478"/>
        <w:spacing w:after="0"/>
        <w:tabs>
          <w:tab w:leader="none" w:pos="1500" w:val="left"/>
        </w:tabs>
        <w:numPr>
          <w:ilvl w:val="2"/>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Permanent adhesive.</w:t>
      </w:r>
    </w:p>
    <w:p>
      <w:pPr>
        <w:spacing w:after="0" w:line="7"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Lettering: Coordinate with shop drawings.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2.13 DUCT SMOKE DETECTORS</w:t>
      </w:r>
    </w:p>
    <w:p>
      <w:pPr>
        <w:spacing w:after="0" w:line="187" w:lineRule="exact"/>
        <w:rPr>
          <w:sz w:val="20"/>
          <w:szCs w:val="20"/>
          <w:color w:val="auto"/>
        </w:rPr>
      </w:pPr>
    </w:p>
    <w:p>
      <w:pPr>
        <w:ind w:left="300"/>
        <w:spacing w:after="0"/>
        <w:tabs>
          <w:tab w:leader="none" w:pos="580" w:val="left"/>
        </w:tabs>
        <w:rPr>
          <w:sz w:val="20"/>
          <w:szCs w:val="20"/>
          <w:color w:val="auto"/>
        </w:rPr>
      </w:pPr>
      <w:r>
        <w:rPr>
          <w:rFonts w:ascii="Times New Roman" w:cs="Times New Roman" w:eastAsia="Times New Roman" w:hAnsi="Times New Roman"/>
          <w:sz w:val="17"/>
          <w:szCs w:val="17"/>
          <w:color w:val="auto"/>
        </w:rPr>
        <w:t>A.</w:t>
        <w:tab/>
        <w:t>Duct smoke detectors shall be provided and wired in accordance with manufacturer's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2.14 BMS/ATC CONTROL WIRING</w:t>
      </w:r>
    </w:p>
    <w:p>
      <w:pPr>
        <w:spacing w:after="0" w:line="187" w:lineRule="exact"/>
        <w:rPr>
          <w:sz w:val="20"/>
          <w:szCs w:val="20"/>
          <w:color w:val="auto"/>
        </w:rPr>
      </w:pPr>
    </w:p>
    <w:p>
      <w:pPr>
        <w:ind w:left="600" w:hanging="307"/>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18 AWG Twisted pair cable shield wire shall be provided if required by system manufacturer.</w:t>
      </w:r>
    </w:p>
    <w:p>
      <w:pPr>
        <w:spacing w:after="0" w:line="209" w:lineRule="exact"/>
        <w:rPr>
          <w:rFonts w:ascii="Times New Roman" w:cs="Times New Roman" w:eastAsia="Times New Roman" w:hAnsi="Times New Roman"/>
          <w:sz w:val="17"/>
          <w:szCs w:val="17"/>
          <w:color w:val="auto"/>
        </w:rPr>
      </w:pPr>
    </w:p>
    <w:p>
      <w:pPr>
        <w:ind w:left="600" w:hanging="307"/>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all input and all analog output wiring.</w:t>
      </w:r>
    </w:p>
    <w:p>
      <w:pPr>
        <w:spacing w:after="0" w:line="209" w:lineRule="exact"/>
        <w:rPr>
          <w:rFonts w:ascii="Times New Roman" w:cs="Times New Roman" w:eastAsia="Times New Roman" w:hAnsi="Times New Roman"/>
          <w:sz w:val="17"/>
          <w:szCs w:val="17"/>
          <w:color w:val="auto"/>
        </w:rPr>
      </w:pPr>
    </w:p>
    <w:p>
      <w:pPr>
        <w:ind w:left="600" w:hanging="307"/>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Tinned copper conductors.</w:t>
      </w:r>
    </w:p>
    <w:p>
      <w:pPr>
        <w:spacing w:after="0" w:line="209" w:lineRule="exact"/>
        <w:rPr>
          <w:rFonts w:ascii="Times New Roman" w:cs="Times New Roman" w:eastAsia="Times New Roman" w:hAnsi="Times New Roman"/>
          <w:sz w:val="17"/>
          <w:szCs w:val="17"/>
          <w:color w:val="auto"/>
        </w:rPr>
      </w:pPr>
    </w:p>
    <w:p>
      <w:pPr>
        <w:ind w:left="600" w:hanging="307"/>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run input/output wires together in the same conduit or wire bundle with 120V power wiring.</w:t>
      </w:r>
    </w:p>
    <w:p>
      <w:pPr>
        <w:spacing w:after="0" w:line="209" w:lineRule="exact"/>
        <w:rPr>
          <w:rFonts w:ascii="Times New Roman" w:cs="Times New Roman" w:eastAsia="Times New Roman" w:hAnsi="Times New Roman"/>
          <w:sz w:val="17"/>
          <w:szCs w:val="17"/>
          <w:color w:val="auto"/>
        </w:rPr>
      </w:pPr>
    </w:p>
    <w:p>
      <w:pPr>
        <w:ind w:left="600" w:hanging="307"/>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control wiring shall be run in metal conduit as follows:</w:t>
      </w:r>
    </w:p>
    <w:p>
      <w:pPr>
        <w:spacing w:after="0" w:line="182"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EMT in Mechanical/Electrical Rooms.</w:t>
      </w:r>
    </w:p>
    <w:p>
      <w:pPr>
        <w:spacing w:after="0" w:line="25"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Rigid at exterior.</w:t>
      </w:r>
    </w:p>
    <w:p>
      <w:pPr>
        <w:spacing w:after="0" w:line="7" w:lineRule="exact"/>
        <w:rPr>
          <w:rFonts w:ascii="Times New Roman" w:cs="Times New Roman" w:eastAsia="Times New Roman" w:hAnsi="Times New Roman"/>
          <w:sz w:val="17"/>
          <w:szCs w:val="17"/>
          <w:color w:val="auto"/>
        </w:rPr>
      </w:pPr>
    </w:p>
    <w:p>
      <w:pPr>
        <w:ind w:left="1020" w:hanging="416"/>
        <w:spacing w:after="0"/>
        <w:tabs>
          <w:tab w:leader="none" w:pos="10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Plenum rated for concealed spaces/hung ceiling.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2.15 DAMPERS</w:t>
      </w:r>
    </w:p>
    <w:p>
      <w:pPr>
        <w:spacing w:after="0" w:line="187" w:lineRule="exact"/>
        <w:rPr>
          <w:sz w:val="20"/>
          <w:szCs w:val="20"/>
          <w:color w:val="auto"/>
        </w:rPr>
      </w:pPr>
    </w:p>
    <w:p>
      <w:pPr>
        <w:ind w:left="600" w:hanging="307"/>
        <w:spacing w:after="0"/>
        <w:tabs>
          <w:tab w:leader="none" w:pos="6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Building Automation System supplier shall provide all automatic control dampers not specified to be supplied integral to the HVAC equipment.</w:t>
      </w:r>
    </w:p>
    <w:p>
      <w:pPr>
        <w:spacing w:after="0" w:line="209" w:lineRule="exact"/>
        <w:rPr>
          <w:rFonts w:ascii="Times New Roman" w:cs="Times New Roman" w:eastAsia="Times New Roman" w:hAnsi="Times New Roman"/>
          <w:sz w:val="17"/>
          <w:szCs w:val="17"/>
          <w:color w:val="auto"/>
        </w:rPr>
      </w:pPr>
    </w:p>
    <w:p>
      <w:pPr>
        <w:ind w:left="940" w:hanging="647"/>
        <w:spacing w:after="0" w:line="265" w:lineRule="auto"/>
        <w:tabs>
          <w:tab w:leader="none" w:pos="59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Dampers shall be low leakage or high velocity low leakage air foil as specified in the sequence of operation or in the equipment specifications and schedules. All proportional dampers shall be opposed blade type, except mixing dampers shall be parallel type. Two position dampers may be opposed or parallel blade type.</w:t>
      </w:r>
    </w:p>
    <w:p>
      <w:pPr>
        <w:sectPr>
          <w:pgSz w:w="11900" w:h="16838" w:orient="portrait"/>
          <w:cols w:equalWidth="0" w:num="1">
            <w:col w:w="11260"/>
          </w:cols>
          <w:pgMar w:left="360" w:top="752" w:right="279" w:bottom="1440" w:gutter="0" w:footer="0" w:header="0"/>
        </w:sectPr>
      </w:pPr>
    </w:p>
    <w:bookmarkStart w:id="158" w:name="page159"/>
    <w:bookmarkEnd w:id="158"/>
    <w:p>
      <w:pPr>
        <w:ind w:left="880" w:hanging="647"/>
        <w:spacing w:after="0" w:line="281" w:lineRule="auto"/>
        <w:tabs>
          <w:tab w:leader="none" w:pos="53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Damper frames and blades shall be galvanized steel and a minimum of 16 gauge. Blade width shall not exceed 8 inches. Dampers and seals shall be suitable for temperature ranges of -50°F to 250°F.</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Blades: 14-gauge, or 16-gauge air foil shaped, double, galvanized steel or extruded aluminum.</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Bearings: Nylon or oil impregnated.</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Axles: Welded, hexagonal or pin lock, or with other approved method to prevent blade rotating on axle.</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Hardware: Zinc plated steel or aluminum.</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Low Leakage Dampers:</w:t>
      </w:r>
    </w:p>
    <w:p>
      <w:pPr>
        <w:spacing w:after="0" w:line="209" w:lineRule="exact"/>
        <w:rPr>
          <w:rFonts w:ascii="Times New Roman" w:cs="Times New Roman" w:eastAsia="Times New Roman" w:hAnsi="Times New Roman"/>
          <w:sz w:val="17"/>
          <w:szCs w:val="17"/>
          <w:color w:val="auto"/>
        </w:rPr>
      </w:pPr>
    </w:p>
    <w:p>
      <w:pPr>
        <w:ind w:left="1540" w:right="360" w:hanging="983"/>
        <w:spacing w:after="0" w:line="259" w:lineRule="auto"/>
        <w:tabs>
          <w:tab w:leader="none" w:pos="874"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low leakage dampers shall be provided to conserve energy. Dampers shall be equipped with neoprene edge seals and compressible metal jamb seals. Leakage shall not exceed 10 CFM/Sq. Ft. at 4" W.G. differential and 3 CFM/Sq. Ft. at 1" W.G. differential.</w:t>
      </w:r>
    </w:p>
    <w:p>
      <w:pPr>
        <w:spacing w:after="0" w:line="1"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Low Leakage dampers shall be Ruskin, Model CD36 or equivalent.</w:t>
      </w:r>
    </w:p>
    <w:p>
      <w:pPr>
        <w:spacing w:after="0" w:line="191"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Velocity Low Leakage Dampers:</w:t>
      </w:r>
    </w:p>
    <w:p>
      <w:pPr>
        <w:spacing w:after="0" w:line="209"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specifically called out as "LOW LEAKAGE", provide the following:</w:t>
      </w:r>
    </w:p>
    <w:p>
      <w:pPr>
        <w:spacing w:after="0" w:line="25" w:lineRule="exact"/>
        <w:rPr>
          <w:rFonts w:ascii="Times New Roman" w:cs="Times New Roman" w:eastAsia="Times New Roman" w:hAnsi="Times New Roman"/>
          <w:sz w:val="17"/>
          <w:szCs w:val="17"/>
          <w:color w:val="auto"/>
        </w:rPr>
      </w:pPr>
    </w:p>
    <w:p>
      <w:pPr>
        <w:ind w:left="1540" w:right="80" w:hanging="983"/>
        <w:spacing w:after="0" w:line="248" w:lineRule="auto"/>
        <w:tabs>
          <w:tab w:leader="none" w:pos="874"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Field replaceable edge and end seals with be installed along the top, bottom, and side of the frame and each blade. Seals and bearings shall be suitable for temperature ranges from -40°F to 200°F. Leakage shall not exceed 6 CFM/Sq. Ft. at 4" W.G. differential and 3 CFM/Sq. Ft. at 1" W.G. differential.</w:t>
      </w:r>
    </w:p>
    <w:p>
      <w:pPr>
        <w:spacing w:after="0" w:line="1"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a.High Velocity Low Leakage dampers shall be Ruskin, Model CD60 or equivalent.</w:t>
      </w:r>
    </w:p>
    <w:p>
      <w:pPr>
        <w:spacing w:after="0" w:line="151"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low leakage dampers in the following locations:</w:t>
      </w:r>
    </w:p>
    <w:p>
      <w:pPr>
        <w:spacing w:after="0" w:line="11" w:lineRule="exact"/>
        <w:rPr>
          <w:rFonts w:ascii="Times New Roman" w:cs="Times New Roman" w:eastAsia="Times New Roman" w:hAnsi="Times New Roman"/>
          <w:sz w:val="17"/>
          <w:szCs w:val="17"/>
          <w:color w:val="auto"/>
        </w:rPr>
      </w:pPr>
    </w:p>
    <w:p>
      <w:pPr>
        <w:ind w:left="700" w:hanging="143"/>
        <w:spacing w:after="0" w:line="232" w:lineRule="auto"/>
        <w:tabs>
          <w:tab w:leader="none" w:pos="7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air dampers.</w:t>
      </w:r>
    </w:p>
    <w:p>
      <w:pPr>
        <w:ind w:left="700" w:hanging="143"/>
        <w:spacing w:after="0"/>
        <w:tabs>
          <w:tab w:leader="none" w:pos="7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Motorized backdraft dampers.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Motorized intake dampers.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2.16CONTROL VALVES</w:t>
      </w:r>
    </w:p>
    <w:p>
      <w:pPr>
        <w:spacing w:after="0" w:line="187" w:lineRule="exact"/>
        <w:rPr>
          <w:sz w:val="20"/>
          <w:szCs w:val="20"/>
          <w:color w:val="auto"/>
        </w:rPr>
      </w:pPr>
    </w:p>
    <w:p>
      <w:pPr>
        <w:ind w:left="880" w:right="560" w:hanging="647"/>
        <w:spacing w:after="0" w:line="281" w:lineRule="auto"/>
        <w:tabs>
          <w:tab w:leader="none" w:pos="53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control valves of the type, body material and pressure class as determined by manufacturer, based on operating requirements and maximum pressure and temperature in the piping system.</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 control valves with actuators of proper close-off rating.</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Modulating control valves shall have equal percentage or linear flow characteristics.</w:t>
      </w:r>
    </w:p>
    <w:p>
      <w:pPr>
        <w:spacing w:after="0" w:line="209" w:lineRule="exact"/>
        <w:rPr>
          <w:rFonts w:ascii="Times New Roman" w:cs="Times New Roman" w:eastAsia="Times New Roman" w:hAnsi="Times New Roman"/>
          <w:sz w:val="17"/>
          <w:szCs w:val="17"/>
          <w:color w:val="auto"/>
        </w:rPr>
      </w:pPr>
    </w:p>
    <w:p>
      <w:pPr>
        <w:ind w:left="880" w:right="280" w:hanging="647"/>
        <w:spacing w:after="0" w:line="281" w:lineRule="auto"/>
        <w:tabs>
          <w:tab w:leader="none" w:pos="53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 bodies shall be 2-way normally open or closed, or 3-way mixing as specified or as required. Valve bodies 2" and smaller shall be bronze, screwed type and 2 ½ " and larger shall be iron, flanged and rated at 240°F 125 psig except where otherwise noted.</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Valves shall have stainless steel stems and allow for servicing including packing, stem, and disk replacement, or offer a 5 year warranty on parts and labor.</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valves for 50% coil pressure drop (minimum 3', maximum 12' pressure drop).</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Two-position, two-way control valves shall have quick opening characteristics.</w:t>
      </w:r>
    </w:p>
    <w:p>
      <w:pPr>
        <w:sectPr>
          <w:pgSz w:w="11900" w:h="16838" w:orient="portrait"/>
          <w:cols w:equalWidth="0" w:num="1">
            <w:col w:w="11220"/>
          </w:cols>
          <w:pgMar w:left="420" w:top="739" w:right="259" w:bottom="1440" w:gutter="0" w:footer="0" w:header="0"/>
        </w:sectPr>
      </w:pPr>
    </w:p>
    <w:bookmarkStart w:id="159" w:name="page160"/>
    <w:bookmarkEnd w:id="159"/>
    <w:p>
      <w:pPr>
        <w:ind w:left="540" w:hanging="307"/>
        <w:spacing w:after="0"/>
        <w:tabs>
          <w:tab w:leader="none" w:pos="5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Three-way valves shown in mixing application shall have a single, double faced disk.</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Three-way valves shown in diverting application shall have two separate disks on a common shaft.</w:t>
      </w:r>
    </w:p>
    <w:p>
      <w:pPr>
        <w:spacing w:after="0" w:line="209" w:lineRule="exact"/>
        <w:rPr>
          <w:rFonts w:ascii="Times New Roman" w:cs="Times New Roman" w:eastAsia="Times New Roman" w:hAnsi="Times New Roman"/>
          <w:sz w:val="17"/>
          <w:szCs w:val="17"/>
          <w:color w:val="auto"/>
        </w:rPr>
      </w:pPr>
    </w:p>
    <w:p>
      <w:pPr>
        <w:ind w:left="880" w:right="100" w:hanging="647"/>
        <w:spacing w:after="0" w:line="265" w:lineRule="auto"/>
        <w:tabs>
          <w:tab w:leader="none" w:pos="53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steam control valves shall be single seated. No single valve shall be lager than 2-½ ''. Wherever the flow rate is such as to require a valve larger than 2-½”, then multiple valves in parallel shall be used, with one no larger than 2-½ ''. The valves shall operate sequentially. Trim shall be stainless steel for inlet pressures above 15 psig steam.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2.17VALVE ACTUATORS: (ELECTRIC)</w:t>
      </w:r>
    </w:p>
    <w:p>
      <w:pPr>
        <w:spacing w:after="0" w:line="187" w:lineRule="exact"/>
        <w:rPr>
          <w:sz w:val="20"/>
          <w:szCs w:val="20"/>
          <w:color w:val="auto"/>
        </w:rPr>
      </w:pPr>
    </w:p>
    <w:p>
      <w:pPr>
        <w:ind w:left="540" w:hanging="307"/>
        <w:spacing w:after="0"/>
        <w:tabs>
          <w:tab w:leader="none" w:pos="5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 actuators shall be electronic low voltage (24VAC), and properly selected for the valve body and service. Belimo or equivalent.</w:t>
      </w:r>
    </w:p>
    <w:p>
      <w:pPr>
        <w:spacing w:after="0" w:line="209" w:lineRule="exact"/>
        <w:rPr>
          <w:rFonts w:ascii="Times New Roman" w:cs="Times New Roman" w:eastAsia="Times New Roman" w:hAnsi="Times New Roman"/>
          <w:sz w:val="17"/>
          <w:szCs w:val="17"/>
          <w:color w:val="auto"/>
        </w:rPr>
      </w:pPr>
    </w:p>
    <w:p>
      <w:pPr>
        <w:ind w:left="880" w:right="120" w:hanging="647"/>
        <w:spacing w:after="0" w:line="281" w:lineRule="auto"/>
        <w:tabs>
          <w:tab w:leader="none" w:pos="53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Actuators shall be fully proportioning (if modulating) and be spring return for normally open or normally closed operation as called out in the sequence of operations.</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handwheel or manual positioner mounted adjacent to valve to allow manual positioning of valve in the absence of power.</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Tri-state floating control non-spring return actuators are acceptable for terminal reheat applications for sizes less than one inch.</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Actuators that rely on heating a medium are not acceptable.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2.18BUTTERFLY VALVES</w:t>
      </w:r>
    </w:p>
    <w:p>
      <w:pPr>
        <w:spacing w:after="0" w:line="187" w:lineRule="exact"/>
        <w:rPr>
          <w:sz w:val="20"/>
          <w:szCs w:val="20"/>
          <w:color w:val="auto"/>
        </w:rPr>
      </w:pPr>
    </w:p>
    <w:p>
      <w:pPr>
        <w:ind w:left="880" w:right="260" w:hanging="647"/>
        <w:spacing w:after="0" w:line="281" w:lineRule="auto"/>
        <w:tabs>
          <w:tab w:leader="none" w:pos="53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Butterfly valves used for automatic control shall be lug type rated for 125 psi non-shock water service to 180°F. Valve body shall be ductile iron with B-Nitrite (BUNA N) or EPDM molded seat and seals.</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 material shall be cast bronze of aluminum-bronze with ASTM A-492 Type 416SS stainless steel stem and fittings.</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Valves shall be tight close off suitable for end of the line service.</w:t>
      </w:r>
    </w:p>
    <w:p>
      <w:pPr>
        <w:spacing w:after="0" w:line="209" w:lineRule="exact"/>
        <w:rPr>
          <w:rFonts w:ascii="Times New Roman" w:cs="Times New Roman" w:eastAsia="Times New Roman" w:hAnsi="Times New Roman"/>
          <w:sz w:val="17"/>
          <w:szCs w:val="17"/>
          <w:color w:val="auto"/>
        </w:rPr>
      </w:pPr>
    </w:p>
    <w:p>
      <w:pPr>
        <w:ind w:left="880" w:hanging="647"/>
        <w:spacing w:after="0" w:line="281" w:lineRule="auto"/>
        <w:tabs>
          <w:tab w:leader="none" w:pos="53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Butterfly valves used for two position control shall be line size. Valves used for modulating control shall be sized for a minimum 5 psig differential pressure at full flow. Butterfly valves shall not be used for modulating control without specific approval from the engineer.</w:t>
      </w:r>
    </w:p>
    <w:p>
      <w:pPr>
        <w:spacing w:after="0" w:line="149" w:lineRule="exact"/>
        <w:rPr>
          <w:rFonts w:ascii="Times New Roman" w:cs="Times New Roman" w:eastAsia="Times New Roman" w:hAnsi="Times New Roman"/>
          <w:sz w:val="17"/>
          <w:szCs w:val="17"/>
          <w:color w:val="auto"/>
        </w:rPr>
      </w:pPr>
    </w:p>
    <w:p>
      <w:pPr>
        <w:ind w:left="880" w:right="420" w:hanging="647"/>
        <w:spacing w:after="0" w:line="281" w:lineRule="auto"/>
        <w:tabs>
          <w:tab w:leader="none" w:pos="53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way valve mixing or diverting configurations shall have factory provided linkage kits specifically manufactured for the piping arrangement and actuator used. Keystone or approved equivalent.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2.19TEMPERATURE SENSORS</w:t>
      </w:r>
    </w:p>
    <w:p>
      <w:pPr>
        <w:spacing w:after="0" w:line="187" w:lineRule="exact"/>
        <w:rPr>
          <w:sz w:val="20"/>
          <w:szCs w:val="20"/>
          <w:color w:val="auto"/>
        </w:rPr>
      </w:pPr>
    </w:p>
    <w:p>
      <w:pPr>
        <w:ind w:left="540" w:hanging="307"/>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Temperature sensors shall be Resistance Temperature Detector (RTD) or Thermistor as dictated by the requirements of this specification.</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Duct sensors shall be rigid or averaging as specified in the sequence of operations. Averaging sensors shall be a minimum of 5 feet in length.</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Immersion sensors shall be provided with a separable stainless steel or brass well to match pipe material.</w:t>
      </w:r>
    </w:p>
    <w:p>
      <w:pPr>
        <w:sectPr>
          <w:pgSz w:w="11900" w:h="16838" w:orient="portrait"/>
          <w:cols w:equalWidth="0" w:num="1">
            <w:col w:w="11220"/>
          </w:cols>
          <w:pgMar w:left="420" w:top="739" w:right="259" w:bottom="1440" w:gutter="0" w:footer="0" w:header="0"/>
        </w:sectPr>
      </w:pPr>
    </w:p>
    <w:bookmarkStart w:id="160" w:name="page161"/>
    <w:bookmarkEnd w:id="160"/>
    <w:p>
      <w:pPr>
        <w:ind w:left="880" w:right="280" w:hanging="647"/>
        <w:spacing w:after="0" w:line="281" w:lineRule="auto"/>
        <w:tabs>
          <w:tab w:leader="none" w:pos="53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Space sensors shall be equipped with setpoint adjustment and/or override switch as specified on the plans or in the sequence of operations. Space sensor shall have a portable service tool jack.</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Accuracies shall be +/-1oF for standard applications. Where high accuracy is required, accuracies shall be+/- .2°F.</w:t>
      </w:r>
    </w:p>
    <w:p>
      <w:pPr>
        <w:spacing w:after="0" w:line="209" w:lineRule="exact"/>
        <w:rPr>
          <w:rFonts w:ascii="Times New Roman" w:cs="Times New Roman" w:eastAsia="Times New Roman" w:hAnsi="Times New Roman"/>
          <w:sz w:val="17"/>
          <w:szCs w:val="17"/>
          <w:color w:val="auto"/>
        </w:rPr>
      </w:pPr>
    </w:p>
    <w:p>
      <w:pPr>
        <w:ind w:left="880" w:right="260" w:hanging="647"/>
        <w:spacing w:after="0" w:line="281" w:lineRule="auto"/>
        <w:tabs>
          <w:tab w:leader="none" w:pos="53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Duct mounted averaging sensors shall utilize a sensing element incorporated in a copper capillary with a minimum length of 20 feet. The sensor shall be installed according to manufacturers recommendation and looped and fastened at a minimum of every 36 inches.</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Sunshields shall be provided for outside air sensors.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2.20DIFFERENTIAL PRESSURE &amp; CURRENT SWITCHES</w:t>
      </w:r>
    </w:p>
    <w:p>
      <w:pPr>
        <w:spacing w:after="0" w:line="187" w:lineRule="exact"/>
        <w:rPr>
          <w:sz w:val="20"/>
          <w:szCs w:val="20"/>
          <w:color w:val="auto"/>
        </w:rPr>
      </w:pPr>
    </w:p>
    <w:p>
      <w:pPr>
        <w:ind w:left="880" w:hanging="647"/>
        <w:spacing w:after="0" w:line="281" w:lineRule="auto"/>
        <w:tabs>
          <w:tab w:leader="none" w:pos="53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Differential Pressure Switches shall be furnished as indicated for status purposes in air and water applications. Provide single pole double throw switch with fully adjustable differential pressure settings.</w:t>
      </w:r>
    </w:p>
    <w:p>
      <w:pPr>
        <w:spacing w:after="0" w:line="149" w:lineRule="exact"/>
        <w:rPr>
          <w:rFonts w:ascii="Times New Roman" w:cs="Times New Roman" w:eastAsia="Times New Roman" w:hAnsi="Times New Roman"/>
          <w:sz w:val="17"/>
          <w:szCs w:val="17"/>
          <w:color w:val="auto"/>
        </w:rPr>
      </w:pPr>
    </w:p>
    <w:p>
      <w:pPr>
        <w:ind w:left="880" w:right="560" w:hanging="647"/>
        <w:spacing w:after="0" w:line="281" w:lineRule="auto"/>
        <w:tabs>
          <w:tab w:leader="none" w:pos="53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Sensing range shall be suitable for the application with accuracy of +1-2% of range and repeatability of +/-.5 % of range. Sensor shall be capable of withstanding up to 150% of rate pressure without damage.</w:t>
      </w:r>
    </w:p>
    <w:p>
      <w:pPr>
        <w:spacing w:after="0" w:line="149" w:lineRule="exact"/>
        <w:rPr>
          <w:rFonts w:ascii="Times New Roman" w:cs="Times New Roman" w:eastAsia="Times New Roman" w:hAnsi="Times New Roman"/>
          <w:sz w:val="17"/>
          <w:szCs w:val="17"/>
          <w:color w:val="auto"/>
        </w:rPr>
      </w:pPr>
    </w:p>
    <w:p>
      <w:pPr>
        <w:ind w:left="880" w:right="60" w:hanging="647"/>
        <w:spacing w:after="0" w:line="281" w:lineRule="auto"/>
        <w:tabs>
          <w:tab w:leader="none" w:pos="53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switches shall be provided for status indications on variable air flow fans and variable pump speed applications. These switches shall be capable of installation and replacement without removing power wiring.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2.21STATIC PRESSURE SENSORS</w:t>
      </w:r>
    </w:p>
    <w:p>
      <w:pPr>
        <w:spacing w:after="0" w:line="214" w:lineRule="exact"/>
        <w:rPr>
          <w:sz w:val="20"/>
          <w:szCs w:val="20"/>
          <w:color w:val="auto"/>
        </w:rPr>
      </w:pPr>
    </w:p>
    <w:p>
      <w:pPr>
        <w:ind w:left="880" w:right="300" w:hanging="647"/>
        <w:spacing w:after="0" w:line="281" w:lineRule="auto"/>
        <w:tabs>
          <w:tab w:leader="none" w:pos="53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Static pressure sensors shall be differential pressure type. The sensor range shall be closely matched to the system static pressure,-.5 to .5 inches, -1 to 1 inches, 0 to 2.5 inches.</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Sensor accuracy shall be plus or minus 5% of the sensing range, and repeatability of 2% of sensor range.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2.22FREEZE PROTECTION DUCTSTATS</w:t>
      </w:r>
    </w:p>
    <w:p>
      <w:pPr>
        <w:spacing w:after="0" w:line="187" w:lineRule="exact"/>
        <w:rPr>
          <w:sz w:val="20"/>
          <w:szCs w:val="20"/>
          <w:color w:val="auto"/>
        </w:rPr>
      </w:pPr>
    </w:p>
    <w:p>
      <w:pPr>
        <w:ind w:left="880" w:right="20" w:hanging="647"/>
        <w:spacing w:after="0" w:line="259" w:lineRule="auto"/>
        <w:tabs>
          <w:tab w:leader="none" w:pos="53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electric freeze protection ductstat with 20 feet low temperature sensing capillary, and with manual reset, shall be located across the entering face of each cooling coil or bank of coils in the air conditioning unit or in the discharge of each heating coil in the heating and ventilating units, which shall on a fall in temperature below 35°F., shut down its respective supply fan and close the outdoor air damper. Case of instrument shall be located outside of supply unit, within 10 feet of supply fan motor.</w:t>
      </w:r>
    </w:p>
    <w:p>
      <w:pPr>
        <w:spacing w:after="0" w:line="16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systems with return air fans, on fan shut down, the return fan shall continue running or shall start, if not running.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2.23PRESSURE SENSORS</w:t>
      </w:r>
    </w:p>
    <w:p>
      <w:pPr>
        <w:spacing w:after="0" w:line="187" w:lineRule="exact"/>
        <w:rPr>
          <w:sz w:val="20"/>
          <w:szCs w:val="20"/>
          <w:color w:val="auto"/>
        </w:rPr>
      </w:pPr>
    </w:p>
    <w:p>
      <w:pPr>
        <w:ind w:left="540" w:hanging="307"/>
        <w:spacing w:after="0"/>
        <w:tabs>
          <w:tab w:leader="none" w:pos="5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Differential air pressure, static pressure and velocity pressure sensors shall be furnished by Modus, Air Monitor or equivalent.</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 water or steam pressure sensing shall be furnished by Rosemount, Robinson Halpern or equivalent.</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switches shall be furnished by United Electric, Dwyer or equivalent.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2.24FLOW SENSORS</w:t>
      </w:r>
    </w:p>
    <w:p>
      <w:pPr>
        <w:spacing w:after="0" w:line="200" w:lineRule="exact"/>
        <w:rPr>
          <w:sz w:val="20"/>
          <w:szCs w:val="20"/>
          <w:color w:val="auto"/>
        </w:rPr>
      </w:pPr>
    </w:p>
    <w:p>
      <w:pPr>
        <w:ind w:left="240"/>
        <w:spacing w:after="0"/>
        <w:tabs>
          <w:tab w:leader="none" w:pos="520" w:val="left"/>
        </w:tabs>
        <w:rPr>
          <w:sz w:val="20"/>
          <w:szCs w:val="20"/>
          <w:color w:val="auto"/>
        </w:rPr>
      </w:pPr>
      <w:r>
        <w:rPr>
          <w:rFonts w:ascii="Times New Roman" w:cs="Times New Roman" w:eastAsia="Times New Roman" w:hAnsi="Times New Roman"/>
          <w:sz w:val="17"/>
          <w:szCs w:val="17"/>
          <w:color w:val="auto"/>
        </w:rPr>
        <w:t>A.</w:t>
        <w:tab/>
        <w:t>Differential pressure flow meters shall be furnished by Annubar or equivalent.</w:t>
      </w:r>
    </w:p>
    <w:p>
      <w:pPr>
        <w:sectPr>
          <w:pgSz w:w="11900" w:h="16838" w:orient="portrait"/>
          <w:cols w:equalWidth="0" w:num="1">
            <w:col w:w="11220"/>
          </w:cols>
          <w:pgMar w:left="420" w:top="739" w:right="259" w:bottom="1440" w:gutter="0" w:footer="0" w:header="0"/>
        </w:sectPr>
      </w:pPr>
    </w:p>
    <w:bookmarkStart w:id="161" w:name="page162"/>
    <w:bookmarkEnd w:id="161"/>
    <w:p>
      <w:pPr>
        <w:ind w:left="240"/>
        <w:spacing w:after="0"/>
        <w:tabs>
          <w:tab w:leader="none" w:pos="520" w:val="left"/>
        </w:tabs>
        <w:rPr>
          <w:sz w:val="20"/>
          <w:szCs w:val="20"/>
          <w:color w:val="auto"/>
        </w:rPr>
      </w:pPr>
      <w:r>
        <w:rPr>
          <w:rFonts w:ascii="Times New Roman" w:cs="Times New Roman" w:eastAsia="Times New Roman" w:hAnsi="Times New Roman"/>
          <w:sz w:val="17"/>
          <w:szCs w:val="17"/>
          <w:color w:val="auto"/>
        </w:rPr>
        <w:t>B.</w:t>
        <w:tab/>
        <w:t>Vortex flow meters shall be furnished by EMCO or equivalent.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2.25DIGITAL SENSORS</w:t>
      </w:r>
    </w:p>
    <w:p>
      <w:pPr>
        <w:spacing w:after="0" w:line="200" w:lineRule="exact"/>
        <w:rPr>
          <w:sz w:val="20"/>
          <w:szCs w:val="20"/>
          <w:color w:val="auto"/>
        </w:rPr>
      </w:pPr>
    </w:p>
    <w:p>
      <w:pPr>
        <w:ind w:left="540" w:hanging="307"/>
        <w:spacing w:after="0"/>
        <w:tabs>
          <w:tab w:leader="none" w:pos="5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digital inputs will be provided by dry contacts. The contacts will be wired normally open or normally closed as required.</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 status (pumps, fans, etc.) by current sensing switch shall use Neilsen-Kuljian current-operated switch.</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Pump flow status by differential water pressure shall use Penn P74 or equivalent.</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Fan status by differential pressure shall be Dwyer or equivalent.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2.26POWER SENSORS (CURRENT, KW, KWH)</w:t>
      </w:r>
    </w:p>
    <w:p>
      <w:pPr>
        <w:spacing w:after="0" w:line="187" w:lineRule="exact"/>
        <w:rPr>
          <w:sz w:val="20"/>
          <w:szCs w:val="20"/>
          <w:color w:val="auto"/>
        </w:rPr>
      </w:pPr>
    </w:p>
    <w:p>
      <w:pPr>
        <w:ind w:left="880" w:hanging="647"/>
        <w:spacing w:after="0" w:line="281" w:lineRule="auto"/>
        <w:tabs>
          <w:tab w:leader="none" w:pos="538"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Chiller amps shall be sensed by current transducers. The range of operation shall be from zero to a value not more than 50% of FLA. Use Ohio Semitronics CT-E series or equivalent.</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Utility metered or submetered KWH or KW shall be sensed by a pulse producing transducer.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2.27KW/KWH TRANSDUCER</w:t>
      </w:r>
    </w:p>
    <w:p>
      <w:pPr>
        <w:spacing w:after="0" w:line="187" w:lineRule="exact"/>
        <w:rPr>
          <w:sz w:val="20"/>
          <w:szCs w:val="20"/>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be capable of measuring true power demand (kW) and consumption (kWH).</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output shall be 4-20 ma proportional to the true power of the monitored load.</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be capable of providing a field selectable pulse rate output of 1, 0.5, 0.1, or 0.05 pulses per (kWH).</w:t>
      </w:r>
    </w:p>
    <w:p>
      <w:pPr>
        <w:spacing w:after="0" w:line="209" w:lineRule="exact"/>
        <w:rPr>
          <w:rFonts w:ascii="Times New Roman" w:cs="Times New Roman" w:eastAsia="Times New Roman" w:hAnsi="Times New Roman"/>
          <w:sz w:val="17"/>
          <w:szCs w:val="17"/>
          <w:color w:val="auto"/>
        </w:rPr>
      </w:pPr>
    </w:p>
    <w:p>
      <w:pPr>
        <w:ind w:left="880" w:right="120" w:hanging="647"/>
        <w:spacing w:after="0" w:line="281" w:lineRule="auto"/>
        <w:tabs>
          <w:tab w:leader="none" w:pos="53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receive its current inputs from safe current transformers that provide a 0-1V output proportional to the primary current flowing in the sensed load.</w:t>
      </w:r>
    </w:p>
    <w:p>
      <w:pPr>
        <w:spacing w:after="0" w:line="14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transformers shall be accurate to +I- 0.5% from 1% to 100% of the rated current.</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voltage range shall be field selectable from 120 to 600 VAC.</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be accurate to +/-0.5% of the reading over a -15° to 40° C range.</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detect phase loss, or a low voltage situation, and provide an N.C., optically isolated FET (100 ma@ 24 VAC/DC) alarm output.</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have an adjustable low voltage threshold trip point from 75-95% of the rated power of the monitored load.</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be mounted inside a Nema 1 enclosure.</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have an LCD meter mounted in the Nema 1 enclosure to display demand (kW) and consumption (kWH).</w:t>
      </w:r>
    </w:p>
    <w:p>
      <w:pPr>
        <w:spacing w:after="0" w:line="182"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transducer shall be Veris Industries model H6004.</w:t>
      </w:r>
    </w:p>
    <w:p>
      <w:pPr>
        <w:sectPr>
          <w:pgSz w:w="11900" w:h="16838" w:orient="portrait"/>
          <w:cols w:equalWidth="0" w:num="1">
            <w:col w:w="11180"/>
          </w:cols>
          <w:pgMar w:left="420" w:top="536" w:right="2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color w:val="auto"/>
        </w:rPr>
        <w:t>PART 3- EXECUTION</w:t>
      </w:r>
    </w:p>
    <w:p>
      <w:pPr>
        <w:spacing w:after="0" w:line="183"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FUNCTIONS</w:t>
      </w:r>
    </w:p>
    <w:p>
      <w:pPr>
        <w:spacing w:after="0" w:line="200" w:lineRule="exact"/>
        <w:rPr>
          <w:sz w:val="20"/>
          <w:szCs w:val="20"/>
          <w:color w:val="auto"/>
        </w:rPr>
      </w:pPr>
    </w:p>
    <w:p>
      <w:pPr>
        <w:ind w:left="980" w:right="100" w:hanging="728"/>
        <w:spacing w:after="0" w:line="281" w:lineRule="auto"/>
        <w:tabs>
          <w:tab w:leader="none" w:pos="638"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all components necessary to achieve the Sequences of Operation listed in Part IV and any additional industry standard functions normally required of a first class BMS/ATC installation.</w:t>
      </w:r>
    </w:p>
    <w:p>
      <w:pPr>
        <w:spacing w:after="0" w:line="14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division shall provide a project manager who shall, as a part of his duties, be responsible for the following activities:</w:t>
      </w:r>
    </w:p>
    <w:p>
      <w:pPr>
        <w:spacing w:after="0" w:line="196"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between this Contractor and all other trades, Owner, local authorities and the design team.</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Scheduling of manpower, material delivery, equipment installation and checkout.</w:t>
      </w:r>
    </w:p>
    <w:p>
      <w:pPr>
        <w:spacing w:after="0" w:line="7" w:lineRule="exact"/>
        <w:rPr>
          <w:rFonts w:ascii="Times New Roman" w:cs="Times New Roman" w:eastAsia="Times New Roman" w:hAnsi="Times New Roman"/>
          <w:sz w:val="17"/>
          <w:szCs w:val="17"/>
          <w:color w:val="auto"/>
        </w:rPr>
      </w:pPr>
    </w:p>
    <w:p>
      <w:pPr>
        <w:ind w:left="1640" w:right="500" w:hanging="983"/>
        <w:spacing w:after="0" w:line="259" w:lineRule="auto"/>
        <w:tabs>
          <w:tab w:leader="none" w:pos="974"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construction records such as project scheduling, manpower planning, and as-built drawings for project coordination and as-built drawings.</w:t>
      </w:r>
    </w:p>
    <w:p>
      <w:pPr>
        <w:spacing w:after="0" w:line="123"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6"/>
          <w:szCs w:val="16"/>
          <w:b w:val="1"/>
          <w:bCs w:val="1"/>
          <w:color w:val="auto"/>
        </w:rPr>
        <w:t>INSTALLATION METHODS</w:t>
      </w:r>
    </w:p>
    <w:p>
      <w:pPr>
        <w:spacing w:after="0" w:line="187" w:lineRule="exact"/>
        <w:rPr>
          <w:sz w:val="20"/>
          <w:szCs w:val="20"/>
          <w:color w:val="auto"/>
        </w:rPr>
      </w:pPr>
    </w:p>
    <w:p>
      <w:pPr>
        <w:ind w:left="980" w:hanging="728"/>
        <w:spacing w:after="0" w:line="281" w:lineRule="auto"/>
        <w:tabs>
          <w:tab w:leader="none" w:pos="638"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 systems and materials in accordance with manufacturer's instructions, rough-in drawings and equipment details. Install electrical components and use electrical products complying with requirements of applicable Electrical sections of these specifications.</w:t>
      </w:r>
    </w:p>
    <w:p>
      <w:pPr>
        <w:spacing w:after="0" w:line="149" w:lineRule="exact"/>
        <w:rPr>
          <w:rFonts w:ascii="Times New Roman" w:cs="Times New Roman" w:eastAsia="Times New Roman" w:hAnsi="Times New Roman"/>
          <w:sz w:val="17"/>
          <w:szCs w:val="17"/>
          <w:color w:val="auto"/>
        </w:rPr>
      </w:pPr>
    </w:p>
    <w:p>
      <w:pPr>
        <w:ind w:left="980" w:right="80" w:hanging="728"/>
        <w:spacing w:after="0" w:line="281" w:lineRule="auto"/>
        <w:tabs>
          <w:tab w:leader="none" w:pos="638"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"control wiring" is defined to include providing of wire, conduit, and miscellaneous materials as required for mounting and connecting electric or electronic control devices.</w:t>
      </w:r>
    </w:p>
    <w:p>
      <w:pPr>
        <w:spacing w:after="0" w:line="14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Wiring:</w:t>
      </w:r>
    </w:p>
    <w:p>
      <w:pPr>
        <w:spacing w:after="0" w:line="196"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Number-code or color-code conductors appropriately for future identification and servicing of control system.</w:t>
      </w:r>
    </w:p>
    <w:p>
      <w:pPr>
        <w:spacing w:after="0" w:line="25" w:lineRule="exact"/>
        <w:rPr>
          <w:rFonts w:ascii="Times New Roman" w:cs="Times New Roman" w:eastAsia="Times New Roman" w:hAnsi="Times New Roman"/>
          <w:sz w:val="17"/>
          <w:szCs w:val="17"/>
          <w:color w:val="auto"/>
        </w:rPr>
      </w:pPr>
    </w:p>
    <w:p>
      <w:pPr>
        <w:ind w:left="1640" w:right="160" w:hanging="983"/>
        <w:spacing w:after="0" w:line="248" w:lineRule="auto"/>
        <w:tabs>
          <w:tab w:leader="none" w:pos="97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line voltage power wiring required because of substitution of low voltage power wiring equipment specified in this division, shall be provided by this division.</w:t>
      </w:r>
    </w:p>
    <w:p>
      <w:pPr>
        <w:spacing w:after="0" w:line="1"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the applicable requirements of Division 26 for the installation of electrical wiring incidental to the temperature control system.</w:t>
      </w:r>
    </w:p>
    <w:p>
      <w:pPr>
        <w:spacing w:after="0" w:line="7" w:lineRule="exact"/>
        <w:rPr>
          <w:rFonts w:ascii="Times New Roman" w:cs="Times New Roman" w:eastAsia="Times New Roman" w:hAnsi="Times New Roman"/>
          <w:sz w:val="17"/>
          <w:szCs w:val="17"/>
          <w:color w:val="auto"/>
        </w:rPr>
      </w:pPr>
    </w:p>
    <w:p>
      <w:pPr>
        <w:ind w:left="1640" w:right="320" w:hanging="983"/>
        <w:spacing w:after="0" w:line="248" w:lineRule="auto"/>
        <w:tabs>
          <w:tab w:leader="none" w:pos="97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the applicable requirements of National Electrical, New York City Building Code, and Building Code for the installation of electrical wiring incidental to the temperature control system.</w:t>
      </w:r>
    </w:p>
    <w:p>
      <w:pPr>
        <w:spacing w:after="0" w:line="1"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wiring shall be run in conduit in accordance with the electrical sections of this specification.</w:t>
      </w:r>
    </w:p>
    <w:p>
      <w:pPr>
        <w:spacing w:after="0" w:line="7" w:lineRule="exact"/>
        <w:rPr>
          <w:rFonts w:ascii="Times New Roman" w:cs="Times New Roman" w:eastAsia="Times New Roman" w:hAnsi="Times New Roman"/>
          <w:sz w:val="17"/>
          <w:szCs w:val="17"/>
          <w:color w:val="auto"/>
        </w:rPr>
      </w:pPr>
    </w:p>
    <w:p>
      <w:pPr>
        <w:ind w:left="1640" w:right="140" w:hanging="983"/>
        <w:spacing w:after="0" w:line="248" w:lineRule="auto"/>
        <w:tabs>
          <w:tab w:leader="none" w:pos="97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Conduit shall be run parallel to building lines properly supported and sized at a maximum of 40% fill. In no cases shall field installed conduit smaller than%" trade size be allowed. Where conductors are not in conduit, cable rated for use in return air plenums shall be used.</w:t>
      </w:r>
    </w:p>
    <w:p>
      <w:pPr>
        <w:spacing w:after="0" w:line="1" w:lineRule="exact"/>
        <w:rPr>
          <w:rFonts w:ascii="Times New Roman" w:cs="Times New Roman" w:eastAsia="Times New Roman" w:hAnsi="Times New Roman"/>
          <w:sz w:val="17"/>
          <w:szCs w:val="17"/>
          <w:color w:val="auto"/>
        </w:rPr>
      </w:pPr>
    </w:p>
    <w:p>
      <w:pPr>
        <w:ind w:left="1640" w:right="80" w:hanging="983"/>
        <w:spacing w:after="0" w:line="248" w:lineRule="auto"/>
        <w:tabs>
          <w:tab w:leader="none" w:pos="97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BMS/ATC division shall provide all control transformers and all control wiring (including low voltage actuator power wiring). This division shall also provide power wiring from the control circuits to the transformer locations and all other temperature control devices requiring power wiring. Electrical Contractor shall furnish appropriate control circuits (both normal and emergency) in suitable panelboards located throughout the project.</w:t>
      </w:r>
    </w:p>
    <w:p>
      <w:pPr>
        <w:spacing w:after="0" w:line="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BMS/ATC division shall provide UL listed surge protectors for all control circuits upstream of control transformers.</w:t>
      </w:r>
    </w:p>
    <w:p>
      <w:pPr>
        <w:spacing w:after="0" w:line="191"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installed under other divisions of the specifications:</w:t>
      </w:r>
    </w:p>
    <w:p>
      <w:pPr>
        <w:sectPr>
          <w:pgSz w:w="11900" w:h="16838" w:orient="portrait"/>
          <w:cols w:equalWidth="0" w:num="1">
            <w:col w:w="11340"/>
          </w:cols>
          <w:pgMar w:left="320" w:top="776" w:right="239" w:bottom="1440" w:gutter="0" w:footer="0" w:header="0"/>
        </w:sectPr>
      </w:pPr>
    </w:p>
    <w:bookmarkStart w:id="163" w:name="page164"/>
    <w:bookmarkEnd w:id="163"/>
    <w:p>
      <w:pPr>
        <w:ind w:left="880" w:hanging="323"/>
        <w:spacing w:after="0"/>
        <w:tabs>
          <w:tab w:leader="none" w:pos="8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dampers, valves, temperature sensor wells, flow switches and other equipment to Installers at proper time.</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installation instructions.</w:t>
      </w:r>
    </w:p>
    <w:p>
      <w:pPr>
        <w:spacing w:after="0" w:line="164"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low-leakage dampers so all gaskets and seals are properly compressed.</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outside air and relative humidity sensors at each outside air intake louvers for air handlers.</w:t>
      </w:r>
    </w:p>
    <w:p>
      <w:pPr>
        <w:spacing w:after="0" w:line="209" w:lineRule="exact"/>
        <w:rPr>
          <w:rFonts w:ascii="Times New Roman" w:cs="Times New Roman" w:eastAsia="Times New Roman" w:hAnsi="Times New Roman"/>
          <w:sz w:val="17"/>
          <w:szCs w:val="17"/>
          <w:color w:val="auto"/>
        </w:rPr>
      </w:pPr>
    </w:p>
    <w:p>
      <w:pPr>
        <w:ind w:left="880" w:hanging="647"/>
        <w:spacing w:after="0" w:line="281" w:lineRule="auto"/>
        <w:tabs>
          <w:tab w:leader="none" w:pos="53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specifically indicated on plans, do not install wall mounted thermostat or temperature sensor on exterior wall. For thermostats or temperature sensors located on an exterior wall, provide insulated base behind device.</w:t>
      </w:r>
    </w:p>
    <w:p>
      <w:pPr>
        <w:spacing w:after="0" w:line="1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IDENTIFICATION</w:t>
      </w:r>
    </w:p>
    <w:p>
      <w:pPr>
        <w:spacing w:after="0" w:line="187" w:lineRule="exact"/>
        <w:rPr>
          <w:sz w:val="20"/>
          <w:szCs w:val="20"/>
          <w:color w:val="auto"/>
        </w:rPr>
      </w:pPr>
    </w:p>
    <w:p>
      <w:pPr>
        <w:ind w:left="540" w:hanging="307"/>
        <w:spacing w:after="0"/>
        <w:tabs>
          <w:tab w:leader="none" w:pos="5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Devices Inside Panels: Either of the following:</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Engraved labels.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Lettered in permanent ink with felt tip marker.</w:t>
      </w:r>
    </w:p>
    <w:p>
      <w:pPr>
        <w:spacing w:after="0" w:line="191"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Exposed Devices: Engraved labels.</w:t>
      </w:r>
    </w:p>
    <w:p>
      <w:pPr>
        <w:spacing w:after="0" w:line="209"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On the body of the device or on the surface to which it is mounted.</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put identification on removable covers.</w:t>
      </w:r>
    </w:p>
    <w:p>
      <w:pPr>
        <w:spacing w:after="0" w:line="164"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 each remotely mounted control panel as to the device it controls.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3.4OPERATING AMBIENT CONDITIONS</w:t>
      </w:r>
    </w:p>
    <w:p>
      <w:pPr>
        <w:spacing w:after="0" w:line="187" w:lineRule="exact"/>
        <w:rPr>
          <w:sz w:val="20"/>
          <w:szCs w:val="20"/>
          <w:color w:val="auto"/>
        </w:rPr>
      </w:pPr>
    </w:p>
    <w:p>
      <w:pPr>
        <w:ind w:left="560" w:right="100" w:hanging="327"/>
        <w:spacing w:after="0" w:line="281" w:lineRule="auto"/>
        <w:tabs>
          <w:tab w:leader="none" w:pos="5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controls mounted in unconditioned space shall be rated for ambient operating conditions from -40°F to 155°F. Controls not meeting these limits shall be mounted in an accessible location within conditioned space.</w:t>
      </w:r>
    </w:p>
    <w:p>
      <w:pPr>
        <w:spacing w:after="0" w:line="1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OWNER TRAINING</w:t>
      </w:r>
    </w:p>
    <w:p>
      <w:pPr>
        <w:spacing w:after="0" w:line="187" w:lineRule="exact"/>
        <w:rPr>
          <w:sz w:val="20"/>
          <w:szCs w:val="20"/>
          <w:color w:val="auto"/>
        </w:rPr>
      </w:pPr>
    </w:p>
    <w:p>
      <w:pPr>
        <w:jc w:val="both"/>
        <w:ind w:left="880" w:right="180" w:hanging="647"/>
        <w:spacing w:after="0" w:line="259" w:lineRule="auto"/>
        <w:tabs>
          <w:tab w:leader="none" w:pos="53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BAS/ATC contractor shall provide 4 copies of an operator's manual describing all operating and routine maintenance service procedures to be used with the temperature control and Building Automation System supplied. This contractor shall instruct the owner's designated representatives in these procedures during the startup and test period. The owner training shall consist of a minimum of three (3) 8 hour instruction periods scheduled by the owner over the first 12 months of system operation. The training shall be scheduled during normal working hours.</w:t>
      </w:r>
    </w:p>
    <w:p>
      <w:pPr>
        <w:spacing w:after="0" w:line="142" w:lineRule="exact"/>
        <w:rPr>
          <w:rFonts w:ascii="Times New Roman" w:cs="Times New Roman" w:eastAsia="Times New Roman" w:hAnsi="Times New Roman"/>
          <w:sz w:val="17"/>
          <w:szCs w:val="17"/>
          <w:color w:val="auto"/>
        </w:rPr>
      </w:pPr>
    </w:p>
    <w:p>
      <w:pPr>
        <w:ind w:left="880" w:right="760" w:hanging="647"/>
        <w:spacing w:after="0" w:line="281" w:lineRule="auto"/>
        <w:tabs>
          <w:tab w:leader="none" w:pos="53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 up training shall be provided under this Division for two (2) eight hour instruction periods at six months and twelve months after building acceptance.</w:t>
      </w:r>
    </w:p>
    <w:p>
      <w:pPr>
        <w:spacing w:after="0" w:line="149" w:lineRule="exact"/>
        <w:rPr>
          <w:rFonts w:ascii="Times New Roman" w:cs="Times New Roman" w:eastAsia="Times New Roman" w:hAnsi="Times New Roman"/>
          <w:sz w:val="17"/>
          <w:szCs w:val="17"/>
          <w:color w:val="auto"/>
        </w:rPr>
      </w:pPr>
    </w:p>
    <w:p>
      <w:pPr>
        <w:ind w:left="880" w:right="120" w:hanging="647"/>
        <w:spacing w:after="0" w:line="265" w:lineRule="auto"/>
        <w:tabs>
          <w:tab w:leader="none" w:pos="53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minimum 40 classroom hours of factory training in programming and use of the BMS/ATC system for each of two people (designated by Owner). Provide room and board for trainees class during this period if factory is located more than 30 miles from the project. Provide this training no more than eighteen months after building acceptance.</w:t>
      </w:r>
    </w:p>
    <w:p>
      <w:pPr>
        <w:spacing w:after="0" w:line="1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CALlBRATION AND ADJUSTMENTS</w:t>
      </w:r>
    </w:p>
    <w:p>
      <w:pPr>
        <w:spacing w:after="0" w:line="187" w:lineRule="exact"/>
        <w:rPr>
          <w:sz w:val="20"/>
          <w:szCs w:val="20"/>
          <w:color w:val="auto"/>
        </w:rPr>
      </w:pPr>
    </w:p>
    <w:p>
      <w:pPr>
        <w:ind w:left="880" w:right="40" w:hanging="647"/>
        <w:spacing w:after="0" w:line="281" w:lineRule="auto"/>
        <w:tabs>
          <w:tab w:leader="none" w:pos="538"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completion of the installation, perform final calibrations and adjustments of the equipment provided under this contract and supply services incidental to the proper performance of the ATC and BAS system under warranty below.</w:t>
      </w:r>
    </w:p>
    <w:p>
      <w:pPr>
        <w:sectPr>
          <w:pgSz w:w="11900" w:h="16838" w:orient="portrait"/>
          <w:cols w:equalWidth="0" w:num="1">
            <w:col w:w="11240"/>
          </w:cols>
          <w:pgMar w:left="420" w:top="712" w:right="239" w:bottom="1440" w:gutter="0" w:footer="0" w:header="0"/>
        </w:sectPr>
      </w:pPr>
    </w:p>
    <w:bookmarkStart w:id="164" w:name="page165"/>
    <w:bookmarkEnd w:id="164"/>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OPERATION BY OWNER</w:t>
      </w:r>
    </w:p>
    <w:p>
      <w:pPr>
        <w:spacing w:after="0" w:line="200" w:lineRule="exact"/>
        <w:rPr>
          <w:sz w:val="20"/>
          <w:szCs w:val="20"/>
          <w:color w:val="auto"/>
        </w:rPr>
      </w:pPr>
    </w:p>
    <w:p>
      <w:pPr>
        <w:ind w:left="240"/>
        <w:spacing w:after="0"/>
        <w:tabs>
          <w:tab w:leader="none" w:pos="520" w:val="left"/>
        </w:tabs>
        <w:rPr>
          <w:sz w:val="20"/>
          <w:szCs w:val="20"/>
          <w:color w:val="auto"/>
        </w:rPr>
      </w:pPr>
      <w:r>
        <w:rPr>
          <w:rFonts w:ascii="Times New Roman" w:cs="Times New Roman" w:eastAsia="Times New Roman" w:hAnsi="Times New Roman"/>
          <w:sz w:val="17"/>
          <w:szCs w:val="17"/>
          <w:color w:val="auto"/>
        </w:rPr>
        <w:t>A.</w:t>
        <w:tab/>
        <w:t>Owner may require operation of part of the system prior to final acceptance. Operation is not to be construed as acceptance of work.</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3.8</w:t>
      </w:r>
      <w:r>
        <w:rPr>
          <w:sz w:val="20"/>
          <w:szCs w:val="20"/>
          <w:color w:val="auto"/>
        </w:rPr>
        <w:tab/>
      </w:r>
      <w:r>
        <w:rPr>
          <w:rFonts w:ascii="Times New Roman" w:cs="Times New Roman" w:eastAsia="Times New Roman" w:hAnsi="Times New Roman"/>
          <w:sz w:val="16"/>
          <w:szCs w:val="16"/>
          <w:b w:val="1"/>
          <w:bCs w:val="1"/>
          <w:color w:val="auto"/>
        </w:rPr>
        <w:t>ACCEPTANCE PROCEDURE</w:t>
      </w:r>
    </w:p>
    <w:p>
      <w:pPr>
        <w:spacing w:after="0" w:line="187" w:lineRule="exact"/>
        <w:rPr>
          <w:sz w:val="20"/>
          <w:szCs w:val="20"/>
          <w:color w:val="auto"/>
        </w:rPr>
      </w:pPr>
    </w:p>
    <w:p>
      <w:pPr>
        <w:ind w:left="540" w:hanging="307"/>
        <w:spacing w:after="0"/>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The system installation shall be complete and tested for proper operation prior to acceptance testing for the Owner's authorized representative.</w:t>
      </w:r>
    </w:p>
    <w:p>
      <w:pPr>
        <w:spacing w:after="0" w:line="209" w:lineRule="exact"/>
        <w:rPr>
          <w:rFonts w:ascii="Times New Roman" w:cs="Times New Roman" w:eastAsia="Times New Roman" w:hAnsi="Times New Roman"/>
          <w:sz w:val="17"/>
          <w:szCs w:val="17"/>
          <w:color w:val="auto"/>
        </w:rPr>
      </w:pPr>
    </w:p>
    <w:p>
      <w:pPr>
        <w:ind w:left="880" w:hanging="647"/>
        <w:spacing w:after="0" w:line="265" w:lineRule="auto"/>
        <w:tabs>
          <w:tab w:leader="none" w:pos="53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calibration, Contractor shall startup the system and perform all necessary testing and run diagnostic tests to ensure proper operation. Installer shall be responsible for generating all software and entering all database necessary to perform the sequence of control and specified software routines. An acceptance test in the presence of the Owner's representative or Architect shall be performed.</w:t>
      </w:r>
    </w:p>
    <w:p>
      <w:pPr>
        <w:spacing w:after="0" w:line="135" w:lineRule="exact"/>
        <w:rPr>
          <w:rFonts w:ascii="Times New Roman" w:cs="Times New Roman" w:eastAsia="Times New Roman" w:hAnsi="Times New Roman"/>
          <w:sz w:val="17"/>
          <w:szCs w:val="17"/>
          <w:color w:val="auto"/>
        </w:rPr>
      </w:pPr>
    </w:p>
    <w:p>
      <w:pPr>
        <w:ind w:left="1540" w:right="620" w:hanging="983"/>
        <w:spacing w:after="0" w:line="259" w:lineRule="auto"/>
        <w:tabs>
          <w:tab w:leader="none" w:pos="874"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more than two of the first 10 devices tested, or more than 10%of the first 20 or more devices tested, fail to operate properly, the test shall be discontinued.</w:t>
      </w:r>
    </w:p>
    <w:p>
      <w:pPr>
        <w:spacing w:after="0" w:line="1"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testing, after corrections are made, shall be done at the Installer's expense.</w:t>
      </w:r>
    </w:p>
    <w:p>
      <w:pPr>
        <w:spacing w:after="0" w:line="164" w:lineRule="exact"/>
        <w:rPr>
          <w:rFonts w:ascii="Times New Roman" w:cs="Times New Roman" w:eastAsia="Times New Roman" w:hAnsi="Times New Roman"/>
          <w:sz w:val="17"/>
          <w:szCs w:val="17"/>
          <w:color w:val="auto"/>
        </w:rPr>
      </w:pPr>
    </w:p>
    <w:p>
      <w:pPr>
        <w:ind w:left="880" w:right="160" w:hanging="647"/>
        <w:spacing w:after="0" w:line="259" w:lineRule="auto"/>
        <w:tabs>
          <w:tab w:leader="none" w:pos="53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shall be submitted to the Architect requesting system acceptance. This letter shall certify all controls are installed and the software programs have been completely exercised for proper equipment operation. Acceptance testing will commence at a mutually agreeable time within ten (10) calendar days of request. When the field test procedures have been demonstrated to the Owner's representative, the system will be accepted. The warranty period will start at this time.</w:t>
      </w:r>
    </w:p>
    <w:p>
      <w:pPr>
        <w:spacing w:after="0" w:line="142"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Field Equipment Test Procedures: DOC Zone and Local Controllers shall be demonstrated via a functional end-to-end test as follows:</w:t>
      </w:r>
    </w:p>
    <w:p>
      <w:pPr>
        <w:spacing w:after="0" w:line="182"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output channels shall be commanded (on/off, stop/start, adjust, etc.) and their operations verified. (Point -to- Point Checkout)</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analog input channels shall be verified for proper operation.</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digital input channels shall be verified by changing the state of the field device and observing the appropriate change of displayed value.</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point should fail testing, perform necessary repair action and retest failed point and all interlocked points.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Automatic control operation shall be verified by introducing an error into the system and observing the proper corrective system response.</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Selected time and setpoint schedules shall be verified by changing the schedule and observing the correct response on the controlled outputs.</w:t>
      </w:r>
    </w:p>
    <w:p>
      <w:pPr>
        <w:spacing w:after="0" w:line="164"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Workstation Test Procedures: The System Workstation test procedures shall be as follows:</w:t>
      </w:r>
    </w:p>
    <w:p>
      <w:pPr>
        <w:spacing w:after="0" w:line="182"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 with each DOC Zone and Local Controller shall be demonstrated.</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Operator commands will be explained and demonstrated.</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sequences shall be demonstrated for proper operation.</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available system reports and logs shall be demonstrated at the System Workstation.</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 system start-up and shutdown procedures shall be demonstrated.</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controllers shall be demonstrated to operate in standalone mode.</w:t>
      </w:r>
    </w:p>
    <w:p>
      <w:pPr>
        <w:spacing w:after="0" w:line="191"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Test of Mechanical Systems</w:t>
      </w:r>
    </w:p>
    <w:p>
      <w:pPr>
        <w:spacing w:after="0" w:line="209"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at least two (2) operational tests of the entire mechanical system as described in the specifications.</w:t>
      </w:r>
    </w:p>
    <w:p>
      <w:pPr>
        <w:sectPr>
          <w:pgSz w:w="11900" w:h="16838" w:orient="portrait"/>
          <w:cols w:equalWidth="0" w:num="1">
            <w:col w:w="11220"/>
          </w:cols>
          <w:pgMar w:left="420" w:top="708" w:right="259" w:bottom="1440" w:gutter="0" w:footer="0" w:header="0"/>
        </w:sectPr>
      </w:pPr>
    </w:p>
    <w:bookmarkStart w:id="165" w:name="page166"/>
    <w:bookmarkEnd w:id="165"/>
    <w:p>
      <w:pPr>
        <w:ind w:left="1540" w:hanging="983"/>
        <w:spacing w:after="0" w:line="253" w:lineRule="auto"/>
        <w:tabs>
          <w:tab w:leader="none" w:pos="874"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each element of the system an operating test of not less than 48 hours' duration to demonstrate to the satisfaction of the Architect that the control system is functioning properly and that the system is capable of producing the required environmental conditions. During this test, operate the system entirely on automatic control and take periodic readings of the inside and outside wet and dry bulb temperatures. Obtain wet and dry bulb temperatures with a recording thermometer-hygrometer. Conduct tests with outside temperature and humidity conditions as near design conditions as practical.</w:t>
      </w:r>
    </w:p>
    <w:p>
      <w:pPr>
        <w:ind w:left="1540" w:right="260" w:hanging="983"/>
        <w:spacing w:after="0" w:line="248" w:lineRule="auto"/>
        <w:tabs>
          <w:tab w:leader="none" w:pos="874"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Winter acceptance test shall be conducted when outside temperatures are at or near 10°F, summer acceptance test shall be conducted when outside temperatures are at or near 90°F db.</w:t>
      </w:r>
    </w:p>
    <w:p>
      <w:pPr>
        <w:spacing w:after="0" w:line="1"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tests during summer and winter outdoor temperature extremes as specified above. Notify Owner seven (7) days in advance of proposed tests.</w:t>
      </w:r>
    </w:p>
    <w:p>
      <w:pPr>
        <w:spacing w:after="0" w:line="7" w:lineRule="exact"/>
        <w:rPr>
          <w:rFonts w:ascii="Times New Roman" w:cs="Times New Roman" w:eastAsia="Times New Roman" w:hAnsi="Times New Roman"/>
          <w:sz w:val="17"/>
          <w:szCs w:val="17"/>
          <w:color w:val="auto"/>
        </w:rPr>
      </w:pPr>
    </w:p>
    <w:p>
      <w:pPr>
        <w:ind w:left="1540" w:right="260" w:hanging="983"/>
        <w:spacing w:after="0" w:line="248" w:lineRule="auto"/>
        <w:tabs>
          <w:tab w:leader="none" w:pos="874"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temperature and humidity at an exterior and interior location for each system as designated by the Engineer at least once every hour for 48 hours during tests.</w:t>
      </w:r>
    </w:p>
    <w:p>
      <w:pPr>
        <w:spacing w:after="0" w:line="1" w:lineRule="exact"/>
        <w:rPr>
          <w:rFonts w:ascii="Times New Roman" w:cs="Times New Roman" w:eastAsia="Times New Roman" w:hAnsi="Times New Roman"/>
          <w:sz w:val="17"/>
          <w:szCs w:val="17"/>
          <w:color w:val="auto"/>
        </w:rPr>
      </w:pPr>
    </w:p>
    <w:p>
      <w:pPr>
        <w:ind w:left="-180" w:right="7540" w:firstLine="737"/>
        <w:spacing w:after="0" w:line="249" w:lineRule="auto"/>
        <w:tabs>
          <w:tab w:leader="none" w:pos="873"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 report detailing the following: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7"/>
          <w:szCs w:val="17"/>
          <w:color w:val="auto"/>
        </w:rPr>
        <w:t>Instrument used:</w:t>
      </w:r>
    </w:p>
    <w:p>
      <w:pPr>
        <w:spacing w:after="0" w:line="1" w:lineRule="exact"/>
        <w:rPr>
          <w:rFonts w:ascii="Times New Roman" w:cs="Times New Roman" w:eastAsia="Times New Roman" w:hAnsi="Times New Roman"/>
          <w:sz w:val="17"/>
          <w:szCs w:val="17"/>
          <w:color w:val="auto"/>
        </w:rPr>
      </w:pPr>
    </w:p>
    <w:p>
      <w:pPr>
        <w:ind w:left="2180" w:hanging="380"/>
        <w:spacing w:after="0"/>
        <w:tabs>
          <w:tab w:leader="none" w:pos="2180" w:val="left"/>
        </w:tabs>
        <w:numPr>
          <w:ilvl w:val="3"/>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Most recent calibration date.</w:t>
      </w:r>
    </w:p>
    <w:p>
      <w:pPr>
        <w:spacing w:after="0" w:line="7" w:lineRule="exact"/>
        <w:rPr>
          <w:rFonts w:ascii="Times New Roman" w:cs="Times New Roman" w:eastAsia="Times New Roman" w:hAnsi="Times New Roman"/>
          <w:sz w:val="17"/>
          <w:szCs w:val="17"/>
          <w:color w:val="auto"/>
        </w:rPr>
      </w:pPr>
    </w:p>
    <w:p>
      <w:pPr>
        <w:ind w:left="1440" w:hanging="572"/>
        <w:spacing w:after="0"/>
        <w:tabs>
          <w:tab w:leader="none" w:pos="14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of tests.</w:t>
      </w:r>
    </w:p>
    <w:p>
      <w:pPr>
        <w:spacing w:after="0" w:line="7" w:lineRule="exact"/>
        <w:rPr>
          <w:rFonts w:ascii="Times New Roman" w:cs="Times New Roman" w:eastAsia="Times New Roman" w:hAnsi="Times New Roman"/>
          <w:sz w:val="17"/>
          <w:szCs w:val="17"/>
          <w:color w:val="auto"/>
        </w:rPr>
      </w:pPr>
    </w:p>
    <w:p>
      <w:pPr>
        <w:ind w:left="1440" w:hanging="572"/>
        <w:spacing w:after="0"/>
        <w:tabs>
          <w:tab w:leader="none" w:pos="14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Description of test apparatus locations and methods.</w:t>
      </w:r>
    </w:p>
    <w:p>
      <w:pPr>
        <w:spacing w:after="0" w:line="7" w:lineRule="exact"/>
        <w:rPr>
          <w:rFonts w:ascii="Times New Roman" w:cs="Times New Roman" w:eastAsia="Times New Roman" w:hAnsi="Times New Roman"/>
          <w:sz w:val="17"/>
          <w:szCs w:val="17"/>
          <w:color w:val="auto"/>
        </w:rPr>
      </w:pPr>
    </w:p>
    <w:p>
      <w:pPr>
        <w:ind w:left="1440" w:hanging="572"/>
        <w:spacing w:after="0"/>
        <w:tabs>
          <w:tab w:leader="none" w:pos="14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tests.</w:t>
      </w:r>
    </w:p>
    <w:p>
      <w:pPr>
        <w:spacing w:after="0" w:line="7" w:lineRule="exact"/>
        <w:rPr>
          <w:rFonts w:ascii="Times New Roman" w:cs="Times New Roman" w:eastAsia="Times New Roman" w:hAnsi="Times New Roman"/>
          <w:sz w:val="17"/>
          <w:szCs w:val="17"/>
          <w:color w:val="auto"/>
        </w:rPr>
      </w:pPr>
    </w:p>
    <w:p>
      <w:pPr>
        <w:ind w:left="1440" w:hanging="572"/>
        <w:spacing w:after="0"/>
        <w:tabs>
          <w:tab w:leader="none" w:pos="14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abnormal usage of the building or abnormal system characteristics observed during the course of the test.</w:t>
      </w:r>
    </w:p>
    <w:p>
      <w:pPr>
        <w:spacing w:after="0" w:line="16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3.9</w:t>
      </w:r>
      <w:r>
        <w:rPr>
          <w:sz w:val="20"/>
          <w:szCs w:val="20"/>
          <w:color w:val="auto"/>
        </w:rPr>
        <w:tab/>
      </w:r>
      <w:r>
        <w:rPr>
          <w:rFonts w:ascii="Times New Roman" w:cs="Times New Roman" w:eastAsia="Times New Roman" w:hAnsi="Times New Roman"/>
          <w:sz w:val="17"/>
          <w:szCs w:val="17"/>
          <w:b w:val="1"/>
          <w:bCs w:val="1"/>
          <w:color w:val="auto"/>
        </w:rPr>
        <w:t>RECORD DOCUMENTS</w:t>
      </w:r>
    </w:p>
    <w:p>
      <w:pPr>
        <w:spacing w:after="0" w:line="187" w:lineRule="exact"/>
        <w:rPr>
          <w:sz w:val="20"/>
          <w:szCs w:val="20"/>
          <w:color w:val="auto"/>
        </w:rPr>
      </w:pPr>
    </w:p>
    <w:p>
      <w:pPr>
        <w:ind w:left="880" w:right="200" w:hanging="647"/>
        <w:spacing w:after="0" w:line="265" w:lineRule="auto"/>
        <w:tabs>
          <w:tab w:leader="none" w:pos="53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Media As-Built Documentation: After a successful acceptance demonstration, the Contractor shall submit as-built drawings of the completed project for final approval. After receiving final approval, supply complete 11X17 hard copy as-built drawing sets, together with CO's to the owner. Provide (3) copies of 0 &amp; M Manuals.</w:t>
      </w:r>
    </w:p>
    <w:p>
      <w:pPr>
        <w:spacing w:after="0" w:line="162"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 and Maintenance Manuals: Submit Operation and Maintenance manuals. Include the following in each manual:</w:t>
      </w:r>
    </w:p>
    <w:p>
      <w:pPr>
        <w:spacing w:after="0" w:line="182" w:lineRule="exact"/>
        <w:rPr>
          <w:rFonts w:ascii="Times New Roman" w:cs="Times New Roman" w:eastAsia="Times New Roman" w:hAnsi="Times New Roman"/>
          <w:sz w:val="17"/>
          <w:szCs w:val="17"/>
          <w:color w:val="auto"/>
        </w:rPr>
      </w:pPr>
    </w:p>
    <w:p>
      <w:pPr>
        <w:ind w:left="1540" w:right="260" w:hanging="983"/>
        <w:spacing w:after="0" w:line="259" w:lineRule="auto"/>
        <w:tabs>
          <w:tab w:leader="none" w:pos="874"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BMS/ATC information for insertion into the Manufacturer's catalog data and specifications on all sensors, transmitters, controllers, control valves, damper actuators, gauges, indicators, terminals, and any miscellaneous components used in the system.</w:t>
      </w:r>
    </w:p>
    <w:p>
      <w:pPr>
        <w:spacing w:after="0" w:line="1"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Operator's Manual which will include detailed instructions for all operations of the system.</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Operator's Reference Table listing the addresses of all connected input points and output points. Settings shall be shown where applicable.</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Programmer's Manual which will include all information necessary to perform programming functions.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language manual which will include a detailed description of the language used and all routines used by the system.</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Flow charts of the control software programs utilized in the Temperature Control System.</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Flow charts of the custom software programs utilized in the Temperature Control System.</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program listing file and parameter listing file for all programs.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warranty.</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maintenance cautions and instructions.</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spare parts list.</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Twenty-four (24) hour service phone number and point of contact.</w:t>
      </w:r>
    </w:p>
    <w:p>
      <w:pPr>
        <w:spacing w:after="0" w:line="16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3.10</w:t>
        <w:tab/>
        <w:t>WARRANTY</w:t>
      </w:r>
    </w:p>
    <w:p>
      <w:pPr>
        <w:spacing w:after="0" w:line="214" w:lineRule="exact"/>
        <w:rPr>
          <w:sz w:val="20"/>
          <w:szCs w:val="20"/>
          <w:color w:val="auto"/>
        </w:rPr>
      </w:pPr>
    </w:p>
    <w:p>
      <w:pPr>
        <w:ind w:left="880" w:hanging="647"/>
        <w:spacing w:after="0" w:line="281" w:lineRule="auto"/>
        <w:tabs>
          <w:tab w:leader="none" w:pos="53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BAS/ATC devices and installation shall be warranted to be free from defects in workmanship and material for a period of one year from the date of job acceptance by the owner. Any</w:t>
      </w:r>
    </w:p>
    <w:p>
      <w:pPr>
        <w:sectPr>
          <w:pgSz w:w="11900" w:h="16838" w:orient="portrait"/>
          <w:cols w:equalWidth="0" w:num="1">
            <w:col w:w="11140"/>
          </w:cols>
          <w:pgMar w:left="420" w:top="712" w:right="339" w:bottom="1440" w:gutter="0" w:footer="0" w:header="0"/>
        </w:sectPr>
      </w:pPr>
    </w:p>
    <w:bookmarkStart w:id="166" w:name="page167"/>
    <w:bookmarkEnd w:id="166"/>
    <w:p>
      <w:pPr>
        <w:ind w:left="660" w:right="500"/>
        <w:spacing w:after="0" w:line="281" w:lineRule="auto"/>
        <w:rPr>
          <w:sz w:val="20"/>
          <w:szCs w:val="20"/>
          <w:color w:val="auto"/>
        </w:rPr>
      </w:pPr>
      <w:r>
        <w:rPr>
          <w:rFonts w:ascii="Times New Roman" w:cs="Times New Roman" w:eastAsia="Times New Roman" w:hAnsi="Times New Roman"/>
          <w:sz w:val="17"/>
          <w:szCs w:val="17"/>
          <w:color w:val="auto"/>
        </w:rPr>
        <w:t>equipment, software, or labor found to be defective during this period shall be repaired or replaced without expense to the owner. Factory authorized warranty service shall be available within 50 miles of jobsite.</w:t>
      </w:r>
    </w:p>
    <w:p>
      <w:pPr>
        <w:spacing w:after="0" w:line="119"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3.11</w:t>
        <w:tab/>
        <w:t>INSPECTION</w:t>
      </w:r>
    </w:p>
    <w:p>
      <w:pPr>
        <w:spacing w:after="0" w:line="187" w:lineRule="exact"/>
        <w:rPr>
          <w:sz w:val="20"/>
          <w:szCs w:val="20"/>
          <w:color w:val="auto"/>
        </w:rPr>
      </w:pPr>
    </w:p>
    <w:p>
      <w:pPr>
        <w:ind w:left="980" w:right="80" w:hanging="647"/>
        <w:spacing w:after="0" w:line="281" w:lineRule="auto"/>
        <w:tabs>
          <w:tab w:leader="none" w:pos="63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Examine location where controls and equipment are to be installed and determine space conditions and notify architect in writing of conditions detrimental to proper and timely completion of the work.</w:t>
      </w:r>
    </w:p>
    <w:p>
      <w:pPr>
        <w:spacing w:after="0" w:line="12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proceed with the work until unsatisfactory conditions have been corrected.</w:t>
      </w:r>
    </w:p>
    <w:p>
      <w:pPr>
        <w:spacing w:after="0" w:line="179"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3.12</w:t>
      </w:r>
      <w:r>
        <w:rPr>
          <w:sz w:val="20"/>
          <w:szCs w:val="20"/>
          <w:color w:val="auto"/>
        </w:rPr>
        <w:tab/>
      </w:r>
      <w:r>
        <w:rPr>
          <w:rFonts w:ascii="Times New Roman" w:cs="Times New Roman" w:eastAsia="Times New Roman" w:hAnsi="Times New Roman"/>
          <w:sz w:val="16"/>
          <w:szCs w:val="16"/>
          <w:b w:val="1"/>
          <w:bCs w:val="1"/>
          <w:color w:val="auto"/>
        </w:rPr>
        <w:t>INSTALLATION</w:t>
      </w:r>
    </w:p>
    <w:p>
      <w:pPr>
        <w:spacing w:after="0" w:line="187" w:lineRule="exact"/>
        <w:rPr>
          <w:sz w:val="20"/>
          <w:szCs w:val="20"/>
          <w:color w:val="auto"/>
        </w:rPr>
      </w:pPr>
    </w:p>
    <w:p>
      <w:pPr>
        <w:ind w:left="980" w:right="160" w:hanging="647"/>
        <w:spacing w:after="0" w:line="281" w:lineRule="auto"/>
        <w:tabs>
          <w:tab w:leader="none" w:pos="63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 in accordance with manufacturer's written instructions, and with recognized industry practices, to ensure that equipment comply with requirements and serve intended purposes.</w:t>
      </w:r>
    </w:p>
    <w:p>
      <w:pPr>
        <w:spacing w:after="0" w:line="149"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with the work as necessary to interface installation of equipment with other components of systems.</w:t>
      </w:r>
    </w:p>
    <w:p>
      <w:pPr>
        <w:spacing w:after="0" w:line="179"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3.13</w:t>
        <w:tab/>
        <w:t>FIELD QUALITY CONTROL</w:t>
      </w:r>
    </w:p>
    <w:p>
      <w:pPr>
        <w:spacing w:after="0" w:line="187" w:lineRule="exact"/>
        <w:rPr>
          <w:sz w:val="20"/>
          <w:szCs w:val="20"/>
          <w:color w:val="auto"/>
        </w:rPr>
      </w:pPr>
    </w:p>
    <w:p>
      <w:pPr>
        <w:ind w:left="980" w:hanging="647"/>
        <w:spacing w:after="0" w:line="265" w:lineRule="auto"/>
        <w:tabs>
          <w:tab w:leader="none" w:pos="638"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installation of the automatic temperature control system and after motors have been energized with normal power source, test system to demonstrate compliance with requirement. When possible, field correct malfunctioning controls then retest to demonstrate compliance. Replace controls which cannot be satisfactorily corrected. Refer to Testing and Balancing Section of this specification.</w:t>
      </w:r>
    </w:p>
    <w:p>
      <w:pPr>
        <w:spacing w:after="0" w:line="132"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3.14</w:t>
        <w:tab/>
        <w:t>SERVICE</w:t>
      </w:r>
    </w:p>
    <w:p>
      <w:pPr>
        <w:spacing w:after="0" w:line="187" w:lineRule="exact"/>
        <w:rPr>
          <w:sz w:val="20"/>
          <w:szCs w:val="20"/>
          <w:color w:val="auto"/>
        </w:rPr>
      </w:pPr>
    </w:p>
    <w:p>
      <w:pPr>
        <w:ind w:left="980" w:right="100" w:hanging="647"/>
        <w:spacing w:after="0" w:line="256" w:lineRule="auto"/>
        <w:tabs>
          <w:tab w:leader="none" w:pos="63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completion of the control system installation, the control manufacturer shall regulate and adjust all temperature sensors, control valves, damper motors, etc., and place in complete operating condition, subject to the approval of the Architect. The control contractor shall provide two complete instruction manuals, in addition to any other manuals called for in this specification, to the Owner's operating personnel. The manual shall include the function and operation of all control components on this project. Complete instructions shall be given to the operating personnel. There shall be two day's instruction given for Winter cycle and two day's instruction for Summer cycle operation.</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PART4- SEQUENCE OF OPERATION</w:t>
      </w:r>
    </w:p>
    <w:p>
      <w:pPr>
        <w:spacing w:after="0" w:line="183"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187" w:lineRule="exact"/>
        <w:rPr>
          <w:sz w:val="20"/>
          <w:szCs w:val="20"/>
          <w:color w:val="auto"/>
        </w:rPr>
      </w:pPr>
    </w:p>
    <w:p>
      <w:pPr>
        <w:ind w:left="980" w:right="380" w:hanging="728"/>
        <w:spacing w:after="0" w:line="265" w:lineRule="auto"/>
        <w:tabs>
          <w:tab w:leader="none" w:pos="63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BMS/ATC Contractor shall design, install, program, test, commission and demonstrate a complete and fully functional system capable of meeting the Sequences of Operation detailed below. Provide additional control points and functions as required, even if not specifically called for, if normally considered necessary for a BMS/ATC installation of the size and complexity of this project or if required to implement control sequence.</w:t>
      </w:r>
    </w:p>
    <w:p>
      <w:pPr>
        <w:spacing w:after="0" w:line="162" w:lineRule="exact"/>
        <w:rPr>
          <w:rFonts w:ascii="Times New Roman" w:cs="Times New Roman" w:eastAsia="Times New Roman" w:hAnsi="Times New Roman"/>
          <w:sz w:val="17"/>
          <w:szCs w:val="17"/>
          <w:color w:val="auto"/>
        </w:rPr>
      </w:pPr>
    </w:p>
    <w:p>
      <w:pPr>
        <w:ind w:left="980" w:right="80" w:hanging="728"/>
        <w:spacing w:after="0" w:line="265" w:lineRule="auto"/>
        <w:tabs>
          <w:tab w:leader="none" w:pos="63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Listed items of equipment shall be individually controlled by standalone controller. Each controller shall serve only one individual unit. The unit controller shall be supplied by the BMS Contractor and may be furnished to the equipment supplier for factory mounting. The cost to mount, calibrate, program and test the controller and actuator shall be coordinated prior to bid day and included in the BMS price.</w:t>
      </w:r>
    </w:p>
    <w:p>
      <w:pPr>
        <w:sectPr>
          <w:pgSz w:w="11900" w:h="16838" w:orient="portrait"/>
          <w:cols w:equalWidth="0" w:num="1">
            <w:col w:w="11320"/>
          </w:cols>
          <w:pgMar w:left="320" w:top="536" w:right="259" w:bottom="1440" w:gutter="0" w:footer="0" w:header="0"/>
        </w:sectPr>
      </w:pPr>
    </w:p>
    <w:bookmarkStart w:id="167" w:name="page168"/>
    <w:bookmarkEnd w:id="167"/>
    <w:p>
      <w:pPr>
        <w:ind w:left="980" w:hanging="323"/>
        <w:spacing w:after="0"/>
        <w:tabs>
          <w:tab w:leader="none" w:pos="98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Air Handling Unit.</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AHU Cooling Coil.</w:t>
      </w:r>
    </w:p>
    <w:p>
      <w:pPr>
        <w:spacing w:after="0" w:line="191"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units may be controlled by individual standalone controllers for all other control points.</w:t>
      </w:r>
    </w:p>
    <w:p>
      <w:pPr>
        <w:spacing w:after="0" w:line="20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Sensor and transducer installation, control power and wiring and communications wiring shall be provided under this division by BMS/ATC Contractor.</w:t>
      </w:r>
    </w:p>
    <w:p>
      <w:pPr>
        <w:spacing w:after="0" w:line="209" w:lineRule="exact"/>
        <w:rPr>
          <w:rFonts w:ascii="Times New Roman" w:cs="Times New Roman" w:eastAsia="Times New Roman" w:hAnsi="Times New Roman"/>
          <w:sz w:val="17"/>
          <w:szCs w:val="17"/>
          <w:color w:val="auto"/>
        </w:rPr>
      </w:pPr>
    </w:p>
    <w:p>
      <w:pPr>
        <w:ind w:left="980" w:hanging="728"/>
        <w:spacing w:after="0" w:line="281" w:lineRule="auto"/>
        <w:tabs>
          <w:tab w:leader="none" w:pos="638"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the Systems Points List at the end of this division and equipment schedules on the drawings for required control inputs and outputs for each item of equipment listed in the Sequence of Operation.</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14" w:lineRule="exact"/>
        <w:rPr>
          <w:sz w:val="20"/>
          <w:szCs w:val="20"/>
          <w:color w:val="auto"/>
        </w:rPr>
      </w:pPr>
    </w:p>
    <w:p>
      <w:pPr>
        <w:ind w:left="640" w:hanging="388"/>
        <w:spacing w:after="0"/>
        <w:tabs>
          <w:tab w:leader="none" w:pos="6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Primary or Production: Part of the circulation loop which directly flows through a chiller.</w:t>
      </w:r>
    </w:p>
    <w:p>
      <w:pPr>
        <w:spacing w:after="0" w:line="20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Secondary or Distribution: Part of the circulation loop which directly flows through terminal units.</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6"/>
          <w:szCs w:val="16"/>
          <w:b w:val="1"/>
          <w:bCs w:val="1"/>
          <w:color w:val="auto"/>
        </w:rPr>
        <w:t>VARIABLE VOLUME AIR HANDLER - AHS-2 &amp; AHS-3</w:t>
      </w:r>
    </w:p>
    <w:p>
      <w:pPr>
        <w:spacing w:after="0" w:line="187" w:lineRule="exact"/>
        <w:rPr>
          <w:sz w:val="20"/>
          <w:szCs w:val="20"/>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communication with the BAS is lost, the air handler controllers shall use their default setpoints and operate in the Occupied mode.</w:t>
      </w:r>
    </w:p>
    <w:p>
      <w:pPr>
        <w:spacing w:after="0" w:line="20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Interlocks: Each AHU's return fan</w:t>
      </w:r>
    </w:p>
    <w:p>
      <w:pPr>
        <w:spacing w:after="0" w:line="20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and return fans shall modulate to maintain dust static pressure as measured at the duct pressure sensor, located in the occupied zone.</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Occupied Mode:</w:t>
      </w:r>
    </w:p>
    <w:p>
      <w:pPr>
        <w:spacing w:after="0" w:line="209" w:lineRule="exact"/>
        <w:rPr>
          <w:rFonts w:ascii="Times New Roman" w:cs="Times New Roman" w:eastAsia="Times New Roman" w:hAnsi="Times New Roman"/>
          <w:sz w:val="17"/>
          <w:szCs w:val="17"/>
          <w:color w:val="auto"/>
        </w:rPr>
      </w:pPr>
    </w:p>
    <w:p>
      <w:pPr>
        <w:ind w:left="1640" w:right="440" w:hanging="983"/>
        <w:spacing w:after="0" w:line="281" w:lineRule="auto"/>
        <w:tabs>
          <w:tab w:leader="none" w:pos="974"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AHU is in the Occupied Mode, the Supply Fan shall operate continuously. The 2- way Cooling Valves, and 2-way heating valves shall modulate in sequence to maintain Discharge Air Temperature.</w:t>
      </w:r>
    </w:p>
    <w:p>
      <w:pPr>
        <w:spacing w:after="0" w:line="14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Unoccupied Mode:</w:t>
      </w:r>
    </w:p>
    <w:p>
      <w:pPr>
        <w:spacing w:after="0" w:line="18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AHU is in the Unoccupied Mode, the Supply and Exhaust Fans shall be OFF. The Outside Air, and Cooling Valves shall be closed.</w:t>
      </w:r>
    </w:p>
    <w:p>
      <w:pPr>
        <w:spacing w:after="0" w:line="209"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Night Setback Mode:</w:t>
      </w:r>
    </w:p>
    <w:p>
      <w:pPr>
        <w:spacing w:after="0" w:line="209"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fan to operate at minimum air flow, maintain set-back space temperature setpoint or lowest associated zone T-stat.</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air damper to be closed.</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6°F (adj.) offset to setpoint:</w:t>
      </w:r>
    </w:p>
    <w:p>
      <w:pPr>
        <w:spacing w:after="0" w:line="7"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Energize heat fully and energize fan at offset. Run until setpoint is reached, then deenergize fan and electric heat.</w:t>
      </w:r>
    </w:p>
    <w:p>
      <w:pPr>
        <w:spacing w:after="0" w:line="164" w:lineRule="exact"/>
        <w:rPr>
          <w:rFonts w:ascii="Times New Roman" w:cs="Times New Roman" w:eastAsia="Times New Roman" w:hAnsi="Times New Roman"/>
          <w:sz w:val="17"/>
          <w:szCs w:val="17"/>
          <w:color w:val="auto"/>
        </w:rPr>
      </w:pPr>
    </w:p>
    <w:p>
      <w:pPr>
        <w:ind w:left="640" w:hanging="388"/>
        <w:spacing w:after="0"/>
        <w:tabs>
          <w:tab w:leader="none" w:pos="6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Morning Warm-Up Mode:</w:t>
      </w:r>
    </w:p>
    <w:p>
      <w:pPr>
        <w:spacing w:after="0" w:line="182" w:lineRule="exact"/>
        <w:rPr>
          <w:rFonts w:ascii="Times New Roman" w:cs="Times New Roman" w:eastAsia="Times New Roman" w:hAnsi="Times New Roman"/>
          <w:sz w:val="17"/>
          <w:szCs w:val="17"/>
          <w:color w:val="auto"/>
        </w:rPr>
      </w:pPr>
    </w:p>
    <w:p>
      <w:pPr>
        <w:ind w:left="1640" w:right="360" w:hanging="983"/>
        <w:spacing w:after="0" w:line="259" w:lineRule="auto"/>
        <w:tabs>
          <w:tab w:leader="none" w:pos="974"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fan shall run continuously and be energized one hour (adj.) prior to scheduled occupied mode start. Energize heating to warm-up occupied space to occupied setpoint of all associated space stats.</w:t>
      </w:r>
    </w:p>
    <w:p>
      <w:pPr>
        <w:spacing w:after="0" w:line="1"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 dampers shall be closed.</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Cooling shall be locked out.</w:t>
      </w:r>
    </w:p>
    <w:p>
      <w:pPr>
        <w:sectPr>
          <w:pgSz w:w="11900" w:h="16838" w:orient="portrait"/>
          <w:cols w:equalWidth="0" w:num="1">
            <w:col w:w="11320"/>
          </w:cols>
          <w:pgMar w:left="320" w:top="712" w:right="259" w:bottom="1440" w:gutter="0" w:footer="0" w:header="0"/>
        </w:sectPr>
      </w:pPr>
    </w:p>
    <w:bookmarkStart w:id="168" w:name="page169"/>
    <w:bookmarkEnd w:id="168"/>
    <w:p>
      <w:pPr>
        <w:ind w:left="1052" w:hanging="323"/>
        <w:spacing w:after="0"/>
        <w:tabs>
          <w:tab w:leader="none" w:pos="1052"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Energize electric heat fully until setpoint(s) are satisfied, maintain a 95°F (adj.) discharge air temperature.</w:t>
      </w:r>
    </w:p>
    <w:p>
      <w:pPr>
        <w:spacing w:after="0" w:line="25"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Revert to occupied mode when all space stats have reached occupied heating setpoint.</w:t>
      </w:r>
    </w:p>
    <w:p>
      <w:pPr>
        <w:spacing w:after="0" w:line="164"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Fan Safety Controls:</w:t>
      </w:r>
    </w:p>
    <w:p>
      <w:pPr>
        <w:spacing w:after="0" w:line="182" w:lineRule="exact"/>
        <w:rPr>
          <w:rFonts w:ascii="Times New Roman" w:cs="Times New Roman" w:eastAsia="Times New Roman" w:hAnsi="Times New Roman"/>
          <w:sz w:val="17"/>
          <w:szCs w:val="17"/>
          <w:color w:val="auto"/>
        </w:rPr>
      </w:pPr>
    </w:p>
    <w:p>
      <w:pPr>
        <w:ind w:left="1712" w:right="100" w:hanging="983"/>
        <w:spacing w:after="0" w:line="259" w:lineRule="auto"/>
        <w:tabs>
          <w:tab w:leader="none" w:pos="1046"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De-energize the Supply Fans whenever the Stop/Auto interlock is open, the Discharge Air Low Limit is tripped, the fire or smoke stat has tripped, or the Supply Fan Status indicates a failure (after a two minute delay). The Fire-stat, Low Limit and the Fan Failures require a manual reset.</w:t>
      </w:r>
    </w:p>
    <w:p>
      <w:pPr>
        <w:spacing w:after="0" w:line="1"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Alarm the BMS with an appropriate alarm message.</w:t>
      </w:r>
    </w:p>
    <w:p>
      <w:pPr>
        <w:spacing w:after="0" w:line="151"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Freeze Protection:</w:t>
      </w:r>
    </w:p>
    <w:p>
      <w:pPr>
        <w:spacing w:after="0" w:line="169"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manual reset Mixed Air Low Limit shall turn the Fans OFF if any 12 inches of its sensing element is below its setpoint (35 F, adj.).</w:t>
      </w:r>
    </w:p>
    <w:p>
      <w:pPr>
        <w:spacing w:after="0" w:line="25"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Outside Air Dampers shall also be closed.</w:t>
      </w:r>
    </w:p>
    <w:p>
      <w:pPr>
        <w:spacing w:after="0" w:line="151"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 Air Temperature:</w:t>
      </w:r>
    </w:p>
    <w:p>
      <w:pPr>
        <w:spacing w:after="0" w:line="169"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valve position and maintain a D.A.T. which:</w:t>
      </w:r>
    </w:p>
    <w:p>
      <w:pPr>
        <w:spacing w:after="0" w:line="25" w:lineRule="exact"/>
        <w:rPr>
          <w:rFonts w:ascii="Times New Roman" w:cs="Times New Roman" w:eastAsia="Times New Roman" w:hAnsi="Times New Roman"/>
          <w:sz w:val="17"/>
          <w:szCs w:val="17"/>
          <w:color w:val="auto"/>
        </w:rPr>
      </w:pPr>
    </w:p>
    <w:p>
      <w:pPr>
        <w:ind w:left="1372" w:hanging="319"/>
        <w:spacing w:after="0"/>
        <w:tabs>
          <w:tab w:leader="none" w:pos="1372"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Re-sets D.A.T. setpoint up if all heating valves are more than 10% (adj.) open.</w:t>
      </w:r>
    </w:p>
    <w:p>
      <w:pPr>
        <w:spacing w:after="0" w:line="7" w:lineRule="exact"/>
        <w:rPr>
          <w:rFonts w:ascii="Times New Roman" w:cs="Times New Roman" w:eastAsia="Times New Roman" w:hAnsi="Times New Roman"/>
          <w:sz w:val="17"/>
          <w:szCs w:val="17"/>
          <w:color w:val="auto"/>
        </w:rPr>
      </w:pPr>
    </w:p>
    <w:p>
      <w:pPr>
        <w:ind w:left="1372" w:hanging="319"/>
        <w:spacing w:after="0"/>
        <w:tabs>
          <w:tab w:leader="none" w:pos="1372"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Re-sets D.A.T. setpoint down if a given zone's heating valve is fully closed and zone temperature is 2°F (adj.) or more above setpoint.</w:t>
      </w:r>
    </w:p>
    <w:p>
      <w:pPr>
        <w:spacing w:after="0" w:line="7"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D.A.T. drops below 40°F (adj.), de-energize all fans and close the outside air damper.</w:t>
      </w:r>
    </w:p>
    <w:p>
      <w:pPr>
        <w:spacing w:after="0" w:line="151"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Hot Water Coil Control:</w:t>
      </w:r>
    </w:p>
    <w:p>
      <w:pPr>
        <w:spacing w:after="0" w:line="165"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-way valves shall modulate to maintain the discharge air temperature.</w:t>
      </w:r>
    </w:p>
    <w:p>
      <w:pPr>
        <w:spacing w:after="0" w:line="173"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Cooling Valve Control:</w:t>
      </w:r>
    </w:p>
    <w:p>
      <w:pPr>
        <w:spacing w:after="0" w:line="178"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-way Cooling Valves shall modulate to maintain the Discharge Air Temperature at the Discharge Cooling Setpoint (55 F, adj.). The Cooling</w:t>
      </w:r>
    </w:p>
    <w:p>
      <w:pPr>
        <w:spacing w:after="0" w:line="29" w:lineRule="exact"/>
        <w:rPr>
          <w:rFonts w:ascii="Times New Roman" w:cs="Times New Roman" w:eastAsia="Times New Roman" w:hAnsi="Times New Roman"/>
          <w:sz w:val="17"/>
          <w:szCs w:val="17"/>
          <w:color w:val="auto"/>
        </w:rPr>
      </w:pPr>
    </w:p>
    <w:p>
      <w:pPr>
        <w:ind w:left="171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Valves shall be closed if the air handlers are in the Heating mode, the Fans are OFF, or the Discharge Air Sensors have failed.</w:t>
      </w:r>
    </w:p>
    <w:p>
      <w:pPr>
        <w:spacing w:after="0" w:line="7"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Fan Control: (Fan may or may not be part of the AHU.)</w:t>
      </w:r>
    </w:p>
    <w:p>
      <w:pPr>
        <w:spacing w:after="0" w:line="7" w:lineRule="exact"/>
        <w:rPr>
          <w:rFonts w:ascii="Times New Roman" w:cs="Times New Roman" w:eastAsia="Times New Roman" w:hAnsi="Times New Roman"/>
          <w:sz w:val="17"/>
          <w:szCs w:val="17"/>
          <w:color w:val="auto"/>
        </w:rPr>
      </w:pPr>
    </w:p>
    <w:p>
      <w:pPr>
        <w:ind w:left="1052" w:hanging="323"/>
        <w:spacing w:after="0"/>
        <w:tabs>
          <w:tab w:leader="none" w:pos="1052"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fan inlet vanes shall modulate to maintain building static pressure.</w:t>
      </w:r>
    </w:p>
    <w:p>
      <w:pPr>
        <w:spacing w:after="0" w:line="161" w:lineRule="exact"/>
        <w:rPr>
          <w:sz w:val="20"/>
          <w:szCs w:val="20"/>
          <w:color w:val="auto"/>
        </w:rPr>
      </w:pPr>
    </w:p>
    <w:p>
      <w:pPr>
        <w:ind w:left="172"/>
        <w:spacing w:after="0"/>
        <w:tabs>
          <w:tab w:leader="none" w:pos="712" w:val="left"/>
        </w:tabs>
        <w:rPr>
          <w:sz w:val="20"/>
          <w:szCs w:val="20"/>
          <w:color w:val="auto"/>
        </w:rPr>
      </w:pPr>
      <w:r>
        <w:rPr>
          <w:rFonts w:ascii="Times New Roman" w:cs="Times New Roman" w:eastAsia="Times New Roman" w:hAnsi="Times New Roman"/>
          <w:sz w:val="17"/>
          <w:szCs w:val="17"/>
          <w:b w:val="1"/>
          <w:bCs w:val="1"/>
          <w:color w:val="auto"/>
        </w:rPr>
        <w:t>4.4</w:t>
      </w:r>
      <w:r>
        <w:rPr>
          <w:sz w:val="20"/>
          <w:szCs w:val="20"/>
          <w:color w:val="auto"/>
        </w:rPr>
        <w:tab/>
      </w:r>
      <w:r>
        <w:rPr>
          <w:rFonts w:ascii="Times New Roman" w:cs="Times New Roman" w:eastAsia="Times New Roman" w:hAnsi="Times New Roman"/>
          <w:sz w:val="16"/>
          <w:szCs w:val="16"/>
          <w:b w:val="1"/>
          <w:bCs w:val="1"/>
          <w:color w:val="auto"/>
        </w:rPr>
        <w:t>VAV AIR HANDLER- AHU-02-1</w:t>
      </w:r>
    </w:p>
    <w:p>
      <w:pPr>
        <w:spacing w:after="0" w:line="187" w:lineRule="exact"/>
        <w:rPr>
          <w:sz w:val="20"/>
          <w:szCs w:val="20"/>
          <w:color w:val="auto"/>
        </w:rPr>
      </w:pPr>
    </w:p>
    <w:p>
      <w:pPr>
        <w:ind w:left="712" w:hanging="307"/>
        <w:spacing w:after="0"/>
        <w:tabs>
          <w:tab w:leader="none" w:pos="712"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communication with the BAS is lost, the air handler controllers shall use their default setpoints and operate in the Occupied mode.</w:t>
      </w:r>
    </w:p>
    <w:p>
      <w:pPr>
        <w:spacing w:after="0" w:line="209"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Configuration per schedule</w:t>
      </w:r>
    </w:p>
    <w:p>
      <w:pPr>
        <w:spacing w:after="0" w:line="209" w:lineRule="exact"/>
        <w:rPr>
          <w:rFonts w:ascii="Times New Roman" w:cs="Times New Roman" w:eastAsia="Times New Roman" w:hAnsi="Times New Roman"/>
          <w:sz w:val="17"/>
          <w:szCs w:val="17"/>
          <w:color w:val="auto"/>
        </w:rPr>
      </w:pPr>
    </w:p>
    <w:p>
      <w:pPr>
        <w:ind w:left="712" w:hanging="307"/>
        <w:spacing w:after="0"/>
        <w:tabs>
          <w:tab w:leader="none" w:pos="712"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Mode:</w:t>
      </w:r>
    </w:p>
    <w:p>
      <w:pPr>
        <w:spacing w:after="0" w:line="182" w:lineRule="exact"/>
        <w:rPr>
          <w:rFonts w:ascii="Times New Roman" w:cs="Times New Roman" w:eastAsia="Times New Roman" w:hAnsi="Times New Roman"/>
          <w:sz w:val="17"/>
          <w:szCs w:val="17"/>
          <w:color w:val="auto"/>
        </w:rPr>
      </w:pPr>
    </w:p>
    <w:p>
      <w:pPr>
        <w:ind w:left="1712" w:hanging="983"/>
        <w:spacing w:after="0" w:line="265" w:lineRule="auto"/>
        <w:tabs>
          <w:tab w:leader="none" w:pos="1046"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AHU is in the Occupied Mode, the Supply Fan shall operate continuously. Any associated Relief Fan shall also operate. The Supply Fan VFD shall modulate to maintain the Duct Static Pressure. The Relief Fan VFD shall modulate to maintain space static pressure. The Cooling Valves, Heating Valves, and Economizer Dampers shall modulate in sequence to maintain Discharge Air Temperature of 55°F (adj.).</w:t>
      </w:r>
    </w:p>
    <w:p>
      <w:pPr>
        <w:spacing w:after="0" w:line="162" w:lineRule="exact"/>
        <w:rPr>
          <w:rFonts w:ascii="Times New Roman" w:cs="Times New Roman" w:eastAsia="Times New Roman" w:hAnsi="Times New Roman"/>
          <w:sz w:val="17"/>
          <w:szCs w:val="17"/>
          <w:color w:val="auto"/>
        </w:rPr>
      </w:pPr>
    </w:p>
    <w:p>
      <w:pPr>
        <w:ind w:left="212" w:hanging="212"/>
        <w:spacing w:after="0"/>
        <w:tabs>
          <w:tab w:leader="none" w:pos="21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Unoccupied Mode:</w:t>
      </w:r>
    </w:p>
    <w:p>
      <w:pPr>
        <w:sectPr>
          <w:pgSz w:w="11900" w:h="16838" w:orient="portrait"/>
          <w:cols w:equalWidth="0" w:num="1">
            <w:col w:w="11332"/>
          </w:cols>
          <w:pgMar w:left="248" w:top="739" w:right="319" w:bottom="1440" w:gutter="0" w:footer="0" w:header="0"/>
        </w:sectPr>
      </w:pPr>
    </w:p>
    <w:bookmarkStart w:id="169" w:name="page170"/>
    <w:bookmarkEnd w:id="169"/>
    <w:p>
      <w:pPr>
        <w:ind w:left="1307" w:hanging="983"/>
        <w:spacing w:after="0" w:line="281" w:lineRule="auto"/>
        <w:tabs>
          <w:tab w:leader="none" w:pos="641"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AHU is in the Unoccupied Mode, the Supply and Exhaust Fans shall be OFF. The Outside Air, Relief Air Dampers and Cooling Valves shall be closed, and the Heating Valves shall be closed, unless the freeze stat overrides the valve position.</w:t>
      </w:r>
    </w:p>
    <w:p>
      <w:pPr>
        <w:spacing w:after="0" w:line="122" w:lineRule="exact"/>
        <w:rPr>
          <w:rFonts w:ascii="Times New Roman" w:cs="Times New Roman" w:eastAsia="Times New Roman" w:hAnsi="Times New Roman"/>
          <w:sz w:val="17"/>
          <w:szCs w:val="17"/>
          <w:color w:val="auto"/>
        </w:rPr>
      </w:pPr>
    </w:p>
    <w:p>
      <w:pPr>
        <w:ind w:left="187" w:hanging="187"/>
        <w:spacing w:after="0"/>
        <w:tabs>
          <w:tab w:leader="none" w:pos="18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Setback Mode:</w:t>
      </w:r>
    </w:p>
    <w:p>
      <w:pPr>
        <w:spacing w:after="0" w:line="196"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Cycle supply fan to maintain set-back space temperature setpoint on lowest associated zone stat.</w:t>
      </w:r>
    </w:p>
    <w:p>
      <w:pPr>
        <w:spacing w:after="0" w:line="25"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Air and O.A. Dampers shall be closed. Exhaust/Relief fans shall be de-energized.</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Cooling shall be locked out.</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6°F (adj.) offset to setpoint:</w:t>
      </w:r>
    </w:p>
    <w:p>
      <w:pPr>
        <w:spacing w:after="0" w:line="7" w:lineRule="exact"/>
        <w:rPr>
          <w:rFonts w:ascii="Times New Roman" w:cs="Times New Roman" w:eastAsia="Times New Roman" w:hAnsi="Times New Roman"/>
          <w:sz w:val="17"/>
          <w:szCs w:val="17"/>
          <w:color w:val="auto"/>
        </w:rPr>
      </w:pPr>
    </w:p>
    <w:p>
      <w:pPr>
        <w:ind w:left="64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a.Heating valve fully and energize fan at offset. Run until setpoint is reached, then deenergize fan.</w:t>
      </w:r>
    </w:p>
    <w:p>
      <w:pPr>
        <w:spacing w:after="0" w:line="191" w:lineRule="exact"/>
        <w:rPr>
          <w:rFonts w:ascii="Times New Roman" w:cs="Times New Roman" w:eastAsia="Times New Roman" w:hAnsi="Times New Roman"/>
          <w:sz w:val="17"/>
          <w:szCs w:val="17"/>
          <w:color w:val="auto"/>
        </w:rPr>
      </w:pPr>
    </w:p>
    <w:p>
      <w:pPr>
        <w:ind w:left="167" w:hanging="167"/>
        <w:spacing w:after="0"/>
        <w:tabs>
          <w:tab w:leader="none" w:pos="16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Morning Warm-up Mode:</w:t>
      </w:r>
    </w:p>
    <w:p>
      <w:pPr>
        <w:spacing w:after="0" w:line="209" w:lineRule="exact"/>
        <w:rPr>
          <w:rFonts w:ascii="Times New Roman" w:cs="Times New Roman" w:eastAsia="Times New Roman" w:hAnsi="Times New Roman"/>
          <w:sz w:val="17"/>
          <w:szCs w:val="17"/>
          <w:color w:val="auto"/>
        </w:rPr>
      </w:pPr>
    </w:p>
    <w:p>
      <w:pPr>
        <w:ind w:left="1307" w:right="340" w:hanging="983"/>
        <w:spacing w:after="0" w:line="259" w:lineRule="auto"/>
        <w:tabs>
          <w:tab w:leader="none" w:pos="6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fan shall run continuously and be energized one hour (adj.) prior to scheduled occupied mode start. Energize heating to warm-up occupied space to occupied setpoint of all associated space stats.</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 dampers shall be closed. Exhaust/relief fans shall be de-energized.</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Cooling shall be locked out.</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Terminal units shall operate in the heating mode until all setpoints are satisfied.</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Revert to occupied mode when all space stats have reached occupied heating setpoint.</w:t>
      </w:r>
    </w:p>
    <w:p>
      <w:pPr>
        <w:spacing w:after="0" w:line="191" w:lineRule="exact"/>
        <w:rPr>
          <w:rFonts w:ascii="Times New Roman" w:cs="Times New Roman" w:eastAsia="Times New Roman" w:hAnsi="Times New Roman"/>
          <w:sz w:val="17"/>
          <w:szCs w:val="17"/>
          <w:color w:val="auto"/>
        </w:rPr>
      </w:pPr>
    </w:p>
    <w:p>
      <w:pPr>
        <w:ind w:left="207" w:hanging="207"/>
        <w:spacing w:after="0"/>
        <w:tabs>
          <w:tab w:leader="none" w:pos="20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Fan Safety Controls:</w:t>
      </w:r>
    </w:p>
    <w:p>
      <w:pPr>
        <w:spacing w:after="0" w:line="209" w:lineRule="exact"/>
        <w:rPr>
          <w:rFonts w:ascii="Times New Roman" w:cs="Times New Roman" w:eastAsia="Times New Roman" w:hAnsi="Times New Roman"/>
          <w:sz w:val="17"/>
          <w:szCs w:val="17"/>
          <w:color w:val="auto"/>
        </w:rPr>
      </w:pPr>
    </w:p>
    <w:p>
      <w:pPr>
        <w:ind w:left="1307" w:right="220" w:hanging="983"/>
        <w:spacing w:after="0" w:line="256" w:lineRule="auto"/>
        <w:tabs>
          <w:tab w:leader="none" w:pos="6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De-energize the Supply Fans whenever the Stop/Auto interlock is open, the Mixed Air or Discharge Air Low Limit is tripped, the fire or smoke stat has tripped, or the Supply Fan Status indicates a failure (after a two minute delay). The Fire-stat, and the Mixed Air Low limit require a manual reset.</w:t>
      </w: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Alarm the BMS with an appropriate alarm message.</w:t>
      </w:r>
    </w:p>
    <w:p>
      <w:pPr>
        <w:spacing w:after="0" w:line="191" w:lineRule="exact"/>
        <w:rPr>
          <w:rFonts w:ascii="Times New Roman" w:cs="Times New Roman" w:eastAsia="Times New Roman" w:hAnsi="Times New Roman"/>
          <w:sz w:val="17"/>
          <w:szCs w:val="17"/>
          <w:color w:val="auto"/>
        </w:rPr>
      </w:pPr>
    </w:p>
    <w:p>
      <w:pPr>
        <w:ind w:left="207" w:hanging="207"/>
        <w:spacing w:after="0"/>
        <w:tabs>
          <w:tab w:leader="none" w:pos="20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VFD Control</w:t>
      </w:r>
    </w:p>
    <w:p>
      <w:pPr>
        <w:spacing w:after="0" w:line="209" w:lineRule="exact"/>
        <w:rPr>
          <w:rFonts w:ascii="Times New Roman" w:cs="Times New Roman" w:eastAsia="Times New Roman" w:hAnsi="Times New Roman"/>
          <w:sz w:val="17"/>
          <w:szCs w:val="17"/>
          <w:color w:val="auto"/>
        </w:rPr>
      </w:pPr>
    </w:p>
    <w:p>
      <w:pPr>
        <w:ind w:left="1307" w:right="240" w:hanging="983"/>
        <w:spacing w:after="0" w:line="259" w:lineRule="auto"/>
        <w:tabs>
          <w:tab w:leader="none" w:pos="6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Fans are on, the VFD shall slowly ramp up to setpoint and modulate to maintain the proper Duct Static Pressure or Space Static Pressure. The Static Pressure Sensors shall be located by this Division.</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sensor locations to engineer for review.</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Sensing device shall be multiple point, non-pulsating static pressure sensing section with self averaging manifold.</w:t>
      </w:r>
    </w:p>
    <w:p>
      <w:pPr>
        <w:spacing w:after="0" w:line="164" w:lineRule="exact"/>
        <w:rPr>
          <w:rFonts w:ascii="Times New Roman" w:cs="Times New Roman" w:eastAsia="Times New Roman" w:hAnsi="Times New Roman"/>
          <w:sz w:val="17"/>
          <w:szCs w:val="17"/>
          <w:color w:val="auto"/>
        </w:rPr>
      </w:pPr>
    </w:p>
    <w:p>
      <w:pPr>
        <w:ind w:left="147" w:hanging="147"/>
        <w:spacing w:after="0"/>
        <w:tabs>
          <w:tab w:leader="none" w:pos="14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Economizer Control:</w:t>
      </w:r>
    </w:p>
    <w:p>
      <w:pPr>
        <w:spacing w:after="0" w:line="196" w:lineRule="exact"/>
        <w:rPr>
          <w:rFonts w:ascii="Times New Roman" w:cs="Times New Roman" w:eastAsia="Times New Roman" w:hAnsi="Times New Roman"/>
          <w:sz w:val="17"/>
          <w:szCs w:val="17"/>
          <w:color w:val="auto"/>
        </w:rPr>
      </w:pPr>
    </w:p>
    <w:p>
      <w:pPr>
        <w:ind w:left="1307" w:hanging="983"/>
        <w:spacing w:after="0" w:line="255" w:lineRule="auto"/>
        <w:tabs>
          <w:tab w:leader="none" w:pos="6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Outside Air Temperature is less than the Return Air Temperature, and Cooling is required, the Economizer control shall be enabled. The Outside Air Dampers shall modulate between the adjustable minimum position and full open to maintain the Discharge Air Temperature (55°F adj.) at the Economizer Setpoint (55°F adj.). Cooling via the Chilled Water coil shall be allowed to run with the Outside Air Dampers fully open as long as Outside Air Temperature is less than Return Air Temperature. Heating shall be locked out until Outside Air Damper has returned to the minimum ventilation position. When Outside Air Temperature exceeds Return Air Temperature, Economizer control shall be disabled.</w:t>
      </w:r>
    </w:p>
    <w:p>
      <w:pPr>
        <w:spacing w:after="0" w:line="131" w:lineRule="exact"/>
        <w:rPr>
          <w:rFonts w:ascii="Times New Roman" w:cs="Times New Roman" w:eastAsia="Times New Roman" w:hAnsi="Times New Roman"/>
          <w:sz w:val="17"/>
          <w:szCs w:val="17"/>
          <w:color w:val="auto"/>
        </w:rPr>
      </w:pPr>
    </w:p>
    <w:p>
      <w:pPr>
        <w:ind w:left="147" w:hanging="147"/>
        <w:spacing w:after="0"/>
        <w:tabs>
          <w:tab w:leader="none" w:pos="14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Freeze Protection:</w:t>
      </w:r>
    </w:p>
    <w:p>
      <w:pPr>
        <w:spacing w:after="0" w:line="182"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manual reset Mixed Air Low Limit shall tum the Fans OFF if any 12 inches of its sensing element is below its setpoint (35°F, adj.).</w:t>
      </w:r>
    </w:p>
    <w:p>
      <w:pPr>
        <w:sectPr>
          <w:pgSz w:w="11900" w:h="16838" w:orient="portrait"/>
          <w:cols w:equalWidth="0" w:num="1">
            <w:col w:w="10967"/>
          </w:cols>
          <w:pgMar w:left="653" w:top="536" w:right="279" w:bottom="1440" w:gutter="0" w:footer="0" w:header="0"/>
        </w:sectPr>
      </w:pPr>
    </w:p>
    <w:bookmarkStart w:id="170" w:name="page171"/>
    <w:bookmarkEnd w:id="170"/>
    <w:p>
      <w:pPr>
        <w:ind w:left="1540" w:right="140" w:hanging="983"/>
        <w:spacing w:after="0" w:line="281" w:lineRule="auto"/>
        <w:tabs>
          <w:tab w:leader="none" w:pos="874"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Outside Air and Relief Air Dampers shall also be closed, and the heating valve shall open. Energize the HW freeze protection pump and open all automatic valves in the HW system fully.</w:t>
      </w:r>
    </w:p>
    <w:p>
      <w:pPr>
        <w:spacing w:after="0" w:line="126" w:lineRule="exact"/>
        <w:rPr>
          <w:rFonts w:ascii="Times New Roman" w:cs="Times New Roman" w:eastAsia="Times New Roman" w:hAnsi="Times New Roman"/>
          <w:sz w:val="17"/>
          <w:szCs w:val="17"/>
          <w:color w:val="auto"/>
        </w:rPr>
      </w:pPr>
    </w:p>
    <w:p>
      <w:pPr>
        <w:ind w:left="460" w:hanging="227"/>
        <w:spacing w:after="0"/>
        <w:tabs>
          <w:tab w:leader="none" w:pos="4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Air Control:</w:t>
      </w:r>
    </w:p>
    <w:p>
      <w:pPr>
        <w:spacing w:after="0" w:line="181" w:lineRule="exact"/>
        <w:rPr>
          <w:rFonts w:ascii="Times New Roman" w:cs="Times New Roman" w:eastAsia="Times New Roman" w:hAnsi="Times New Roman"/>
          <w:sz w:val="18"/>
          <w:szCs w:val="18"/>
          <w:color w:val="auto"/>
        </w:rPr>
      </w:pPr>
    </w:p>
    <w:p>
      <w:pPr>
        <w:ind w:left="1540" w:right="180" w:hanging="983"/>
        <w:spacing w:after="0" w:line="259" w:lineRule="auto"/>
        <w:tabs>
          <w:tab w:leader="none" w:pos="874"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Indoor air quality shall be maintained by an indoor air quality (C02) sensor mounted in the return air. The sensor shall modulate the outside air and return air dampers to maintain indoor air quality (less than 1000 ppm C02). The controller shall monitor the mixed air temperature and discharge temperature and not allow the mixed air to drop below 45°F {adj.) or the discharge to exceed 60°F (adj.). The outside air damper shall have a preset minimum of 10% (adjustable) and preset maximum of 25% (adjustable).</w:t>
      </w:r>
    </w:p>
    <w:p>
      <w:pPr>
        <w:spacing w:after="0" w:line="145" w:lineRule="exact"/>
        <w:rPr>
          <w:rFonts w:ascii="Times New Roman" w:cs="Times New Roman" w:eastAsia="Times New Roman" w:hAnsi="Times New Roman"/>
          <w:sz w:val="17"/>
          <w:szCs w:val="17"/>
          <w:color w:val="auto"/>
        </w:rPr>
      </w:pPr>
    </w:p>
    <w:p>
      <w:pPr>
        <w:ind w:left="440" w:hanging="207"/>
        <w:spacing w:after="0"/>
        <w:tabs>
          <w:tab w:leader="none" w:pos="4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Air Temperature:</w:t>
      </w:r>
    </w:p>
    <w:p>
      <w:pPr>
        <w:spacing w:after="0" w:line="181" w:lineRule="exact"/>
        <w:rPr>
          <w:rFonts w:ascii="Times New Roman" w:cs="Times New Roman" w:eastAsia="Times New Roman" w:hAnsi="Times New Roman"/>
          <w:sz w:val="18"/>
          <w:szCs w:val="18"/>
          <w:color w:val="auto"/>
        </w:rPr>
      </w:pPr>
    </w:p>
    <w:p>
      <w:pPr>
        <w:ind w:left="880" w:hanging="323"/>
        <w:spacing w:after="0"/>
        <w:tabs>
          <w:tab w:leader="none" w:pos="88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valve position and maintain a D.A.T. which:</w:t>
      </w:r>
    </w:p>
    <w:p>
      <w:pPr>
        <w:spacing w:after="0" w:line="25" w:lineRule="exact"/>
        <w:rPr>
          <w:rFonts w:ascii="Times New Roman" w:cs="Times New Roman" w:eastAsia="Times New Roman" w:hAnsi="Times New Roman"/>
          <w:sz w:val="17"/>
          <w:szCs w:val="17"/>
          <w:color w:val="auto"/>
        </w:rPr>
      </w:pPr>
    </w:p>
    <w:p>
      <w:pPr>
        <w:ind w:left="1280" w:hanging="412"/>
        <w:spacing w:after="0"/>
        <w:tabs>
          <w:tab w:leader="none" w:pos="1280"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Re-sets D.A.T. setpoint up if all heating valves are more than 10% (adj.) open.</w:t>
      </w:r>
    </w:p>
    <w:p>
      <w:pPr>
        <w:spacing w:after="0" w:line="7" w:lineRule="exact"/>
        <w:rPr>
          <w:rFonts w:ascii="Times New Roman" w:cs="Times New Roman" w:eastAsia="Times New Roman" w:hAnsi="Times New Roman"/>
          <w:sz w:val="17"/>
          <w:szCs w:val="17"/>
          <w:color w:val="auto"/>
        </w:rPr>
      </w:pPr>
    </w:p>
    <w:p>
      <w:pPr>
        <w:ind w:left="1280" w:hanging="412"/>
        <w:spacing w:after="0"/>
        <w:tabs>
          <w:tab w:leader="none" w:pos="1280"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Re-sets D.A.T. setpoint down if a given zone's heating valve is fully closed and zone temperature is 2oF (adj.) or more above setpoint.</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D.A.T. drops below 40°F (adj.), de-energize all fans close the outside air damper to minimum, and open heating valve.</w:t>
      </w:r>
    </w:p>
    <w:p>
      <w:pPr>
        <w:spacing w:after="0" w:line="168" w:lineRule="exact"/>
        <w:rPr>
          <w:rFonts w:ascii="Times New Roman" w:cs="Times New Roman" w:eastAsia="Times New Roman" w:hAnsi="Times New Roman"/>
          <w:sz w:val="17"/>
          <w:szCs w:val="17"/>
          <w:color w:val="auto"/>
        </w:rPr>
      </w:pPr>
    </w:p>
    <w:p>
      <w:pPr>
        <w:ind w:left="480" w:hanging="247"/>
        <w:spacing w:after="0"/>
        <w:tabs>
          <w:tab w:leader="none" w:pos="4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Valve Control:</w:t>
      </w:r>
    </w:p>
    <w:p>
      <w:pPr>
        <w:spacing w:after="0" w:line="181" w:lineRule="exact"/>
        <w:rPr>
          <w:rFonts w:ascii="Times New Roman" w:cs="Times New Roman" w:eastAsia="Times New Roman" w:hAnsi="Times New Roman"/>
          <w:sz w:val="18"/>
          <w:szCs w:val="18"/>
          <w:color w:val="auto"/>
        </w:rPr>
      </w:pPr>
    </w:p>
    <w:p>
      <w:pPr>
        <w:ind w:left="1540" w:right="40" w:hanging="983"/>
        <w:spacing w:after="0" w:line="259" w:lineRule="auto"/>
        <w:tabs>
          <w:tab w:leader="none" w:pos="874"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Heating Valves shall modulate to maintain the Discharge Air Temperature at the Discharge Heating Setpoint (55°F, adj.). The Heating Valves shall be fully closed if the Fans are OFF.</w:t>
      </w:r>
    </w:p>
    <w:p>
      <w:pPr>
        <w:spacing w:after="0" w:line="1"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Utilize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-way valve control on all units.</w:t>
      </w:r>
    </w:p>
    <w:p>
      <w:pPr>
        <w:spacing w:after="0" w:line="195" w:lineRule="exact"/>
        <w:rPr>
          <w:rFonts w:ascii="Times New Roman" w:cs="Times New Roman" w:eastAsia="Times New Roman" w:hAnsi="Times New Roman"/>
          <w:sz w:val="17"/>
          <w:szCs w:val="17"/>
          <w:color w:val="auto"/>
        </w:rPr>
      </w:pPr>
    </w:p>
    <w:p>
      <w:pPr>
        <w:ind w:left="460" w:hanging="227"/>
        <w:spacing w:after="0"/>
        <w:tabs>
          <w:tab w:leader="none" w:pos="4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Valve Control:</w:t>
      </w:r>
    </w:p>
    <w:p>
      <w:pPr>
        <w:spacing w:after="0" w:line="204" w:lineRule="exact"/>
        <w:rPr>
          <w:rFonts w:ascii="Times New Roman" w:cs="Times New Roman" w:eastAsia="Times New Roman" w:hAnsi="Times New Roman"/>
          <w:sz w:val="18"/>
          <w:szCs w:val="18"/>
          <w:color w:val="auto"/>
        </w:rPr>
      </w:pPr>
    </w:p>
    <w:p>
      <w:pPr>
        <w:jc w:val="center"/>
        <w:ind w:left="1540" w:right="400" w:hanging="983"/>
        <w:spacing w:after="0" w:line="262" w:lineRule="auto"/>
        <w:tabs>
          <w:tab w:leader="none" w:pos="874"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-way Cooling Valves shall modulate to maintain the Discharge Air Temperature at the Discharge Cooling Setpoint (55°F. adj.). The Cooling Valves shall be closed if the air handlers are in the Heating mode, the Fans are OFF, or the Discharge Air Sensors have failed.</w:t>
      </w:r>
    </w:p>
    <w:p>
      <w:pPr>
        <w:ind w:left="880" w:hanging="323"/>
        <w:spacing w:after="0"/>
        <w:tabs>
          <w:tab w:leader="none" w:pos="88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Utilize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-way valve control on all units.</w:t>
      </w:r>
    </w:p>
    <w:p>
      <w:pPr>
        <w:spacing w:after="0" w:line="1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CONTROL OF SMOKE DAMPERS</w:t>
      </w:r>
    </w:p>
    <w:p>
      <w:pPr>
        <w:spacing w:after="0" w:line="187" w:lineRule="exact"/>
        <w:rPr>
          <w:sz w:val="20"/>
          <w:szCs w:val="20"/>
          <w:color w:val="auto"/>
        </w:rPr>
      </w:pPr>
    </w:p>
    <w:p>
      <w:pPr>
        <w:ind w:left="880" w:hanging="647"/>
        <w:spacing w:after="0" w:line="259" w:lineRule="auto"/>
        <w:tabs>
          <w:tab w:leader="none" w:pos="538"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normally closed automatic damper in each duct crossing a smoke barrier, and as indicated on the Drawings, at the point where the duct crosses the barriers and at supply fan discharge. Whenever supply fan stops, smoke damper at the fan discharge shall close. Provide one minute time delay to prevent fan start-up until all smoke dampers have opened and 20 second time delay to prevent dampers from closing until fan has stopped. All smoke detectors located at the supply, return and exhaust ductwork of same system shall be one zone. Any smoke detector actuated on the zone shall:</w:t>
      </w:r>
    </w:p>
    <w:p>
      <w:pPr>
        <w:spacing w:after="0" w:line="142"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supply fan. (Interlocked fans shall be shut down by means of interlocking).</w:t>
      </w:r>
    </w:p>
    <w:p>
      <w:pPr>
        <w:spacing w:after="0" w:line="25"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Start return air fan.</w:t>
      </w:r>
    </w:p>
    <w:p>
      <w:pPr>
        <w:spacing w:after="0" w:line="7" w:lineRule="exact"/>
        <w:rPr>
          <w:rFonts w:ascii="Times New Roman" w:cs="Times New Roman" w:eastAsia="Times New Roman" w:hAnsi="Times New Roman"/>
          <w:sz w:val="17"/>
          <w:szCs w:val="17"/>
          <w:color w:val="auto"/>
        </w:rPr>
      </w:pPr>
    </w:p>
    <w:p>
      <w:pPr>
        <w:ind w:left="880" w:hanging="323"/>
        <w:spacing w:after="0"/>
        <w:tabs>
          <w:tab w:leader="none" w:pos="8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 return air damper and open relief air damper.</w:t>
      </w:r>
    </w:p>
    <w:p>
      <w:pPr>
        <w:spacing w:after="0" w:line="7" w:lineRule="exact"/>
        <w:rPr>
          <w:rFonts w:ascii="Times New Roman" w:cs="Times New Roman" w:eastAsia="Times New Roman" w:hAnsi="Times New Roman"/>
          <w:sz w:val="17"/>
          <w:szCs w:val="17"/>
          <w:color w:val="auto"/>
        </w:rPr>
      </w:pPr>
    </w:p>
    <w:p>
      <w:pPr>
        <w:ind w:left="1540" w:right="160" w:hanging="983"/>
        <w:spacing w:after="0" w:line="248" w:lineRule="auto"/>
        <w:tabs>
          <w:tab w:leader="none" w:pos="874"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all smoke dampers on return air duct of that system. Whenever return air fan is off, smoke dampers on return air duct shall close. (Provide time delay as described above).</w:t>
      </w:r>
    </w:p>
    <w:p>
      <w:pPr>
        <w:spacing w:after="0" w:line="1" w:lineRule="exact"/>
        <w:rPr>
          <w:rFonts w:ascii="Times New Roman" w:cs="Times New Roman" w:eastAsia="Times New Roman" w:hAnsi="Times New Roman"/>
          <w:sz w:val="17"/>
          <w:szCs w:val="17"/>
          <w:color w:val="auto"/>
        </w:rPr>
      </w:pPr>
    </w:p>
    <w:p>
      <w:pPr>
        <w:ind w:left="1540" w:right="320" w:hanging="983"/>
        <w:spacing w:after="0" w:line="259" w:lineRule="auto"/>
        <w:tabs>
          <w:tab w:leader="none" w:pos="874"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 smoke dampers in supply ductwork. This can be done either by using E-p switch at supply fan starter or by using an E-p switch at each floor wired from same zone.</w:t>
      </w:r>
    </w:p>
    <w:p>
      <w:pPr>
        <w:sectPr>
          <w:pgSz w:w="11900" w:h="16838" w:orient="portrait"/>
          <w:cols w:equalWidth="0" w:num="1">
            <w:col w:w="11240"/>
          </w:cols>
          <w:pgMar w:left="420" w:top="726" w:right="239" w:bottom="1440" w:gutter="0" w:footer="0" w:header="0"/>
        </w:sectPr>
      </w:pPr>
    </w:p>
    <w:bookmarkStart w:id="171" w:name="page172"/>
    <w:bookmarkEnd w:id="171"/>
    <w:p>
      <w:pPr>
        <w:spacing w:after="0"/>
        <w:tabs>
          <w:tab w:leader="none" w:pos="540" w:val="left"/>
        </w:tabs>
        <w:rPr>
          <w:sz w:val="20"/>
          <w:szCs w:val="20"/>
          <w:color w:val="auto"/>
        </w:rPr>
      </w:pPr>
      <w:r>
        <w:rPr>
          <w:rFonts w:ascii="Times New Roman" w:cs="Times New Roman" w:eastAsia="Times New Roman" w:hAnsi="Times New Roman"/>
          <w:sz w:val="17"/>
          <w:szCs w:val="17"/>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DOC SYSTEM POINTS LIST</w:t>
      </w:r>
    </w:p>
    <w:p>
      <w:pPr>
        <w:spacing w:after="0" w:line="187" w:lineRule="exact"/>
        <w:rPr>
          <w:sz w:val="20"/>
          <w:szCs w:val="20"/>
          <w:color w:val="auto"/>
        </w:rPr>
      </w:pPr>
    </w:p>
    <w:p>
      <w:pPr>
        <w:ind w:left="880" w:hanging="647"/>
        <w:spacing w:after="0" w:line="265" w:lineRule="auto"/>
        <w:tabs>
          <w:tab w:leader="none" w:pos="53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Provide individual inputs or output for each point listed in the points list (See Appendix). Provide any additional points not listed in the points list, but required to meet the sequences of operation, at no additional cost to the owner. All analog outputs shall be 4-20mA, 0-1OVDC, or 0-20VDC unless otherwise indicated. AO =Analog Output; AI =Analog Input; DO = Digital (binary) Output; Dl =Digital (binary) Input.</w:t>
      </w:r>
    </w:p>
    <w:p>
      <w:pPr>
        <w:spacing w:after="0" w:line="300"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2600" w:type="dxa"/>
            <w:vAlign w:val="bottom"/>
            <w:tcBorders>
              <w:top w:val="single" w:sz="8" w:color="auto"/>
              <w:left w:val="single" w:sz="8" w:color="auto"/>
            </w:tcBorders>
          </w:tcPr>
          <w:p>
            <w:pPr>
              <w:spacing w:after="0"/>
              <w:rPr>
                <w:sz w:val="22"/>
                <w:szCs w:val="22"/>
                <w:color w:val="auto"/>
              </w:rPr>
            </w:pPr>
          </w:p>
        </w:tc>
        <w:tc>
          <w:tcPr>
            <w:tcW w:w="42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Supply Fan Start/Stop</w:t>
            </w:r>
          </w:p>
        </w:tc>
        <w:tc>
          <w:tcPr>
            <w:tcW w:w="350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Supply Fan VFD</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55"/>
        </w:trPr>
        <w:tc>
          <w:tcPr>
            <w:tcW w:w="2600" w:type="dxa"/>
            <w:vAlign w:val="bottom"/>
            <w:tcBorders>
              <w:left w:val="single" w:sz="8" w:color="auto"/>
            </w:tcBorders>
          </w:tcPr>
          <w:p>
            <w:pPr>
              <w:spacing w:after="0"/>
              <w:rPr>
                <w:sz w:val="22"/>
                <w:szCs w:val="22"/>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Return Fan Start/Stop</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Return Fan VFD</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Cooling Coil Control Valve</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Hot Water Preheat Coil Control Valve</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Hot Water Freeze Protection Circ Pump</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Outdoor Air Damper</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Freezestat</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AHU-02-1</w:t>
            </w: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Leaving Air Temp</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95"/>
        </w:trPr>
        <w:tc>
          <w:tcPr>
            <w:tcW w:w="2600" w:type="dxa"/>
            <w:vAlign w:val="bottom"/>
            <w:tcBorders>
              <w:left w:val="single" w:sz="8" w:color="auto"/>
            </w:tcBorders>
            <w:vMerge w:val="continue"/>
          </w:tcPr>
          <w:p>
            <w:pPr>
              <w:spacing w:after="0"/>
              <w:rPr>
                <w:sz w:val="8"/>
                <w:szCs w:val="8"/>
                <w:color w:val="auto"/>
              </w:rPr>
            </w:pPr>
          </w:p>
        </w:tc>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Entering Air Temp</w:t>
            </w:r>
          </w:p>
        </w:tc>
        <w:tc>
          <w:tcPr>
            <w:tcW w:w="3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600" w:type="dxa"/>
            <w:vAlign w:val="bottom"/>
            <w:tcBorders>
              <w:left w:val="single" w:sz="8" w:color="auto"/>
            </w:tcBorders>
          </w:tcPr>
          <w:p>
            <w:pPr>
              <w:spacing w:after="0"/>
              <w:rPr>
                <w:sz w:val="15"/>
                <w:szCs w:val="15"/>
                <w:color w:val="auto"/>
              </w:rPr>
            </w:pPr>
          </w:p>
        </w:tc>
        <w:tc>
          <w:tcPr>
            <w:tcW w:w="4200" w:type="dxa"/>
            <w:vAlign w:val="bottom"/>
            <w:vMerge w:val="continue"/>
          </w:tcPr>
          <w:p>
            <w:pPr>
              <w:spacing w:after="0"/>
              <w:rPr>
                <w:sz w:val="15"/>
                <w:szCs w:val="15"/>
                <w:color w:val="auto"/>
              </w:rPr>
            </w:pP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Supply Duct Pressure Transducer</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Return Duct Pressure Transducer</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Supply Fan Status (CT)</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Return Fan Status (CT)</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55"/>
        </w:trPr>
        <w:tc>
          <w:tcPr>
            <w:tcW w:w="2600" w:type="dxa"/>
            <w:vAlign w:val="bottom"/>
            <w:tcBorders>
              <w:left w:val="single" w:sz="8" w:color="auto"/>
            </w:tcBorders>
          </w:tcPr>
          <w:p>
            <w:pPr>
              <w:spacing w:after="0"/>
              <w:rPr>
                <w:sz w:val="22"/>
                <w:szCs w:val="22"/>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Smoke Detector(s)</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Fire Stat</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Filter Pressure Drop</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Air Flow (CFM)</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
        </w:trPr>
        <w:tc>
          <w:tcPr>
            <w:tcW w:w="2600" w:type="dxa"/>
            <w:vAlign w:val="bottom"/>
            <w:tcBorders>
              <w:left w:val="single" w:sz="8" w:color="auto"/>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tcBorders>
          </w:tcPr>
          <w:p>
            <w:pPr>
              <w:spacing w:after="0"/>
              <w:rPr>
                <w:sz w:val="20"/>
                <w:szCs w:val="20"/>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Supply Fan Start/Stop</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Supply Fan VFD</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Cooling Coil Control Valve</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Hot Water Reheat Coil Control Valve</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Outdoor Air Damper</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Freezestat</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AHS-2</w:t>
            </w: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Leaving Air Temp</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52"/>
        </w:trPr>
        <w:tc>
          <w:tcPr>
            <w:tcW w:w="2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(Provide all new sensor &amp; CHW</w:t>
            </w: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Entering Air Temp</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ACV, reuse existing HW control</w:t>
            </w:r>
          </w:p>
        </w:tc>
        <w:tc>
          <w:tcPr>
            <w:tcW w:w="4200" w:type="dxa"/>
            <w:vAlign w:val="bottom"/>
          </w:tcPr>
          <w:p>
            <w:pPr>
              <w:spacing w:after="0"/>
              <w:rPr>
                <w:sz w:val="18"/>
                <w:szCs w:val="18"/>
                <w:color w:val="auto"/>
              </w:rPr>
            </w:pPr>
          </w:p>
        </w:tc>
        <w:tc>
          <w:tcPr>
            <w:tcW w:w="35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valves)</w:t>
            </w: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Supply Duct Pressure Transducer</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Supply Fan Status (CT)</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tcBorders>
              <w:left w:val="single" w:sz="8" w:color="auto"/>
            </w:tcBorders>
          </w:tcPr>
          <w:p>
            <w:pPr>
              <w:spacing w:after="0"/>
              <w:rPr>
                <w:sz w:val="22"/>
                <w:szCs w:val="22"/>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Smoke Detector(s</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Fire Stat</w:t>
            </w:r>
          </w:p>
        </w:tc>
        <w:tc>
          <w:tcPr>
            <w:tcW w:w="350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3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Filter Pressure Drop</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tcBorders>
          </w:tcPr>
          <w:p>
            <w:pPr>
              <w:spacing w:after="0"/>
              <w:rPr>
                <w:sz w:val="23"/>
                <w:szCs w:val="23"/>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Air Flow (CFM)</w:t>
            </w:r>
          </w:p>
        </w:tc>
        <w:tc>
          <w:tcPr>
            <w:tcW w:w="350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
        </w:trPr>
        <w:tc>
          <w:tcPr>
            <w:tcW w:w="2600" w:type="dxa"/>
            <w:vAlign w:val="bottom"/>
            <w:tcBorders>
              <w:left w:val="single" w:sz="8" w:color="auto"/>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420" w:top="708" w:right="259" w:bottom="1440" w:gutter="0" w:footer="0" w:header="0"/>
        </w:sectPr>
      </w:pPr>
    </w:p>
    <w:bookmarkStart w:id="172" w:name="page173"/>
    <w:bookmarkEnd w:id="1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960" w:type="dxa"/>
            <w:vAlign w:val="bottom"/>
            <w:tcBorders>
              <w:top w:val="single" w:sz="8" w:color="auto"/>
              <w:left w:val="single" w:sz="8" w:color="auto"/>
            </w:tcBorders>
          </w:tcPr>
          <w:p>
            <w:pPr>
              <w:spacing w:after="0"/>
              <w:rPr>
                <w:sz w:val="22"/>
                <w:szCs w:val="22"/>
                <w:color w:val="auto"/>
              </w:rPr>
            </w:pPr>
          </w:p>
        </w:tc>
        <w:tc>
          <w:tcPr>
            <w:tcW w:w="45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Supply Fan Start/Stop</w:t>
            </w:r>
          </w:p>
        </w:tc>
        <w:tc>
          <w:tcPr>
            <w:tcW w:w="320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Cooling Coil Control Valve</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68"/>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Hot Water Reheat Coil Control Valve</w:t>
            </w:r>
          </w:p>
        </w:tc>
        <w:tc>
          <w:tcPr>
            <w:tcW w:w="32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3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Freezestat</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Leaving Air Temp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316"/>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AHS-4</w:t>
            </w: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Supply Duct Pressure Transducer</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22"/>
        </w:trPr>
        <w:tc>
          <w:tcPr>
            <w:tcW w:w="1960" w:type="dxa"/>
            <w:vAlign w:val="bottom"/>
            <w:tcBorders>
              <w:left w:val="single" w:sz="8" w:color="auto"/>
            </w:tcBorders>
          </w:tcPr>
          <w:p>
            <w:pPr>
              <w:spacing w:after="0"/>
              <w:rPr>
                <w:sz w:val="19"/>
                <w:szCs w:val="19"/>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Supply Fan Status (CT)</w:t>
            </w:r>
          </w:p>
        </w:tc>
        <w:tc>
          <w:tcPr>
            <w:tcW w:w="32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3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left w:val="single" w:sz="8" w:color="auto"/>
            </w:tcBorders>
          </w:tcPr>
          <w:p>
            <w:pPr>
              <w:spacing w:after="0"/>
              <w:rPr>
                <w:sz w:val="22"/>
                <w:szCs w:val="22"/>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Smoke Detector(s</w:t>
            </w:r>
          </w:p>
        </w:tc>
        <w:tc>
          <w:tcPr>
            <w:tcW w:w="32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3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Fire Stat</w:t>
            </w:r>
          </w:p>
        </w:tc>
        <w:tc>
          <w:tcPr>
            <w:tcW w:w="32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3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Air Flow (CFM)</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tcBorders>
          </w:tcPr>
          <w:p>
            <w:pPr>
              <w:spacing w:after="0"/>
              <w:rPr>
                <w:sz w:val="20"/>
                <w:szCs w:val="20"/>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Chilled Water Control Valve (Modulate)</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Entering CHW Temp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Leaving CHW Temp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CHW Differential Pressure Transducer</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Heat Exchanger</w:t>
            </w: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CHW Flow (Meter)</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Entering GCHW Temp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Leaving GCHW Temp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GCHW Differential Pressure Transducer</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GCHW Automatic valve Open/Close</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GCHW Pumps</w:t>
            </w: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Pump Start/Stop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(Each Pump)</w:t>
            </w: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Pump Status (CT)</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Pump VFD</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Pump Failure Alarm</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tcBorders>
          </w:tcPr>
          <w:p>
            <w:pPr>
              <w:spacing w:after="0"/>
              <w:rPr>
                <w:sz w:val="20"/>
                <w:szCs w:val="20"/>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Return Fan Start/Stop</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DO</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RFS-2</w:t>
            </w: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Return Fan Status (CT)</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Return Fan VFD</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AO</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tcBorders>
          </w:tcPr>
          <w:p>
            <w:pPr>
              <w:spacing w:after="0"/>
              <w:rPr>
                <w:sz w:val="20"/>
                <w:szCs w:val="20"/>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Instantaneous Water Flow</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Each BTU Meter</w:t>
            </w: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Supply Water Temperature</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tcBorders>
            <w:vMerge w:val="continue"/>
          </w:tcPr>
          <w:p>
            <w:pPr>
              <w:spacing w:after="0"/>
              <w:rPr>
                <w:sz w:val="11"/>
                <w:szCs w:val="11"/>
                <w:color w:val="auto"/>
              </w:rPr>
            </w:pPr>
          </w:p>
        </w:tc>
        <w:tc>
          <w:tcPr>
            <w:tcW w:w="456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auto"/>
              </w:rPr>
              <w:t>Return Water Temperature</w:t>
            </w:r>
          </w:p>
        </w:tc>
        <w:tc>
          <w:tcPr>
            <w:tcW w:w="32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4560" w:type="dxa"/>
            <w:vAlign w:val="bottom"/>
            <w:vMerge w:val="continue"/>
          </w:tcPr>
          <w:p>
            <w:pPr>
              <w:spacing w:after="0"/>
              <w:rPr>
                <w:sz w:val="11"/>
                <w:szCs w:val="11"/>
                <w:color w:val="auto"/>
              </w:rPr>
            </w:pPr>
          </w:p>
        </w:tc>
        <w:tc>
          <w:tcPr>
            <w:tcW w:w="3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auto"/>
            </w:tcBorders>
          </w:tcPr>
          <w:p>
            <w:pPr>
              <w:spacing w:after="0"/>
              <w:rPr>
                <w:sz w:val="23"/>
                <w:szCs w:val="23"/>
                <w:color w:val="auto"/>
              </w:rPr>
            </w:pPr>
          </w:p>
        </w:tc>
        <w:tc>
          <w:tcPr>
            <w:tcW w:w="4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Cumulative BTUs (report once per day)</w:t>
            </w:r>
          </w:p>
        </w:tc>
        <w:tc>
          <w:tcPr>
            <w:tcW w:w="32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AI</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440" w:top="674" w:right="7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END OF SECTION</w:t>
      </w:r>
    </w:p>
    <w:p>
      <w:pPr>
        <w:sectPr>
          <w:pgSz w:w="11900" w:h="16838" w:orient="portrait"/>
          <w:cols w:equalWidth="0" w:num="1">
            <w:col w:w="10139"/>
          </w:cols>
          <w:pgMar w:left="320" w:top="1104" w:right="1440" w:bottom="1440" w:gutter="0" w:footer="0" w:header="0"/>
        </w:sectPr>
      </w:pPr>
    </w:p>
    <w:bookmarkStart w:id="174" w:name="page175"/>
    <w:bookmarkEnd w:id="174"/>
    <w:p>
      <w:pPr>
        <w:jc w:val="right"/>
        <w:ind w:right="3320"/>
        <w:spacing w:after="0"/>
        <w:rPr>
          <w:sz w:val="20"/>
          <w:szCs w:val="20"/>
          <w:color w:val="auto"/>
        </w:rPr>
      </w:pPr>
      <w:r>
        <w:rPr>
          <w:rFonts w:ascii="Times New Roman" w:cs="Times New Roman" w:eastAsia="Times New Roman" w:hAnsi="Times New Roman"/>
          <w:sz w:val="17"/>
          <w:szCs w:val="17"/>
          <w:b w:val="1"/>
          <w:bCs w:val="1"/>
          <w:color w:val="auto"/>
        </w:rPr>
        <w:t>SECTION 23 21 23</w:t>
      </w:r>
    </w:p>
    <w:p>
      <w:pPr>
        <w:spacing w:after="0" w:line="169" w:lineRule="exact"/>
        <w:rPr>
          <w:sz w:val="20"/>
          <w:szCs w:val="20"/>
          <w:color w:val="auto"/>
        </w:rPr>
      </w:pPr>
    </w:p>
    <w:p>
      <w:pPr>
        <w:jc w:val="right"/>
        <w:ind w:right="3360"/>
        <w:spacing w:after="0"/>
        <w:rPr>
          <w:sz w:val="20"/>
          <w:szCs w:val="20"/>
          <w:color w:val="auto"/>
        </w:rPr>
      </w:pPr>
      <w:r>
        <w:rPr>
          <w:rFonts w:ascii="Times New Roman" w:cs="Times New Roman" w:eastAsia="Times New Roman" w:hAnsi="Times New Roman"/>
          <w:sz w:val="17"/>
          <w:szCs w:val="17"/>
          <w:b w:val="1"/>
          <w:bCs w:val="1"/>
          <w:color w:val="auto"/>
        </w:rPr>
        <w:t>HVAC PUMPS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1 -GENERAL</w:t>
      </w:r>
    </w:p>
    <w:p>
      <w:pPr>
        <w:spacing w:after="0" w:line="183" w:lineRule="exact"/>
        <w:rPr>
          <w:sz w:val="20"/>
          <w:szCs w:val="20"/>
          <w:color w:val="auto"/>
        </w:rPr>
      </w:pPr>
    </w:p>
    <w:p>
      <w:pPr>
        <w:ind w:left="18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1.1</w:t>
        <w:tab/>
        <w:t>MOTOR HORSEPOWER</w:t>
      </w:r>
    </w:p>
    <w:p>
      <w:pPr>
        <w:spacing w:after="0" w:line="187" w:lineRule="exact"/>
        <w:rPr>
          <w:sz w:val="20"/>
          <w:szCs w:val="20"/>
          <w:color w:val="auto"/>
        </w:rPr>
      </w:pPr>
    </w:p>
    <w:p>
      <w:pPr>
        <w:ind w:left="640" w:hanging="307"/>
        <w:spacing w:after="0"/>
        <w:tabs>
          <w:tab w:leader="none" w:pos="64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increase or decrease motor horsepower from that specified without written approval from Architect/Engineer. See Section 23 05 01.</w:t>
      </w:r>
    </w:p>
    <w:p>
      <w:pPr>
        <w:spacing w:after="0" w:line="209" w:lineRule="exact"/>
        <w:rPr>
          <w:rFonts w:ascii="Times New Roman" w:cs="Times New Roman" w:eastAsia="Times New Roman" w:hAnsi="Times New Roman"/>
          <w:sz w:val="17"/>
          <w:szCs w:val="17"/>
          <w:color w:val="auto"/>
        </w:rPr>
      </w:pPr>
    </w:p>
    <w:p>
      <w:pPr>
        <w:ind w:left="980" w:hanging="647"/>
        <w:spacing w:after="0" w:line="265" w:lineRule="auto"/>
        <w:tabs>
          <w:tab w:leader="none" w:pos="63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pumps so that for single pump application at a minimum, brake horsepower does not exceed motor horsepower at rating point, and does not exceed motor horsepower plus service factor on impeller curve at 125% rated flow. For parallel pump application motor horsepower shall be selected such that pump can operate at any point on the pump curve without overloading.</w:t>
      </w:r>
    </w:p>
    <w:p>
      <w:pPr>
        <w:spacing w:after="0" w:line="132" w:lineRule="exact"/>
        <w:rPr>
          <w:sz w:val="20"/>
          <w:szCs w:val="20"/>
          <w:color w:val="auto"/>
        </w:rPr>
      </w:pPr>
    </w:p>
    <w:p>
      <w:pPr>
        <w:ind w:left="18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1.2</w:t>
        <w:tab/>
        <w:t>SUBMITTALS</w:t>
      </w:r>
    </w:p>
    <w:p>
      <w:pPr>
        <w:spacing w:after="0" w:line="187" w:lineRule="exact"/>
        <w:rPr>
          <w:sz w:val="20"/>
          <w:szCs w:val="20"/>
          <w:color w:val="auto"/>
        </w:rPr>
      </w:pPr>
    </w:p>
    <w:p>
      <w:pPr>
        <w:ind w:left="640" w:hanging="307"/>
        <w:spacing w:after="0"/>
        <w:tabs>
          <w:tab w:leader="none" w:pos="64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 Product Data: Submit manufacturer's product data on pumps.</w:t>
      </w:r>
    </w:p>
    <w:p>
      <w:pPr>
        <w:spacing w:after="0" w:line="18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pump curve and mark rating point. Also include single pump operating point for a parallel pump application.</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Show maximum allowable operating temperature and pressure.</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in red any deviations from specified construction.</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Show impeller diameter indicate maximum impeller diameter for pump volute provided, and indicate if impeller is machined down.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2- PRODUCTS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2.1 IN-LINE CIRCULATOR FOR HEATING (Small- Horizontal Motor)</w:t>
      </w:r>
    </w:p>
    <w:p>
      <w:pPr>
        <w:spacing w:after="0" w:line="187" w:lineRule="exact"/>
        <w:rPr>
          <w:sz w:val="20"/>
          <w:szCs w:val="20"/>
          <w:color w:val="auto"/>
        </w:rPr>
      </w:pPr>
    </w:p>
    <w:p>
      <w:pPr>
        <w:ind w:left="640" w:hanging="307"/>
        <w:spacing w:after="0"/>
        <w:tabs>
          <w:tab w:leader="none" w:pos="6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w:t>
      </w:r>
    </w:p>
    <w:p>
      <w:pPr>
        <w:spacing w:after="0" w:line="18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Basis: Bell &amp; Gossett</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Acceptable Manufacturers:</w:t>
      </w:r>
    </w:p>
    <w:p>
      <w:pPr>
        <w:spacing w:after="0" w:line="7" w:lineRule="exact"/>
        <w:rPr>
          <w:rFonts w:ascii="Times New Roman" w:cs="Times New Roman" w:eastAsia="Times New Roman" w:hAnsi="Times New Roman"/>
          <w:sz w:val="17"/>
          <w:szCs w:val="17"/>
          <w:color w:val="auto"/>
        </w:rPr>
      </w:pPr>
    </w:p>
    <w:p>
      <w:pPr>
        <w:ind w:left="1300" w:hanging="319"/>
        <w:spacing w:after="0"/>
        <w:tabs>
          <w:tab w:leader="none" w:pos="130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Taco</w:t>
      </w:r>
    </w:p>
    <w:p>
      <w:pPr>
        <w:spacing w:after="0" w:line="7" w:lineRule="exact"/>
        <w:rPr>
          <w:rFonts w:ascii="Times New Roman" w:cs="Times New Roman" w:eastAsia="Times New Roman" w:hAnsi="Times New Roman"/>
          <w:sz w:val="17"/>
          <w:szCs w:val="17"/>
          <w:color w:val="auto"/>
        </w:rPr>
      </w:pPr>
    </w:p>
    <w:p>
      <w:pPr>
        <w:ind w:left="1300" w:hanging="319"/>
        <w:spacing w:after="0"/>
        <w:tabs>
          <w:tab w:leader="none" w:pos="130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Armstrong</w:t>
      </w:r>
    </w:p>
    <w:p>
      <w:pPr>
        <w:spacing w:after="0" w:line="7" w:lineRule="exact"/>
        <w:rPr>
          <w:rFonts w:ascii="Times New Roman" w:cs="Times New Roman" w:eastAsia="Times New Roman" w:hAnsi="Times New Roman"/>
          <w:sz w:val="17"/>
          <w:szCs w:val="17"/>
          <w:color w:val="auto"/>
        </w:rPr>
      </w:pPr>
    </w:p>
    <w:p>
      <w:pPr>
        <w:ind w:left="1300" w:hanging="319"/>
        <w:spacing w:after="0"/>
        <w:tabs>
          <w:tab w:leader="none" w:pos="130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Aurora</w:t>
      </w:r>
    </w:p>
    <w:p>
      <w:pPr>
        <w:spacing w:after="0" w:line="164"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Conditions:</w:t>
      </w:r>
    </w:p>
    <w:p>
      <w:pPr>
        <w:spacing w:after="0" w:line="182"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125 psig</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Temperature: 225°F</w:t>
      </w:r>
    </w:p>
    <w:p>
      <w:pPr>
        <w:spacing w:after="0" w:line="191"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w:t>
      </w:r>
    </w:p>
    <w:p>
      <w:pPr>
        <w:spacing w:after="0" w:line="209"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 Mount: Resilient.</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Bearings: Sleeve, bronze, oil lubricated.</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Casing: Cast iron.</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Impeller: Steel, cadmium plated, cast iron, or bronze.</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Shaft: Steel with copper sleeve or stainless steel.</w:t>
      </w:r>
    </w:p>
    <w:p>
      <w:pPr>
        <w:sectPr>
          <w:pgSz w:w="11900" w:h="16838" w:orient="portrait"/>
          <w:cols w:equalWidth="0" w:num="1">
            <w:col w:w="11340"/>
          </w:cols>
          <w:pgMar w:left="320" w:top="560" w:right="239" w:bottom="1440" w:gutter="0" w:footer="0" w:header="0"/>
        </w:sectPr>
      </w:pPr>
    </w:p>
    <w:bookmarkStart w:id="175" w:name="page176"/>
    <w:bookmarkEnd w:id="175"/>
    <w:p>
      <w:pPr>
        <w:ind w:left="800" w:hanging="323"/>
        <w:spacing w:after="0"/>
        <w:tabs>
          <w:tab w:leader="none" w:pos="80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Seal: Mechanical.</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Coupler: Spring or flexible sleeve.</w:t>
      </w:r>
    </w:p>
    <w:p>
      <w:pPr>
        <w:spacing w:after="0" w:line="7"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 Open, Drip Proof</w:t>
      </w:r>
    </w:p>
    <w:p>
      <w:pPr>
        <w:spacing w:after="0" w:line="164"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pumps shall be of the horizontal, oil-lubricated type, specifically designed and guaranteed for quiet operation. Suitable for 125# working pressure.</w:t>
      </w:r>
    </w:p>
    <w:p>
      <w:pPr>
        <w:spacing w:after="0" w:line="209" w:lineRule="exact"/>
        <w:rPr>
          <w:rFonts w:ascii="Times New Roman" w:cs="Times New Roman" w:eastAsia="Times New Roman" w:hAnsi="Times New Roman"/>
          <w:sz w:val="17"/>
          <w:szCs w:val="17"/>
          <w:color w:val="auto"/>
        </w:rPr>
      </w:pPr>
    </w:p>
    <w:p>
      <w:pPr>
        <w:ind w:left="800" w:hanging="647"/>
        <w:spacing w:after="0" w:line="265" w:lineRule="auto"/>
        <w:tabs>
          <w:tab w:leader="none" w:pos="45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pumps shall have a ground and polished steel shaft with a hardened integral thrust collar. The shaft shall be supported by two horizontal sleeve bearings designed to circulate oil. The pumps are to be equipped with a watertight seal to prevent leakage. The motor shall be nonoverloading at any point on pump curve. Impellers shall be of bronze construction.</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b w:val="1"/>
          <w:bCs w:val="1"/>
          <w:color w:val="auto"/>
        </w:rPr>
        <w:t>2.2</w:t>
        <w:tab/>
        <w:t>CLOSE COUPLED END SUCTION</w:t>
      </w:r>
    </w:p>
    <w:p>
      <w:pPr>
        <w:spacing w:after="0" w:line="187" w:lineRule="exact"/>
        <w:rPr>
          <w:sz w:val="20"/>
          <w:szCs w:val="20"/>
          <w:color w:val="auto"/>
        </w:rPr>
      </w:pPr>
    </w:p>
    <w:p>
      <w:pPr>
        <w:ind w:left="460" w:hanging="307"/>
        <w:spacing w:after="0"/>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w:t>
      </w:r>
    </w:p>
    <w:p>
      <w:pPr>
        <w:spacing w:after="0" w:line="182"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Basis: Bell &amp; Gossett</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Acceptable Manufacturers:</w:t>
      </w:r>
    </w:p>
    <w:p>
      <w:pPr>
        <w:spacing w:after="0" w:line="7"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Armstrong</w:t>
      </w:r>
    </w:p>
    <w:p>
      <w:pPr>
        <w:spacing w:after="0" w:line="7"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Aurora</w:t>
      </w:r>
    </w:p>
    <w:p>
      <w:pPr>
        <w:spacing w:after="0" w:line="7"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Pacific</w:t>
      </w:r>
    </w:p>
    <w:p>
      <w:pPr>
        <w:spacing w:after="0" w:line="7"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Taco</w:t>
      </w:r>
    </w:p>
    <w:p>
      <w:pPr>
        <w:spacing w:after="0" w:line="7"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Peerless</w:t>
      </w:r>
    </w:p>
    <w:p>
      <w:pPr>
        <w:spacing w:after="0" w:line="164"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Conditions:</w:t>
      </w:r>
    </w:p>
    <w:p>
      <w:pPr>
        <w:spacing w:after="0" w:line="182"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150 psig</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Temperature: 225°F</w:t>
      </w:r>
    </w:p>
    <w:p>
      <w:pPr>
        <w:spacing w:after="0" w:line="191"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Model: 1531</w:t>
      </w:r>
    </w:p>
    <w:p>
      <w:pPr>
        <w:spacing w:after="0" w:line="209"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w:t>
      </w:r>
    </w:p>
    <w:p>
      <w:pPr>
        <w:spacing w:after="0" w:line="182"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Casing: Cast iron.</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Impeller: Bronze, statically and dynamically balanced.</w:t>
      </w:r>
    </w:p>
    <w:p>
      <w:pPr>
        <w:spacing w:after="0" w:line="7"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Wear Ring: Bronze.</w:t>
      </w:r>
    </w:p>
    <w:p>
      <w:pPr>
        <w:spacing w:after="0" w:line="7"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Shaft: Steel with bronze sleeve or stainless steel.</w:t>
      </w:r>
    </w:p>
    <w:p>
      <w:pPr>
        <w:spacing w:after="0" w:line="7"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Shaft Seal: Mechanical.</w:t>
      </w:r>
    </w:p>
    <w:p>
      <w:pPr>
        <w:spacing w:after="0" w:line="7"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Access: Back pull-out without disturbing piping.</w:t>
      </w:r>
    </w:p>
    <w:p>
      <w:pPr>
        <w:spacing w:after="0" w:line="14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b w:val="1"/>
          <w:bCs w:val="1"/>
          <w:color w:val="auto"/>
        </w:rPr>
        <w:t>2.3</w:t>
        <w:tab/>
        <w:t>BASE MOUNTED END SUCTION</w:t>
      </w:r>
    </w:p>
    <w:p>
      <w:pPr>
        <w:spacing w:after="0" w:line="187" w:lineRule="exact"/>
        <w:rPr>
          <w:sz w:val="20"/>
          <w:szCs w:val="20"/>
          <w:color w:val="auto"/>
        </w:rPr>
      </w:pPr>
    </w:p>
    <w:p>
      <w:pPr>
        <w:ind w:left="460" w:hanging="307"/>
        <w:spacing w:after="0"/>
        <w:tabs>
          <w:tab w:leader="none" w:pos="4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w:t>
      </w:r>
    </w:p>
    <w:p>
      <w:pPr>
        <w:spacing w:after="0" w:line="182"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Basis: Bell &amp; Gossett</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Acceptable Manufacturers:</w:t>
      </w:r>
    </w:p>
    <w:p>
      <w:pPr>
        <w:spacing w:after="0" w:line="7"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Allis-Chalmers</w:t>
      </w:r>
    </w:p>
    <w:p>
      <w:pPr>
        <w:spacing w:after="0" w:line="7"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Taco</w:t>
      </w:r>
    </w:p>
    <w:p>
      <w:pPr>
        <w:spacing w:after="0" w:line="7"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Armstrong</w:t>
      </w:r>
    </w:p>
    <w:p>
      <w:pPr>
        <w:spacing w:after="0" w:line="7"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Peerless</w:t>
      </w:r>
    </w:p>
    <w:p>
      <w:pPr>
        <w:spacing w:after="0" w:line="7" w:lineRule="exact"/>
        <w:rPr>
          <w:rFonts w:ascii="Times New Roman" w:cs="Times New Roman" w:eastAsia="Times New Roman" w:hAnsi="Times New Roman"/>
          <w:sz w:val="17"/>
          <w:szCs w:val="17"/>
          <w:color w:val="auto"/>
        </w:rPr>
      </w:pPr>
    </w:p>
    <w:p>
      <w:pPr>
        <w:ind w:left="1080" w:hanging="292"/>
        <w:spacing w:after="0"/>
        <w:tabs>
          <w:tab w:leader="none" w:pos="10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Aurora</w:t>
      </w:r>
    </w:p>
    <w:p>
      <w:pPr>
        <w:spacing w:after="0" w:line="164"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Conditions:</w:t>
      </w:r>
    </w:p>
    <w:p>
      <w:pPr>
        <w:spacing w:after="0" w:line="182"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150 psig</w:t>
      </w:r>
    </w:p>
    <w:p>
      <w:pPr>
        <w:spacing w:after="0" w:line="25" w:lineRule="exact"/>
        <w:rPr>
          <w:rFonts w:ascii="Times New Roman" w:cs="Times New Roman" w:eastAsia="Times New Roman" w:hAnsi="Times New Roman"/>
          <w:sz w:val="17"/>
          <w:szCs w:val="17"/>
          <w:color w:val="auto"/>
        </w:rPr>
      </w:pPr>
    </w:p>
    <w:p>
      <w:pPr>
        <w:ind w:left="800" w:hanging="323"/>
        <w:spacing w:after="0"/>
        <w:tabs>
          <w:tab w:leader="none" w:pos="80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Temperature: 225°F</w:t>
      </w:r>
    </w:p>
    <w:p>
      <w:pPr>
        <w:sectPr>
          <w:pgSz w:w="11900" w:h="16838" w:orient="portrait"/>
          <w:cols w:equalWidth="0" w:num="1">
            <w:col w:w="11160"/>
          </w:cols>
          <w:pgMar w:left="500" w:top="739" w:right="239" w:bottom="1440" w:gutter="0" w:footer="0" w:header="0"/>
        </w:sectPr>
      </w:pPr>
    </w:p>
    <w:bookmarkStart w:id="176" w:name="page177"/>
    <w:bookmarkEnd w:id="176"/>
    <w:p>
      <w:pPr>
        <w:ind w:left="720" w:hanging="307"/>
        <w:spacing w:after="0"/>
        <w:tabs>
          <w:tab w:leader="none" w:pos="72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w:t>
      </w:r>
    </w:p>
    <w:p>
      <w:pPr>
        <w:spacing w:after="0" w:line="196"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Casing: Cast iron, with integral pedestal support.</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Impeller: Bronze, statically and dynamically balanced.</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Wear Ring: Bronze, Replaceable</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Shaft: Steel with bronze sleeve or stainless steel.</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Shaft Seal: Mechanical, carbon-ceramic, internally flushed.</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Plate: Steel or cast iron. Integral drip pan on chilled water and waterside economizer service.</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Flexible couple.</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Bearings: Grease lubricated ball bearings. Bearing housing supported from base plate.</w:t>
      </w:r>
    </w:p>
    <w:p>
      <w:pPr>
        <w:spacing w:after="0" w:line="178" w:lineRule="exact"/>
        <w:rPr>
          <w:rFonts w:ascii="Times New Roman" w:cs="Times New Roman" w:eastAsia="Times New Roman" w:hAnsi="Times New Roman"/>
          <w:sz w:val="17"/>
          <w:szCs w:val="17"/>
          <w:color w:val="auto"/>
        </w:rPr>
      </w:pPr>
    </w:p>
    <w:p>
      <w:pPr>
        <w:ind w:left="1060" w:right="60" w:hanging="647"/>
        <w:spacing w:after="0" w:line="255" w:lineRule="auto"/>
        <w:tabs>
          <w:tab w:leader="none" w:pos="71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casing and suction head of the pump shall be of cast iron material and end suction, vertical split type. Casing and suction head shall be equipped with 125# ANSI flanges. Pumps shall be assembled on heavy duty fabricated structural steel base plates, which bases must include drip rim with tapped drain connections, which shall be piped to nearest floor drain. The impeller shall be of the enclosed type and shall be bronze. The impeller shall be statically and hydraulically balanced and keyed to the shaft. Efficiency and unit maximum BHP shall be quoted and guaranteed. Maximum head shall occur at and only at the no flow condition. The shaft shall be of steel material and removable shaft and shall be stainless steel. Bearings shall be single row, ball type and lubricated.</w:t>
      </w:r>
    </w:p>
    <w:p>
      <w:pPr>
        <w:spacing w:after="0" w:line="171" w:lineRule="exact"/>
        <w:rPr>
          <w:rFonts w:ascii="Times New Roman" w:cs="Times New Roman" w:eastAsia="Times New Roman" w:hAnsi="Times New Roman"/>
          <w:sz w:val="17"/>
          <w:szCs w:val="17"/>
          <w:color w:val="auto"/>
        </w:rPr>
      </w:pPr>
    </w:p>
    <w:p>
      <w:pPr>
        <w:ind w:left="1060" w:hanging="647"/>
        <w:spacing w:after="0" w:line="259" w:lineRule="auto"/>
        <w:tabs>
          <w:tab w:leader="none" w:pos="71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Stuffing box housing shall be deep enough to allow for a single John Crane type (1) mechanical seal. Each pump shall be flexibly coupled to a motor, Class B, DP enclosure. A flexible coupling with coupling guard shall be used. Except where otherwise noted, bearings shall be grease lubricated. Seals to be capable to withstand system condition for water temperature chemical treatment content as hereinafter specified. Provide John Crane cyclone separator to insure clear water flushing of the seal faces.</w:t>
      </w:r>
    </w:p>
    <w:p>
      <w:pPr>
        <w:spacing w:after="0" w:line="169" w:lineRule="exact"/>
        <w:rPr>
          <w:rFonts w:ascii="Times New Roman" w:cs="Times New Roman" w:eastAsia="Times New Roman" w:hAnsi="Times New Roman"/>
          <w:sz w:val="17"/>
          <w:szCs w:val="17"/>
          <w:color w:val="auto"/>
        </w:rPr>
      </w:pPr>
    </w:p>
    <w:p>
      <w:pPr>
        <w:ind w:left="1060" w:right="60" w:hanging="647"/>
        <w:spacing w:after="0" w:line="259" w:lineRule="auto"/>
        <w:tabs>
          <w:tab w:leader="none" w:pos="71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Pumps shall have capacities as scheduled on the Drawings. Pumps shall be selected to operate at or near their point of peak efficiency thus allowing for operation at capacities of approximately 25% beyond design capacity. In addition, the design impeller diameter shall be selected so that the design capacity of each pump (GPM and TDH) shall not exceed 90% of the capacity obtainable with maximum impeller diameter at the design speed for that model or as approved.</w:t>
      </w:r>
    </w:p>
    <w:p>
      <w:pPr>
        <w:spacing w:after="0" w:line="169"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Casings shall be provided with suitable steel lifting lugs.</w:t>
      </w:r>
    </w:p>
    <w:p>
      <w:pPr>
        <w:spacing w:after="0" w:line="209" w:lineRule="exact"/>
        <w:rPr>
          <w:rFonts w:ascii="Times New Roman" w:cs="Times New Roman" w:eastAsia="Times New Roman" w:hAnsi="Times New Roman"/>
          <w:sz w:val="17"/>
          <w:szCs w:val="17"/>
          <w:color w:val="auto"/>
        </w:rPr>
      </w:pPr>
    </w:p>
    <w:p>
      <w:pPr>
        <w:ind w:left="1060" w:right="100" w:hanging="647"/>
        <w:spacing w:after="0" w:line="265" w:lineRule="auto"/>
        <w:tabs>
          <w:tab w:leader="none" w:pos="71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Pump shall be drawn down slightly on the foundation bolt nuts. Provide a form or dam around the contour of the bed plate. Pour grout through holes, provided for this purpose, in sufficient quantity to reach a level of 3/4" to 1" above the bottom of the bed plate. Allow grouting to set thoroughly, then proceed with pipe connections.</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PART 3- EXECUTION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 INSTALLATION</w:t>
      </w:r>
    </w:p>
    <w:p>
      <w:pPr>
        <w:spacing w:after="0" w:line="187" w:lineRule="exact"/>
        <w:rPr>
          <w:sz w:val="20"/>
          <w:szCs w:val="20"/>
          <w:color w:val="auto"/>
        </w:rPr>
      </w:pPr>
    </w:p>
    <w:p>
      <w:pPr>
        <w:ind w:left="720" w:hanging="307"/>
        <w:spacing w:after="0"/>
        <w:tabs>
          <w:tab w:leader="none" w:pos="72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w:t>
      </w:r>
    </w:p>
    <w:p>
      <w:pPr>
        <w:spacing w:after="0" w:line="196"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 pumps to allow complete removal without dismantling connecting piping.</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air cock and drain connection on pump casing.</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from line size with long radius reducing elbows or concentric reducers, or suction diffusers.</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piping adjacent to pump so that no weight is carried on pump casings.</w:t>
      </w:r>
    </w:p>
    <w:p>
      <w:pPr>
        <w:spacing w:after="0" w:line="7" w:lineRule="exact"/>
        <w:rPr>
          <w:rFonts w:ascii="Times New Roman" w:cs="Times New Roman" w:eastAsia="Times New Roman" w:hAnsi="Times New Roman"/>
          <w:sz w:val="17"/>
          <w:szCs w:val="17"/>
          <w:color w:val="auto"/>
        </w:rPr>
      </w:pPr>
    </w:p>
    <w:p>
      <w:pPr>
        <w:ind w:left="1720" w:right="900" w:hanging="983"/>
        <w:spacing w:after="0" w:line="259" w:lineRule="auto"/>
        <w:tabs>
          <w:tab w:leader="none" w:pos="1054"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manufacturers recommendations for support of inline pumps. Provide support for motors when mounted horizontally. Verify Manufacturer's allowable motor position and install accordingly.</w:t>
      </w:r>
    </w:p>
    <w:p>
      <w:pPr>
        <w:sectPr>
          <w:pgSz w:w="11900" w:h="16838" w:orient="portrait"/>
          <w:cols w:equalWidth="0" w:num="1">
            <w:col w:w="11400"/>
          </w:cols>
          <w:pgMar w:left="240" w:top="739" w:right="259" w:bottom="1440" w:gutter="0" w:footer="0" w:header="0"/>
        </w:sectPr>
      </w:pPr>
    </w:p>
    <w:bookmarkStart w:id="177" w:name="page178"/>
    <w:bookmarkEnd w:id="177"/>
    <w:p>
      <w:pPr>
        <w:ind w:left="980" w:hanging="323"/>
        <w:spacing w:after="0"/>
        <w:tabs>
          <w:tab w:leader="none" w:pos="9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supports under elbows on pump suction and discharge line.</w:t>
      </w:r>
    </w:p>
    <w:p>
      <w:pPr>
        <w:spacing w:after="0" w:line="25"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pressure gauge with piping and gauge cock to measure pressure of strainer inlet, pump suction, and pump discharge.</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 representative shall verify proper pump operation.</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gate valves to allow isolation of pump from system.</w:t>
      </w:r>
    </w:p>
    <w:p>
      <w:pPr>
        <w:spacing w:after="0" w:line="7"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check valve as pump discharge.</w:t>
      </w:r>
    </w:p>
    <w:p>
      <w:pPr>
        <w:spacing w:after="0" w:line="191"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 Mount- Inline Pumps:</w:t>
      </w:r>
    </w:p>
    <w:p>
      <w:pPr>
        <w:spacing w:after="0" w:line="209"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 motor position (vertical or horizontal) with manufacturer's installation instructions.</w:t>
      </w:r>
    </w:p>
    <w:p>
      <w:pPr>
        <w:spacing w:after="0" w:line="25" w:lineRule="exact"/>
        <w:rPr>
          <w:rFonts w:ascii="Times New Roman" w:cs="Times New Roman" w:eastAsia="Times New Roman" w:hAnsi="Times New Roman"/>
          <w:sz w:val="17"/>
          <w:szCs w:val="17"/>
          <w:color w:val="auto"/>
        </w:rPr>
      </w:pPr>
    </w:p>
    <w:p>
      <w:pPr>
        <w:ind w:left="980" w:right="4220" w:hanging="323"/>
        <w:spacing w:after="0" w:line="248" w:lineRule="auto"/>
        <w:tabs>
          <w:tab w:leader="none" w:pos="9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proper pump support in accordance with manufacturer's installation instructions. Do not support pump from equipment.</w:t>
      </w:r>
    </w:p>
    <w:p>
      <w:pPr>
        <w:spacing w:after="0" w:line="1"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adequate clearance around pump for motor and shaft removal.</w:t>
      </w:r>
    </w:p>
    <w:p>
      <w:pPr>
        <w:spacing w:after="0" w:line="191"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and Alignment- Base Mounted Pumps:</w:t>
      </w:r>
    </w:p>
    <w:p>
      <w:pPr>
        <w:spacing w:after="0" w:line="209" w:lineRule="exact"/>
        <w:rPr>
          <w:rFonts w:ascii="Times New Roman" w:cs="Times New Roman" w:eastAsia="Times New Roman" w:hAnsi="Times New Roman"/>
          <w:sz w:val="17"/>
          <w:szCs w:val="17"/>
          <w:color w:val="auto"/>
        </w:rPr>
      </w:pPr>
    </w:p>
    <w:p>
      <w:pPr>
        <w:ind w:left="980" w:hanging="323"/>
        <w:spacing w:after="0"/>
        <w:tabs>
          <w:tab w:leader="none" w:pos="9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any piping or electrical connections are made, level and align pumps and motors on bases and foundation pads using an indicating micrometer.</w:t>
      </w:r>
    </w:p>
    <w:p>
      <w:pPr>
        <w:spacing w:after="0" w:line="25" w:lineRule="exact"/>
        <w:rPr>
          <w:rFonts w:ascii="Times New Roman" w:cs="Times New Roman" w:eastAsia="Times New Roman" w:hAnsi="Times New Roman"/>
          <w:sz w:val="17"/>
          <w:szCs w:val="17"/>
          <w:color w:val="auto"/>
        </w:rPr>
      </w:pPr>
    </w:p>
    <w:p>
      <w:pPr>
        <w:ind w:left="980" w:hanging="323"/>
        <w:spacing w:after="0" w:line="232" w:lineRule="auto"/>
        <w:tabs>
          <w:tab w:leader="none" w:pos="9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connections have been made and just prior to placing each pump in operation, recheck levels and alignments.</w:t>
      </w:r>
    </w:p>
    <w:p>
      <w:pPr>
        <w:ind w:left="1280" w:hanging="299"/>
        <w:spacing w:after="0" w:line="215" w:lineRule="auto"/>
        <w:tabs>
          <w:tab w:leader="none" w:pos="1280"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adjustments to assure that shaft rotates freely when turned by hand and that pump is quiet in operation.</w:t>
      </w:r>
    </w:p>
    <w:p>
      <w:pPr>
        <w:ind w:left="1280" w:hanging="299"/>
        <w:spacing w:after="0"/>
        <w:tabs>
          <w:tab w:leader="none" w:pos="1280"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adjustments are completed, tightly bolt and grout motor and pump.</w:t>
      </w:r>
    </w:p>
    <w:p>
      <w:pPr>
        <w:spacing w:after="0" w:line="191"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Lubrication: After completion of the system and before start-up, lubricate the pumps.</w:t>
      </w:r>
    </w:p>
    <w:p>
      <w:pPr>
        <w:spacing w:after="0" w:line="209"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Impeller Trim: Remove impeller and machine down if more than 25% of the total pump head must be throttled by the pump discharge valve.</w:t>
      </w:r>
    </w:p>
    <w:p>
      <w:pPr>
        <w:spacing w:after="0" w:line="209"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 drip pan base to floor drain.</w:t>
      </w:r>
    </w:p>
    <w:p>
      <w:pPr>
        <w:spacing w:after="0" w:line="209" w:lineRule="exact"/>
        <w:rPr>
          <w:rFonts w:ascii="Times New Roman" w:cs="Times New Roman" w:eastAsia="Times New Roman" w:hAnsi="Times New Roman"/>
          <w:sz w:val="17"/>
          <w:szCs w:val="17"/>
          <w:color w:val="auto"/>
        </w:rPr>
      </w:pPr>
    </w:p>
    <w:p>
      <w:pPr>
        <w:ind w:left="640" w:hanging="307"/>
        <w:spacing w:after="0"/>
        <w:tabs>
          <w:tab w:leader="none" w:pos="6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grout base mounted pumps to housekeeping pads or inertia base per manufacturers recommendations.</w:t>
      </w:r>
    </w:p>
    <w:p>
      <w:pPr>
        <w:spacing w:after="0" w:line="209" w:lineRule="exact"/>
        <w:rPr>
          <w:rFonts w:ascii="Times New Roman" w:cs="Times New Roman" w:eastAsia="Times New Roman" w:hAnsi="Times New Roman"/>
          <w:sz w:val="17"/>
          <w:szCs w:val="17"/>
          <w:color w:val="auto"/>
        </w:rPr>
      </w:pPr>
    </w:p>
    <w:p>
      <w:pPr>
        <w:ind w:left="980" w:right="260" w:hanging="647"/>
        <w:spacing w:after="0" w:line="259" w:lineRule="auto"/>
        <w:tabs>
          <w:tab w:leader="none" w:pos="63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pump casings shall be hydrostatically tested at 1-1/2" times design working pressure. The pump manufacturer shall be responsible for his service department aligning in the field prior to start-up of all flexibly coupled units. Alignment shall be with dial indicator with accuracy of plus or minus</w:t>
      </w:r>
    </w:p>
    <w:p>
      <w:pPr>
        <w:spacing w:after="0" w:line="1" w:lineRule="exact"/>
        <w:rPr>
          <w:rFonts w:ascii="Times New Roman" w:cs="Times New Roman" w:eastAsia="Times New Roman" w:hAnsi="Times New Roman"/>
          <w:sz w:val="17"/>
          <w:szCs w:val="17"/>
          <w:color w:val="auto"/>
        </w:rPr>
      </w:pPr>
    </w:p>
    <w:p>
      <w:pPr>
        <w:ind w:left="98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.002 inches. The pump manufacturer must submit a written report certifying that the alignment work had been performed by his personnel and that the pumps are ready for operation.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 OF SECTION</w:t>
      </w:r>
    </w:p>
    <w:p>
      <w:pPr>
        <w:sectPr>
          <w:pgSz w:w="11900" w:h="16838" w:orient="portrait"/>
          <w:cols w:equalWidth="0" w:num="1">
            <w:col w:w="11280"/>
          </w:cols>
          <w:pgMar w:left="320" w:top="739" w:right="299" w:bottom="1440" w:gutter="0" w:footer="0" w:header="0"/>
        </w:sectPr>
      </w:pPr>
    </w:p>
    <w:bookmarkStart w:id="178" w:name="page179"/>
    <w:bookmarkEnd w:id="178"/>
    <w:p>
      <w:pPr>
        <w:ind w:left="6700"/>
        <w:spacing w:after="0"/>
        <w:rPr>
          <w:sz w:val="20"/>
          <w:szCs w:val="20"/>
          <w:color w:val="auto"/>
        </w:rPr>
      </w:pPr>
      <w:r>
        <w:rPr>
          <w:rFonts w:ascii="Times New Roman" w:cs="Times New Roman" w:eastAsia="Times New Roman" w:hAnsi="Times New Roman"/>
          <w:sz w:val="17"/>
          <w:szCs w:val="17"/>
          <w:b w:val="1"/>
          <w:bCs w:val="1"/>
          <w:color w:val="auto"/>
        </w:rPr>
        <w:t>SECTION 23 57 00</w:t>
      </w:r>
    </w:p>
    <w:p>
      <w:pPr>
        <w:spacing w:after="0" w:line="183"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7"/>
          <w:szCs w:val="17"/>
          <w:b w:val="1"/>
          <w:bCs w:val="1"/>
          <w:color w:val="auto"/>
        </w:rPr>
        <w:t>HEAT EXCHANGERS</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PART 1 -GENERAL</w:t>
      </w:r>
    </w:p>
    <w:p>
      <w:pPr>
        <w:spacing w:after="0" w:line="169" w:lineRule="exact"/>
        <w:rPr>
          <w:sz w:val="20"/>
          <w:szCs w:val="20"/>
          <w:color w:val="auto"/>
        </w:rPr>
      </w:pPr>
    </w:p>
    <w:p>
      <w:pPr>
        <w:ind w:left="26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1.1</w:t>
        <w:tab/>
        <w:t>QUALITY ASSURANCE</w:t>
      </w:r>
    </w:p>
    <w:p>
      <w:pPr>
        <w:spacing w:after="0" w:line="187" w:lineRule="exact"/>
        <w:rPr>
          <w:sz w:val="20"/>
          <w:szCs w:val="20"/>
          <w:color w:val="auto"/>
        </w:rPr>
      </w:pPr>
    </w:p>
    <w:p>
      <w:pPr>
        <w:ind w:left="720" w:hanging="307"/>
        <w:spacing w:after="0"/>
        <w:tabs>
          <w:tab w:leader="none" w:pos="7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ASME construction:</w:t>
      </w:r>
    </w:p>
    <w:p>
      <w:pPr>
        <w:spacing w:after="0" w:line="182"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exchanger with ASME "U" stamp.</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inspection certificate.</w:t>
      </w:r>
    </w:p>
    <w:p>
      <w:pPr>
        <w:spacing w:after="0" w:line="191"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Submittals: Submit manufacturer's product data.</w:t>
      </w:r>
    </w:p>
    <w:p>
      <w:pPr>
        <w:spacing w:after="0" w:line="209"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the following:</w:t>
      </w:r>
    </w:p>
    <w:p>
      <w:pPr>
        <w:spacing w:after="0" w:line="25"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w:t>
      </w:r>
    </w:p>
    <w:p>
      <w:pPr>
        <w:spacing w:after="0" w:line="7"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working pressure and temperature.</w:t>
      </w:r>
    </w:p>
    <w:p>
      <w:pPr>
        <w:spacing w:after="0" w:line="7"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and leaving conditions…</w:t>
      </w:r>
    </w:p>
    <w:p>
      <w:pPr>
        <w:spacing w:after="0" w:line="7"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Fouling factors.</w:t>
      </w:r>
    </w:p>
    <w:p>
      <w:pPr>
        <w:spacing w:after="0" w:line="7"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Flow rates.</w:t>
      </w:r>
    </w:p>
    <w:p>
      <w:pPr>
        <w:spacing w:after="0" w:line="7" w:lineRule="exact"/>
        <w:rPr>
          <w:rFonts w:ascii="Times New Roman" w:cs="Times New Roman" w:eastAsia="Times New Roman" w:hAnsi="Times New Roman"/>
          <w:sz w:val="17"/>
          <w:szCs w:val="17"/>
          <w:color w:val="auto"/>
        </w:rPr>
      </w:pPr>
    </w:p>
    <w:p>
      <w:pPr>
        <w:ind w:left="1380" w:hanging="319"/>
        <w:spacing w:after="0"/>
        <w:tabs>
          <w:tab w:leader="none" w:pos="138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drops.</w:t>
      </w: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PART 2-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PLATE TYPE HEAT EXCHANGERS</w:t>
      </w:r>
    </w:p>
    <w:p>
      <w:pPr>
        <w:spacing w:after="0" w:line="187" w:lineRule="exact"/>
        <w:rPr>
          <w:sz w:val="20"/>
          <w:szCs w:val="20"/>
          <w:color w:val="auto"/>
        </w:rPr>
      </w:pPr>
    </w:p>
    <w:p>
      <w:pPr>
        <w:ind w:left="720" w:hanging="307"/>
        <w:spacing w:after="0"/>
        <w:tabs>
          <w:tab w:leader="none" w:pos="7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w:t>
      </w:r>
    </w:p>
    <w:p>
      <w:pPr>
        <w:spacing w:after="0" w:line="182"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 Concepts, Inc</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Bell &amp; Gossett</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Normark.</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Baltimore Air Coil</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Graham</w:t>
      </w:r>
    </w:p>
    <w:p>
      <w:pPr>
        <w:spacing w:after="0" w:line="164"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w:t>
      </w:r>
    </w:p>
    <w:p>
      <w:pPr>
        <w:spacing w:after="0" w:line="182"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Plates: Stainless steel.</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Frames: Carbon steel.</w:t>
      </w:r>
    </w:p>
    <w:p>
      <w:pPr>
        <w:spacing w:after="0" w:line="7" w:lineRule="exact"/>
        <w:rPr>
          <w:rFonts w:ascii="Times New Roman" w:cs="Times New Roman" w:eastAsia="Times New Roman" w:hAnsi="Times New Roman"/>
          <w:sz w:val="17"/>
          <w:szCs w:val="17"/>
          <w:color w:val="auto"/>
        </w:rPr>
      </w:pPr>
    </w:p>
    <w:p>
      <w:pPr>
        <w:ind w:left="1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Finish: Baked enamel.</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Gaskets: Nitrile rubber.</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Nozzles: 150 lb. Steel flanged.</w:t>
      </w:r>
    </w:p>
    <w:p>
      <w:pPr>
        <w:spacing w:after="0" w:line="164"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Certifications:</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AHRI</w:t>
      </w:r>
    </w:p>
    <w:p>
      <w:pPr>
        <w:spacing w:after="0" w:line="164"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warranty period shall be 3 years from date of shipment.</w:t>
      </w:r>
    </w:p>
    <w:p>
      <w:pPr>
        <w:spacing w:after="0" w:line="164"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FRAME COMPONENTS</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Preference will be given to single pass designs with all connections on the fixed cover.</w:t>
      </w:r>
    </w:p>
    <w:p>
      <w:pPr>
        <w:sectPr>
          <w:pgSz w:w="11900" w:h="16838" w:orient="portrait"/>
          <w:cols w:equalWidth="0" w:num="1">
            <w:col w:w="10219"/>
          </w:cols>
          <w:pgMar w:left="240" w:top="789" w:right="1440" w:bottom="1440" w:gutter="0" w:footer="0" w:header="0"/>
        </w:sectPr>
      </w:pPr>
    </w:p>
    <w:bookmarkStart w:id="179" w:name="page180"/>
    <w:bookmarkEnd w:id="179"/>
    <w:p>
      <w:pPr>
        <w:ind w:left="1307" w:right="80" w:hanging="983"/>
        <w:spacing w:after="0" w:line="259"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and movable covers shall be of sufficient thickness for the design pressure and code requirements and shall have no welded reinforcements or stiffeners.</w:t>
      </w:r>
    </w:p>
    <w:p>
      <w:pPr>
        <w:spacing w:after="0" w:line="1" w:lineRule="exact"/>
        <w:rPr>
          <w:rFonts w:ascii="Times New Roman" w:cs="Times New Roman" w:eastAsia="Times New Roman" w:hAnsi="Times New Roman"/>
          <w:sz w:val="17"/>
          <w:szCs w:val="17"/>
          <w:color w:val="auto"/>
        </w:rPr>
      </w:pPr>
    </w:p>
    <w:p>
      <w:pPr>
        <w:ind w:left="1307" w:right="300" w:hanging="983"/>
        <w:spacing w:after="0" w:line="248"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movable cover shall be provided with a steel roller bearing for units greater than 50" in height (from bottom of feet). This allows the movable cover to be moved without additional rigging or handling equipment.</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and guide bars shall be designed to allow for expansion of at least 15%.</w:t>
      </w:r>
    </w:p>
    <w:p>
      <w:pPr>
        <w:spacing w:after="0" w:line="7" w:lineRule="exact"/>
        <w:rPr>
          <w:rFonts w:ascii="Times New Roman" w:cs="Times New Roman" w:eastAsia="Times New Roman" w:hAnsi="Times New Roman"/>
          <w:sz w:val="17"/>
          <w:szCs w:val="17"/>
          <w:color w:val="auto"/>
        </w:rPr>
      </w:pPr>
    </w:p>
    <w:p>
      <w:pPr>
        <w:ind w:left="1307" w:right="340" w:hanging="983"/>
        <w:spacing w:after="0" w:line="248"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and guide bars guiding system shall be precision manufactured of stainless steel to prohibit corrosion and facilitate movement of the plates. Painted or plated surfaces are not permitted.</w:t>
      </w:r>
    </w:p>
    <w:p>
      <w:pPr>
        <w:spacing w:after="0" w:line="1" w:lineRule="exact"/>
        <w:rPr>
          <w:rFonts w:ascii="Times New Roman" w:cs="Times New Roman" w:eastAsia="Times New Roman" w:hAnsi="Times New Roman"/>
          <w:sz w:val="17"/>
          <w:szCs w:val="17"/>
          <w:color w:val="auto"/>
        </w:rPr>
      </w:pPr>
    </w:p>
    <w:p>
      <w:pPr>
        <w:ind w:left="1307" w:right="660" w:hanging="983"/>
        <w:spacing w:after="0" w:line="248"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Entire frame shall be bolted together to allow unit to be field assembled to permit rigging into place. Welding of the frame components is not permitted.</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Plate and carrying bar design shall permit the removal or access to any plate in the plate pack without the need to remove any other plates.</w:t>
      </w:r>
    </w:p>
    <w:p>
      <w:pPr>
        <w:spacing w:after="0" w:line="7"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lifting lugs designed to allow lifting of the entire units flooded weight.</w:t>
      </w:r>
    </w:p>
    <w:p>
      <w:pPr>
        <w:spacing w:after="0" w:line="7" w:lineRule="exact"/>
        <w:rPr>
          <w:rFonts w:ascii="Times New Roman" w:cs="Times New Roman" w:eastAsia="Times New Roman" w:hAnsi="Times New Roman"/>
          <w:sz w:val="17"/>
          <w:szCs w:val="17"/>
          <w:color w:val="auto"/>
        </w:rPr>
      </w:pPr>
    </w:p>
    <w:p>
      <w:pPr>
        <w:ind w:left="1307" w:right="440" w:hanging="983"/>
        <w:spacing w:after="0" w:line="259"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steel surfaces shall be thoroughly cleaned and prepared for painting. Painting over mill scale is not acceptable. All steel components shall be Aliphatic Acrylic Polyurethane coated.</w:t>
      </w:r>
    </w:p>
    <w:p>
      <w:pPr>
        <w:spacing w:after="0" w:line="140"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CONNECTIONS</w:t>
      </w:r>
    </w:p>
    <w:p>
      <w:pPr>
        <w:spacing w:after="0" w:line="25"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Connections shall be ANSI flanged type.</w:t>
      </w:r>
    </w:p>
    <w:p>
      <w:pPr>
        <w:spacing w:after="0" w:line="7" w:lineRule="exact"/>
        <w:rPr>
          <w:rFonts w:ascii="Times New Roman" w:cs="Times New Roman" w:eastAsia="Times New Roman" w:hAnsi="Times New Roman"/>
          <w:sz w:val="17"/>
          <w:szCs w:val="17"/>
          <w:color w:val="auto"/>
        </w:rPr>
      </w:pPr>
    </w:p>
    <w:p>
      <w:pPr>
        <w:ind w:left="1307" w:right="760" w:hanging="983"/>
        <w:spacing w:after="0" w:line="259"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avoid leakage on port area, studded port design should be provided on heat exchangers with connections greater than 2". Flanged nozzle connections are not acceptable.</w:t>
      </w:r>
    </w:p>
    <w:p>
      <w:pPr>
        <w:spacing w:after="0" w:line="140"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COMPRESSION BOLTS</w:t>
      </w:r>
    </w:p>
    <w:p>
      <w:pPr>
        <w:spacing w:after="0" w:line="25" w:lineRule="exact"/>
        <w:rPr>
          <w:rFonts w:ascii="Times New Roman" w:cs="Times New Roman" w:eastAsia="Times New Roman" w:hAnsi="Times New Roman"/>
          <w:sz w:val="17"/>
          <w:szCs w:val="17"/>
          <w:color w:val="auto"/>
        </w:rPr>
      </w:pPr>
    </w:p>
    <w:p>
      <w:pPr>
        <w:ind w:left="1307" w:right="20"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Compression bolts shall not require special tools and shall be equipped with lock washers at the movable cover to facilitate opening and closing of the unit from the fixed cover.</w:t>
      </w:r>
    </w:p>
    <w:p>
      <w:pPr>
        <w:spacing w:after="0" w:line="1" w:lineRule="exact"/>
        <w:rPr>
          <w:rFonts w:ascii="Times New Roman" w:cs="Times New Roman" w:eastAsia="Times New Roman" w:hAnsi="Times New Roman"/>
          <w:sz w:val="17"/>
          <w:szCs w:val="17"/>
          <w:color w:val="auto"/>
        </w:rPr>
      </w:pPr>
    </w:p>
    <w:p>
      <w:pPr>
        <w:ind w:left="1307"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Compression bolts shall be equipped with captive nuts at the fixed cover and threaded nuts at the movable cover. Welding of the nut to the closure bolt is prohibited.</w:t>
      </w:r>
    </w:p>
    <w:p>
      <w:pPr>
        <w:spacing w:after="0" w:line="1" w:lineRule="exact"/>
        <w:rPr>
          <w:rFonts w:ascii="Times New Roman" w:cs="Times New Roman" w:eastAsia="Times New Roman" w:hAnsi="Times New Roman"/>
          <w:sz w:val="17"/>
          <w:szCs w:val="17"/>
          <w:color w:val="auto"/>
        </w:rPr>
      </w:pPr>
    </w:p>
    <w:p>
      <w:pPr>
        <w:ind w:left="1307"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Bolts shall be provided with rolled threads to reduce galling and double width hex nuts to adequately distribute the load, plus ball bearing box washers at all critical closing bolts on all units greater than 50" in height.</w:t>
      </w:r>
    </w:p>
    <w:p>
      <w:pPr>
        <w:spacing w:after="0" w:line="1" w:lineRule="exact"/>
        <w:rPr>
          <w:rFonts w:ascii="Times New Roman" w:cs="Times New Roman" w:eastAsia="Times New Roman" w:hAnsi="Times New Roman"/>
          <w:sz w:val="17"/>
          <w:szCs w:val="17"/>
          <w:color w:val="auto"/>
        </w:rPr>
      </w:pPr>
    </w:p>
    <w:p>
      <w:pPr>
        <w:ind w:left="1307" w:right="100"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Bolts shall be liberally coated with lubricant and rust prevention caoting, and covered with a plastic protective sleeving for protection. Zinc plating is prohibited.</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bolting system shall be designed so that only (4) compression bolts are required opening and closing of the unit.</w:t>
      </w:r>
    </w:p>
    <w:p>
      <w:pPr>
        <w:spacing w:after="0" w:line="16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PLATES</w:t>
      </w:r>
    </w:p>
    <w:p>
      <w:pPr>
        <w:spacing w:after="0" w:line="25" w:lineRule="exact"/>
        <w:rPr>
          <w:rFonts w:ascii="Times New Roman" w:cs="Times New Roman" w:eastAsia="Times New Roman" w:hAnsi="Times New Roman"/>
          <w:sz w:val="17"/>
          <w:szCs w:val="17"/>
          <w:color w:val="auto"/>
        </w:rPr>
      </w:pPr>
    </w:p>
    <w:p>
      <w:pPr>
        <w:ind w:left="1307" w:right="660"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plate and frame heat exchanger shall consist of pressed type ALLOY 304 to provide the required heat transfer area to meet the operating conditions specified.</w:t>
      </w:r>
    </w:p>
    <w:p>
      <w:pPr>
        <w:spacing w:after="0" w:line="1" w:lineRule="exact"/>
        <w:rPr>
          <w:rFonts w:ascii="Times New Roman" w:cs="Times New Roman" w:eastAsia="Times New Roman" w:hAnsi="Times New Roman"/>
          <w:sz w:val="17"/>
          <w:szCs w:val="17"/>
          <w:color w:val="auto"/>
        </w:rPr>
      </w:pPr>
    </w:p>
    <w:p>
      <w:pPr>
        <w:ind w:left="647" w:right="4400" w:hanging="323"/>
        <w:spacing w:after="0" w:line="248" w:lineRule="auto"/>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plates shall be pressed from a homogeneous single metal- sheet in one step. No multi-stage pressing of one sheet is allowed.</w:t>
      </w:r>
    </w:p>
    <w:p>
      <w:pPr>
        <w:spacing w:after="0" w:line="1" w:lineRule="exact"/>
        <w:rPr>
          <w:rFonts w:ascii="Times New Roman" w:cs="Times New Roman" w:eastAsia="Times New Roman" w:hAnsi="Times New Roman"/>
          <w:sz w:val="17"/>
          <w:szCs w:val="17"/>
          <w:color w:val="auto"/>
        </w:rPr>
      </w:pPr>
    </w:p>
    <w:p>
      <w:pPr>
        <w:ind w:left="1307" w:right="20"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heat transfer plate to be with herringbone corrugations to optimize heat transfer with nominal pressure loses. Corrugations to be designed to provide support to adjacent plates at evenly distributed support points to allow pressurization of each circuit to a full differential of 1.3 times the design pressure for one hour without buckling or deformation of the heat transfer plates.</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plates and gaskets shall be permanently marked to identify quality and material.</w:t>
      </w:r>
    </w:p>
    <w:p>
      <w:pPr>
        <w:spacing w:after="0" w:line="7" w:lineRule="exact"/>
        <w:rPr>
          <w:rFonts w:ascii="Times New Roman" w:cs="Times New Roman" w:eastAsia="Times New Roman" w:hAnsi="Times New Roman"/>
          <w:sz w:val="17"/>
          <w:szCs w:val="17"/>
          <w:color w:val="auto"/>
        </w:rPr>
      </w:pPr>
    </w:p>
    <w:p>
      <w:pPr>
        <w:ind w:left="1307" w:right="560"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heat transfer plate shall have a built-in self-aligning system to accurately locate the plates in the frame assembly and prevent lateral plate movement and maintain maximum gasket contact under pressure.</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Plates shall be reinforced on the upper and lower mounting slots to avoid bending hangers on the plates.</w:t>
      </w:r>
    </w:p>
    <w:p>
      <w:pPr>
        <w:spacing w:after="0" w:line="7" w:lineRule="exact"/>
        <w:rPr>
          <w:rFonts w:ascii="Times New Roman" w:cs="Times New Roman" w:eastAsia="Times New Roman" w:hAnsi="Times New Roman"/>
          <w:sz w:val="17"/>
          <w:szCs w:val="17"/>
          <w:color w:val="auto"/>
        </w:rPr>
      </w:pPr>
    </w:p>
    <w:p>
      <w:pPr>
        <w:ind w:left="1307" w:hanging="983"/>
        <w:spacing w:after="0" w:line="248" w:lineRule="auto"/>
        <w:tabs>
          <w:tab w:leader="none" w:pos="64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plate and frame heat exchanger shall be designed to perform the capacities and pressure drops as shown on the schedule. Plates to be ALLOY 304 with 28 finish and tapered gasket grooves.</w:t>
      </w:r>
    </w:p>
    <w:p>
      <w:pPr>
        <w:spacing w:after="0" w:line="1" w:lineRule="exact"/>
        <w:rPr>
          <w:rFonts w:ascii="Times New Roman" w:cs="Times New Roman" w:eastAsia="Times New Roman" w:hAnsi="Times New Roman"/>
          <w:sz w:val="17"/>
          <w:szCs w:val="17"/>
          <w:color w:val="auto"/>
        </w:rPr>
      </w:pPr>
    </w:p>
    <w:p>
      <w:pPr>
        <w:ind w:left="647" w:hanging="323"/>
        <w:spacing w:after="0"/>
        <w:tabs>
          <w:tab w:leader="none" w:pos="647"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plate pack shall be covered with an aluminum shroud in accordance with OSHA.</w:t>
      </w:r>
    </w:p>
    <w:p>
      <w:pPr>
        <w:sectPr>
          <w:pgSz w:w="11900" w:h="16838" w:orient="portrait"/>
          <w:cols w:equalWidth="0" w:num="1">
            <w:col w:w="10947"/>
          </w:cols>
          <w:pgMar w:left="653" w:top="726" w:right="299" w:bottom="1440" w:gutter="0" w:footer="0" w:header="0"/>
        </w:sectPr>
      </w:pPr>
    </w:p>
    <w:bookmarkStart w:id="180" w:name="page181"/>
    <w:bookmarkEnd w:id="180"/>
    <w:p>
      <w:pPr>
        <w:ind w:left="720" w:hanging="307"/>
        <w:spacing w:after="0"/>
        <w:tabs>
          <w:tab w:leader="none" w:pos="7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GASKETS</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Gaskets shall have relieving grooves to prevent intermixing of fluids and cause leak to flow to outside of unit.</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piece molded CLIP-ON NBR gaskets are required and shall fit around both the heat transfer area and the port holes.</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Gaskets shall not contain adhesives.</w:t>
      </w:r>
    </w:p>
    <w:p>
      <w:pPr>
        <w:spacing w:after="0" w:line="151" w:lineRule="exact"/>
        <w:rPr>
          <w:rFonts w:ascii="Times New Roman" w:cs="Times New Roman" w:eastAsia="Times New Roman" w:hAnsi="Times New Roman"/>
          <w:sz w:val="17"/>
          <w:szCs w:val="17"/>
          <w:color w:val="auto"/>
        </w:rPr>
      </w:pPr>
    </w:p>
    <w:p>
      <w:pPr>
        <w:ind w:left="720" w:hanging="307"/>
        <w:spacing w:after="0"/>
        <w:tabs>
          <w:tab w:leader="none" w:pos="7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INSULATION</w:t>
      </w:r>
    </w:p>
    <w:p>
      <w:pPr>
        <w:spacing w:after="0" w:line="25"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manufacturer specified insulation kit with vapor barrier and sufficient insulation thickness to prevent condensation</w:t>
      </w:r>
    </w:p>
    <w:p>
      <w:pPr>
        <w:spacing w:after="0" w:line="7" w:lineRule="exact"/>
        <w:rPr>
          <w:rFonts w:ascii="Times New Roman" w:cs="Times New Roman" w:eastAsia="Times New Roman" w:hAnsi="Times New Roman"/>
          <w:sz w:val="17"/>
          <w:szCs w:val="17"/>
          <w:color w:val="auto"/>
        </w:rPr>
      </w:pPr>
    </w:p>
    <w:p>
      <w:pPr>
        <w:ind w:left="1060" w:hanging="323"/>
        <w:spacing w:after="0"/>
        <w:tabs>
          <w:tab w:leader="none" w:pos="10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Insulation kit shall be easily removable for inspection and maintenance of the heat exchanger.</w:t>
      </w: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PART 3 ·EXECUTION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 INSTALLATION OF PLATE TYPE HEAT EXCHANGERS</w:t>
      </w:r>
    </w:p>
    <w:p>
      <w:pPr>
        <w:spacing w:after="0" w:line="187" w:lineRule="exact"/>
        <w:rPr>
          <w:sz w:val="20"/>
          <w:szCs w:val="20"/>
          <w:color w:val="auto"/>
        </w:rPr>
      </w:pPr>
    </w:p>
    <w:p>
      <w:pPr>
        <w:ind w:left="720" w:hanging="307"/>
        <w:spacing w:after="0"/>
        <w:tabs>
          <w:tab w:leader="none" w:pos="7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with piping arrangement so that plates may be removed.</w:t>
      </w:r>
    </w:p>
    <w:p>
      <w:pPr>
        <w:spacing w:after="0" w:line="209" w:lineRule="exact"/>
        <w:rPr>
          <w:rFonts w:ascii="Times New Roman" w:cs="Times New Roman" w:eastAsia="Times New Roman" w:hAnsi="Times New Roman"/>
          <w:sz w:val="17"/>
          <w:szCs w:val="17"/>
          <w:color w:val="auto"/>
        </w:rPr>
      </w:pP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 OF SECTION</w:t>
      </w:r>
    </w:p>
    <w:p>
      <w:pPr>
        <w:sectPr>
          <w:pgSz w:w="11900" w:h="16838" w:orient="portrait"/>
          <w:cols w:equalWidth="0" w:num="1">
            <w:col w:w="10219"/>
          </w:cols>
          <w:pgMar w:left="240" w:top="753" w:right="1440"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59"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59" w:right="1440"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59"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72" w:right="1440"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72"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72"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7"/>
          <w:szCs w:val="17"/>
          <w:u w:val="single" w:color="auto"/>
          <w:color w:val="auto"/>
        </w:rPr>
        <w:t>[IMAGE]</w:t>
      </w:r>
    </w:p>
    <w:p>
      <w:pPr>
        <w:sectPr>
          <w:pgSz w:w="11900" w:h="16838" w:orient="portrait"/>
          <w:cols w:equalWidth="0" w:num="1">
            <w:col w:w="9019"/>
          </w:cols>
          <w:pgMar w:left="1440" w:top="972" w:right="1440" w:bottom="1440" w:gutter="0" w:footer="0" w:header="0"/>
        </w:sectPr>
      </w:pPr>
    </w:p>
    <w:bookmarkStart w:id="188" w:name="page189"/>
    <w:bookmarkEnd w:id="188"/>
    <w:p>
      <w:pPr>
        <w:ind w:left="104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FIFTEENTH AMENDMENT TO LEASE</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FIFTEENTH AMENDMENT TO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2014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45" w:lineRule="auto"/>
        <w:tabs>
          <w:tab w:leader="none" w:pos="150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and that certain Fourteenth Amendment to Lease dated as of October 25, 2013 (collectively, and as the same may have been heretofore further amended, amended and restated, supplemented or modified from time to time, the “</w:t>
      </w:r>
      <w:r>
        <w:rPr>
          <w:rFonts w:ascii="Times New Roman" w:cs="Times New Roman" w:eastAsia="Times New Roman" w:hAnsi="Times New Roman"/>
          <w:sz w:val="22"/>
          <w:szCs w:val="22"/>
          <w:u w:val="single" w:color="auto"/>
          <w:color w:val="auto"/>
        </w:rPr>
        <w:t>Existing Lease</w:t>
      </w:r>
      <w:r>
        <w:rPr>
          <w:rFonts w:ascii="Times New Roman" w:cs="Times New Roman" w:eastAsia="Times New Roman" w:hAnsi="Times New Roman"/>
          <w:sz w:val="22"/>
          <w:szCs w:val="22"/>
          <w:color w:val="auto"/>
        </w:rPr>
        <w:t>”), whereby Tenant leases certain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from Landlord at 735, 745, 755, 765 and 777 Old Saw Mill River Road in Tarrytown, New York (collectively, the “</w:t>
      </w: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firstLine="656"/>
        <w:spacing w:after="0" w:line="257" w:lineRule="auto"/>
        <w:tabs>
          <w:tab w:leader="none" w:pos="149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lease approximately one thousand six hundred forty-eight (1,648) square feet of additional Rentable Area located on the G-Level of the Building located at 777 Old Saw Mill River Road in Tarrytown, New York, as depicted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 G-Level Expansion Premises</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49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Existing Lease only in the respects and on the conditions hereinafter 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jc w:val="both"/>
        <w:ind w:firstLine="8"/>
        <w:spacing w:after="0" w:line="257" w:lineRule="auto"/>
        <w:tabs>
          <w:tab w:leader="none" w:pos="81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color w:val="auto"/>
        </w:rPr>
        <w:t>BioMed Realty form dated 2/26/14</w:t>
      </w:r>
    </w:p>
    <w:p>
      <w:pPr>
        <w:sectPr>
          <w:pgSz w:w="11900" w:h="16838" w:orient="portrait"/>
          <w:cols w:equalWidth="0" w:num="1">
            <w:col w:w="11420"/>
          </w:cols>
          <w:pgMar w:left="240" w:top="617" w:right="239" w:bottom="1440" w:gutter="0" w:footer="0" w:header="0"/>
        </w:sectPr>
      </w:pPr>
    </w:p>
    <w:bookmarkStart w:id="189" w:name="page190"/>
    <w:bookmarkEnd w:id="189"/>
    <w:p>
      <w:pPr>
        <w:ind w:left="820" w:hanging="812"/>
        <w:spacing w:after="0"/>
        <w:tabs>
          <w:tab w:leader="none" w:pos="8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Premises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2.1. Landlord hereby leases to Tenant, and Tenant hereby leases from Landlord, the 777 G-Level Expansion Premises as of the date (the “</w:t>
      </w:r>
      <w:r>
        <w:rPr>
          <w:rFonts w:ascii="Times New Roman" w:cs="Times New Roman" w:eastAsia="Times New Roman" w:hAnsi="Times New Roman"/>
          <w:sz w:val="22"/>
          <w:szCs w:val="22"/>
          <w:u w:val="single" w:color="auto"/>
          <w:color w:val="auto"/>
        </w:rPr>
        <w:t>777 G-Level Expansion Premises Commencement Date</w:t>
      </w:r>
      <w:r>
        <w:rPr>
          <w:rFonts w:ascii="Times New Roman" w:cs="Times New Roman" w:eastAsia="Times New Roman" w:hAnsi="Times New Roman"/>
          <w:sz w:val="22"/>
          <w:szCs w:val="22"/>
          <w:color w:val="auto"/>
        </w:rPr>
        <w:t xml:space="preserve">”) that Landlord tenders possession of the 777 G-Level Expansion Premises to Tenant in compliance with the terms of this Amendment and with the improvements to the 777 G-Level Expansion Premises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 G-Level Landlord Work</w:t>
      </w:r>
      <w:r>
        <w:rPr>
          <w:rFonts w:ascii="Times New Roman" w:cs="Times New Roman" w:eastAsia="Times New Roman" w:hAnsi="Times New Roman"/>
          <w:sz w:val="22"/>
          <w:szCs w:val="22"/>
          <w:color w:val="auto"/>
        </w:rPr>
        <w:t xml:space="preserve">”) substantially complete. From and after the 777 G-Level Expansion Premises Commencement Date, the term “Premises” shall include the 777 G-Level Expansion Premises. The Term with respect to the 777 G-Level Expansion Premises shall expire on the Expiration Premises Term Expiration Date, subject to Tenant’s option to extend the Term of the Lease as provided in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Tenant shall execute and deliver to Landlord written acknowledgment of the actual 777 G-Level Expansion Premises Commencement Date within ten (10) days after Tenant takes occupancy of the 777 G-Level Expansion Premises, in the form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Failure to execute and deliver such acknowledgment, however, shall not affect the 777 G-Level Expansion Premises Commencement Date or Landlord’s or Tenant’s liability hereunder. Failure by Tenant to obtain validation by any medical review board or other similar governmental licensing of the 777 G-Level Expansion Premises required for the Permitted Use by Tenant shall not serve to extend the 777 G-Level Expansion Premises Commencement Date.</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2.2. Landlord shall perform the 777 G-Level Landlord Work at Landlord’s sole cost and expense and in accordance with Applicable Laws. Landlord shall commence the 777 G-Level Landlord Work as soon as practicable after the Execution Date and shall continue such work until completion. If the 777 G-Level Expansion Premises Commencement Date has not occurred (or is not deemed to have occurred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by June 27, 2014, subject to extension on a day-for-day basis as a result of any Force Majeure and/or any action or inaction of Tenant that, in either case, actually delays (but only to the extent of such delay) Landlord’s performance of the 777 G-Level Landlord Work or Landlord’s delivery of possession of the 777 G-Level Expansion Premises (such date, as may be extended, the “</w:t>
      </w:r>
      <w:r>
        <w:rPr>
          <w:rFonts w:ascii="Times New Roman" w:cs="Times New Roman" w:eastAsia="Times New Roman" w:hAnsi="Times New Roman"/>
          <w:sz w:val="22"/>
          <w:szCs w:val="22"/>
          <w:u w:val="single" w:color="auto"/>
          <w:color w:val="auto"/>
        </w:rPr>
        <w:t>777 G-Level Landlord Work Deadline</w:t>
      </w:r>
      <w:r>
        <w:rPr>
          <w:rFonts w:ascii="Times New Roman" w:cs="Times New Roman" w:eastAsia="Times New Roman" w:hAnsi="Times New Roman"/>
          <w:sz w:val="22"/>
          <w:szCs w:val="22"/>
          <w:color w:val="auto"/>
        </w:rPr>
        <w:t xml:space="preserve">”), then, the Lease shall not be void or voidable and Landlord shall not be liable to Tenant for any loss or damage resulting therefrom, but Basic Annual Rent for the 777 G-Level Expansion Premises only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abate one day for every day after the 777 G-Level Landlord Work Deadline that the 777 G-Level Expansion Premises Commencement Date has not occurred (or is not deemed to have occurred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If Landlord and Tenant cannot agree on whether Landlord has substantially completed the 777 G-Level Landlord Work, then the written determination of the Neutral Architect shall govern, whose determination shall be final and binding upon the parties. For purposes of this Amendment, “substantial completion” or “substantially complete” means that Landlord has completed the 777 G-Level Landlord Work, except for minor punch list items.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2.3. Landlord shall permit Tenant to enter upon the 777 G-Level Expansion Premises at any time (during business hours and upon reasonable prior written notice to Landlord) prior to the 777 G-Level Expansion Premises Commencement Date for the purpose of performing Alterations or the placement of personal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prior to any such entry, Tenant shall furnish to Landlord evidence satisfactory to Landlord that insurance coverages required of Tenant under the provisions of </w:t>
      </w:r>
      <w:r>
        <w:rPr>
          <w:rFonts w:ascii="Times New Roman" w:cs="Times New Roman" w:eastAsia="Times New Roman" w:hAnsi="Times New Roman"/>
          <w:sz w:val="22"/>
          <w:szCs w:val="22"/>
          <w:u w:val="single" w:color="auto"/>
          <w:color w:val="auto"/>
        </w:rPr>
        <w:t>Article 22</w:t>
      </w:r>
      <w:r>
        <w:rPr>
          <w:rFonts w:ascii="Times New Roman" w:cs="Times New Roman" w:eastAsia="Times New Roman" w:hAnsi="Times New Roman"/>
          <w:sz w:val="22"/>
          <w:szCs w:val="22"/>
          <w:color w:val="auto"/>
        </w:rPr>
        <w:t xml:space="preserve"> of the Existing Lease are in effect, and such entry (including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5" w:right="239" w:bottom="1440" w:gutter="0" w:footer="0" w:header="0"/>
        </w:sectPr>
      </w:pPr>
    </w:p>
    <w:bookmarkStart w:id="190" w:name="page191"/>
    <w:bookmarkEnd w:id="19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approval and performance of any Alterations) shall be subject to all the terms and conditions of the Existing Lease, except that prior to the 777 G-Level Expansion Premises Commencement Date Tenant shall not be obligated to pay Basic Annual Rent or Tenant’s Pro Rata Share of Operating Expenses;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if the 777 G-Level Expansion Premises Commencement Date is delayed due to such early access by Tenant or its employees, contractors, representatives or agents, then the 777 G-Level Expansion Premises Commencement Date shall be the date that the 777 G-Level Expansion Premises Commencement Date would have occurred but for such delay. Subject to the immediately foregoing sentence, Landlord and Tenant shall reasonably cooperate with each other so as not to impede the other’s work in the 777 G-Level Expansion Premises.</w:t>
      </w:r>
    </w:p>
    <w:p>
      <w:pPr>
        <w:spacing w:after="0" w:line="182" w:lineRule="exact"/>
        <w:rPr>
          <w:sz w:val="20"/>
          <w:szCs w:val="20"/>
          <w:color w:val="auto"/>
        </w:rPr>
      </w:pPr>
    </w:p>
    <w:p>
      <w:pPr>
        <w:ind w:firstLine="8"/>
        <w:spacing w:after="0" w:line="271" w:lineRule="auto"/>
        <w:tabs>
          <w:tab w:leader="none" w:pos="81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Extension Options</w:t>
      </w:r>
      <w:r>
        <w:rPr>
          <w:rFonts w:ascii="Times New Roman" w:cs="Times New Roman" w:eastAsia="Times New Roman" w:hAnsi="Times New Roman"/>
          <w:sz w:val="22"/>
          <w:szCs w:val="22"/>
          <w:color w:val="auto"/>
        </w:rPr>
        <w:t xml:space="preserve">. From and after the 777 G-Level Expansion Premises Commencement Date, the first paragraph of </w:t>
      </w:r>
      <w:r>
        <w:rPr>
          <w:rFonts w:ascii="Times New Roman" w:cs="Times New Roman" w:eastAsia="Times New Roman" w:hAnsi="Times New Roman"/>
          <w:sz w:val="22"/>
          <w:szCs w:val="22"/>
          <w:u w:val="single" w:color="auto"/>
          <w:color w:val="auto"/>
        </w:rPr>
        <w:t>Article 44</w:t>
      </w:r>
      <w:r>
        <w:rPr>
          <w:rFonts w:ascii="Times New Roman" w:cs="Times New Roman" w:eastAsia="Times New Roman" w:hAnsi="Times New Roman"/>
          <w:sz w:val="22"/>
          <w:szCs w:val="22"/>
          <w:color w:val="auto"/>
        </w:rPr>
        <w:t xml:space="preserve"> of the Lease is hereby deleted and replaced with the following:</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43" w:lineRule="auto"/>
        <w:tabs>
          <w:tab w:leader="none" w:pos="1160"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to Extend Term</w:t>
      </w:r>
      <w:r>
        <w:rPr>
          <w:rFonts w:ascii="Times New Roman" w:cs="Times New Roman" w:eastAsia="Times New Roman" w:hAnsi="Times New Roman"/>
          <w:sz w:val="21"/>
          <w:szCs w:val="21"/>
          <w:color w:val="auto"/>
        </w:rPr>
        <w:t>. Tenant shall have three (3) options (each,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extend the Term of this Lease (and, in each case, the Expiration Premises Term Expiration Date and/or the Extension Premises Term Expiration Date, as applicable), with respect to the applicable portion of the Premises extended by an Option,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and the 765 Expansion Premises III, (b) the entire New Whole Building Premises, (c) the entire New Multiple Tenant Building Premises, (d) the Modified Additional Premises, (e) the Swap Premises, 765 Elevator Lobby Premises,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Elevator Lobby Premises and the 765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Floor Corridor Premises, (f) each full floor of the 755 Premises, (g) the 765 Expansion Premises, (h) the 765 Expansion Premises II, (i) C-Level Storage Spaces, (j) the</w:t>
      </w:r>
    </w:p>
    <w:p>
      <w:pPr>
        <w:spacing w:after="0" w:line="5" w:lineRule="exact"/>
        <w:rPr>
          <w:rFonts w:ascii="Times New Roman" w:cs="Times New Roman" w:eastAsia="Times New Roman" w:hAnsi="Times New Roman"/>
          <w:sz w:val="21"/>
          <w:szCs w:val="21"/>
          <w:color w:val="auto"/>
        </w:rPr>
      </w:pPr>
    </w:p>
    <w:p>
      <w:pPr>
        <w:jc w:val="both"/>
        <w:ind w:left="660" w:hanging="4"/>
        <w:spacing w:after="0" w:line="244" w:lineRule="auto"/>
        <w:tabs>
          <w:tab w:leader="none" w:pos="104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Area Premises and the 777 S-Level Corridor Premises, (k) the 01 Premises and the Additional 01 Premises, (l) the 777-02 Premises, (m) the 765 Mezz Premises, (n) from and after the High Bay Premises Commencement Date, the High Bay Premises, (o) from and after the 777 North Spine Level Premises Commencement Date, the 777 North Spine Level Premises, (p) from and after the 777 Northwest Lobby Level Premises Commencement Date, the 777 Northwest Lobby Level Premises and (q) the 777 G-Level Expansion Premises. If Tenant fails to exercise an Option with respect to less than all of the Premises and the time to do so has lapsed (or if a Retained Premises Early Termination, a termination pursuant to a Swap Premises Termination Option, or any other termination of a portion of the Premises pursuant to the Lease has occurred), then Tenant shall no longer have an Option with respect to those portions of the Premises (y) for which it failed to exercise an Option, although Tenant’s Options for the remaining Premises shall remain in full force and effect or (z) that have terminated.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191" w:name="page192"/>
    <w:bookmarkEnd w:id="191"/>
    <w:p>
      <w:pPr>
        <w:jc w:val="both"/>
        <w:ind w:firstLine="8"/>
        <w:spacing w:after="0" w:line="245" w:lineRule="auto"/>
        <w:tabs>
          <w:tab w:leader="none" w:pos="81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 of Premises. Tenant acknowledges that neither Landlord nor any agent of Landlord has made any representation or warranty with respect to the condition of the 777 G-Level Expansion Premises, or with respect to the suitability of the 777 G-Level Expansion Premises for the conduct of Tenant’s business. Subject to the immediately following sentence, Tenant acknowledges that (a) it is generally familiar with the condition of the 777 G-Level Expansion Premises and agrees to take the same in its condition “as is” as of the 777 G-Level Expansion Premises Commencement Date and (b) Landlord shall have no obligation to alter, repair or otherwise prepare the 777 G-Level Expansion Premises for Tenant’s occupancy or to pay for or construct any improvements to the 777 G-Level Expansion Premises, except for the 777 G-Level Landlord Work. Notwithstanding the immediately preceding sentence, Landlord shall deliver the 777 G-Level Expansion Premises to Tenant in the same or substantially similar condition as it was on the Execution Date, except (x) for any condition created by Tenant during, or arising from Tenant’s, early access period pursuant to Section 2.3, (y) that upon delivery, such space shall be in broom clean condition (save for any condition created by Tenant during, or arising from Tenant’s, early access period pursuant to Section 2.3) and (z) that the 777 G-Level Landlord Work shall be substantially completed in accordance with all Applicable Laws. Tenant’s taking of possession of the 777 G-Level Expansion Premises shall, except as otherwise agreed to in writing by Landlord and Tenant, conclusively establish that the 777 G-Level Expansion Premises were at such time in good, sanitary and satisfactory condition and repair.</w:t>
      </w:r>
    </w:p>
    <w:p>
      <w:pPr>
        <w:spacing w:after="0" w:line="191" w:lineRule="exact"/>
        <w:rPr>
          <w:rFonts w:ascii="Times New Roman" w:cs="Times New Roman" w:eastAsia="Times New Roman" w:hAnsi="Times New Roman"/>
          <w:sz w:val="22"/>
          <w:szCs w:val="22"/>
          <w:color w:val="auto"/>
        </w:rPr>
      </w:pPr>
    </w:p>
    <w:p>
      <w:pPr>
        <w:jc w:val="both"/>
        <w:ind w:firstLine="8"/>
        <w:spacing w:after="0" w:line="250" w:lineRule="auto"/>
        <w:tabs>
          <w:tab w:leader="none" w:pos="81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Rent</w:t>
      </w:r>
      <w:r>
        <w:rPr>
          <w:rFonts w:ascii="Times New Roman" w:cs="Times New Roman" w:eastAsia="Times New Roman" w:hAnsi="Times New Roman"/>
          <w:sz w:val="21"/>
          <w:szCs w:val="21"/>
          <w:color w:val="auto"/>
        </w:rPr>
        <w:t>. Commencing on the 777 G-Level Expansion Premises Commencement Date and continuing through the Expiration Premises Term Expiration Date (as may be extended in accordance with the Lease), Tenant shall pay to Landlord Basic Annual Rent for the 777 G-Level Expansion Premises at an initial rate equal to Nine and 00/100 Dollars ($9.00) per square foot of Rentable Area of the 777 G-Level Expansion Premises per year in accordance with the terms for payment of Basic Annual Rent set forth in the Lease. Basic Annual Rent for the 777 G-Level Expansion Premises shall increase annually every July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by two and one-half percent (2.5%) of the then-current applicable Basic Annual Rent for the 777 G-Level Expansion Premises, with the first such increase occurring as of July 1, 2015. In addition to Basic Annual Rent, commencing on the 777 G-Level Expansion Premises Commencement Date, Tenant shall pay to Landlord as Additional Rent, at times specified in the Lease, Tenant’s Pro Rata Share of Operating Expenses with respect to the 777 G-Level Expansion Premises. For the avoidance of doubt, HVAC for the 777 G-Level Expansion Premises shall be calculated in the same manner as provided in the Lease with respect to the Retained Premises, and the</w:t>
      </w:r>
    </w:p>
    <w:p>
      <w:pPr>
        <w:spacing w:after="0" w:line="2" w:lineRule="exact"/>
        <w:rPr>
          <w:rFonts w:ascii="Times New Roman" w:cs="Times New Roman" w:eastAsia="Times New Roman" w:hAnsi="Times New Roman"/>
          <w:sz w:val="21"/>
          <w:szCs w:val="21"/>
          <w:color w:val="auto"/>
        </w:rPr>
      </w:pPr>
    </w:p>
    <w:p>
      <w:pPr>
        <w:ind w:right="20" w:firstLine="8"/>
        <w:spacing w:after="0" w:line="248" w:lineRule="auto"/>
        <w:tabs>
          <w:tab w:leader="none" w:pos="38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G-Level Expansion Premises shall be treated as Retained Premises for the purposes of allocation of the CAM Pool Charges in accordance with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of the Lease (as of the 777 G-Level Expansion Premises Commencement Date).</w:t>
      </w:r>
    </w:p>
    <w:p>
      <w:pPr>
        <w:spacing w:after="0" w:line="182" w:lineRule="exact"/>
        <w:rPr>
          <w:rFonts w:ascii="Times New Roman" w:cs="Times New Roman" w:eastAsia="Times New Roman" w:hAnsi="Times New Roman"/>
          <w:sz w:val="22"/>
          <w:szCs w:val="22"/>
          <w:color w:val="auto"/>
        </w:rPr>
      </w:pPr>
    </w:p>
    <w:p>
      <w:pPr>
        <w:jc w:val="both"/>
        <w:ind w:firstLine="8"/>
        <w:spacing w:after="0" w:line="250" w:lineRule="auto"/>
        <w:tabs>
          <w:tab w:leader="none" w:pos="8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Pro Rata Shares</w:t>
      </w:r>
      <w:r>
        <w:rPr>
          <w:rFonts w:ascii="Times New Roman" w:cs="Times New Roman" w:eastAsia="Times New Roman" w:hAnsi="Times New Roman"/>
          <w:sz w:val="22"/>
          <w:szCs w:val="22"/>
          <w:color w:val="auto"/>
        </w:rPr>
        <w:t xml:space="preserve">. From and after the 777 G-Level Expansion Premises Commencement Date, Tenant’s Pro Rata Shares of the 777 Building, the Existing Project and the Entire Project shall be incrementally increased by the amounts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As of the 777 G-Level Expansion Premises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the Lease.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192" w:name="page193"/>
    <w:bookmarkEnd w:id="192"/>
    <w:p>
      <w:pPr>
        <w:ind w:firstLine="8"/>
        <w:spacing w:after="0" w:line="271" w:lineRule="auto"/>
        <w:tabs>
          <w:tab w:leader="none" w:pos="81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 The parties acknowledge that, in accordance with the Lease, Tenant shall be entitled to its pro rata share of unreserved parking spaces with respect to each portion of the Premises leased to Tenant.</w:t>
      </w:r>
    </w:p>
    <w:p>
      <w:pPr>
        <w:spacing w:after="0" w:line="157" w:lineRule="exact"/>
        <w:rPr>
          <w:rFonts w:ascii="Times New Roman" w:cs="Times New Roman" w:eastAsia="Times New Roman" w:hAnsi="Times New Roman"/>
          <w:sz w:val="22"/>
          <w:szCs w:val="22"/>
          <w:color w:val="auto"/>
        </w:rPr>
      </w:pPr>
    </w:p>
    <w:p>
      <w:pPr>
        <w:jc w:val="both"/>
        <w:ind w:firstLine="8"/>
        <w:spacing w:after="0" w:line="249" w:lineRule="auto"/>
        <w:tabs>
          <w:tab w:leader="none" w:pos="81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or agent in the negotiation for or the obtaining of this Amendment, other than Studley, Inc.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and agrees to reimburse, indemnify, save, defend and hold harmless Landlord for, from and against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180" w:lineRule="exact"/>
        <w:rPr>
          <w:rFonts w:ascii="Times New Roman" w:cs="Times New Roman" w:eastAsia="Times New Roman" w:hAnsi="Times New Roman"/>
          <w:sz w:val="22"/>
          <w:szCs w:val="22"/>
          <w:color w:val="auto"/>
        </w:rPr>
      </w:pPr>
    </w:p>
    <w:p>
      <w:pPr>
        <w:jc w:val="both"/>
        <w:ind w:firstLine="8"/>
        <w:spacing w:after="0" w:line="257" w:lineRule="auto"/>
        <w:tabs>
          <w:tab w:leader="none" w:pos="81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73" w:lineRule="exact"/>
        <w:rPr>
          <w:rFonts w:ascii="Times New Roman" w:cs="Times New Roman" w:eastAsia="Times New Roman" w:hAnsi="Times New Roman"/>
          <w:sz w:val="22"/>
          <w:szCs w:val="22"/>
          <w:color w:val="auto"/>
        </w:rPr>
      </w:pPr>
    </w:p>
    <w:p>
      <w:pPr>
        <w:ind w:firstLine="8"/>
        <w:spacing w:after="0" w:line="271" w:lineRule="auto"/>
        <w:tabs>
          <w:tab w:leader="none" w:pos="9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Lease should be sent to:</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Vice President of Facilities.</w:t>
      </w:r>
    </w:p>
    <w:p>
      <w:pPr>
        <w:spacing w:after="0" w:line="236" w:lineRule="exact"/>
        <w:rPr>
          <w:sz w:val="20"/>
          <w:szCs w:val="20"/>
          <w:color w:val="auto"/>
        </w:rPr>
      </w:pPr>
    </w:p>
    <w:p>
      <w:pPr>
        <w:jc w:val="both"/>
        <w:ind w:firstLine="8"/>
        <w:spacing w:after="0" w:line="250" w:lineRule="auto"/>
        <w:tabs>
          <w:tab w:leader="none" w:pos="91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 From and after the date hereof, the term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as used in the Lease shall mean the Existing Lease, as modified by this Amendment.</w:t>
      </w:r>
    </w:p>
    <w:p>
      <w:pPr>
        <w:spacing w:after="0" w:line="181"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Each of the covenants, conditions and agreements contained in this Amendment shall inure to the benefit of and shall apply to and be binding upon the parties hereto and their respective permitted successors and assigns. Nothing in this section shall in any way alter the provisions of the Lease restricting assignment or subletting.</w:t>
      </w:r>
    </w:p>
    <w:p>
      <w:pPr>
        <w:spacing w:after="0" w:line="173" w:lineRule="exact"/>
        <w:rPr>
          <w:rFonts w:ascii="Times New Roman" w:cs="Times New Roman" w:eastAsia="Times New Roman" w:hAnsi="Times New Roman"/>
          <w:sz w:val="22"/>
          <w:szCs w:val="22"/>
          <w:color w:val="auto"/>
        </w:rPr>
      </w:pPr>
    </w:p>
    <w:p>
      <w:pPr>
        <w:ind w:firstLine="8"/>
        <w:spacing w:after="0" w:line="271" w:lineRule="auto"/>
        <w:tabs>
          <w:tab w:leader="none" w:pos="91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becomes effective only upon execution and delivery hereof by Landlord and Tenant. The captions of the paragraphs and subparagraphs in this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193" w:name="page194"/>
    <w:bookmarkEnd w:id="193"/>
    <w:p>
      <w:pPr>
        <w:jc w:val="both"/>
        <w:spacing w:after="0" w:line="252" w:lineRule="auto"/>
        <w:rPr>
          <w:sz w:val="20"/>
          <w:szCs w:val="20"/>
          <w:color w:val="auto"/>
        </w:rPr>
      </w:pPr>
      <w:r>
        <w:rPr>
          <w:rFonts w:ascii="Times New Roman" w:cs="Times New Roman" w:eastAsia="Times New Roman" w:hAnsi="Times New Roman"/>
          <w:sz w:val="22"/>
          <w:szCs w:val="22"/>
          <w:color w:val="auto"/>
        </w:rPr>
        <w:t>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0" w:lineRule="exact"/>
        <w:rPr>
          <w:sz w:val="20"/>
          <w:szCs w:val="20"/>
          <w:color w:val="auto"/>
        </w:rPr>
      </w:pPr>
    </w:p>
    <w:p>
      <w:pPr>
        <w:jc w:val="both"/>
        <w:ind w:firstLine="8"/>
        <w:spacing w:after="0" w:line="252" w:lineRule="auto"/>
        <w:tabs>
          <w:tab w:leader="none" w:pos="91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Tenant represents, warrants and covenants to Landlord that the individual signing this Amendment on behalf of Tenant has the power, authority and legal capacity to sign this Amendment on behalf of and to bind Tenant. Landlord represents, warrants and covenants to Tenant that the individual signing this Amendment on behalf of Landlord has the power, authority and legal capacity to sign this Amendment on behalf of and to bind Landlord.</w:t>
      </w:r>
    </w:p>
    <w:p>
      <w:pPr>
        <w:spacing w:after="0" w:line="179"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and PDF Signatures</w:t>
      </w:r>
      <w:r>
        <w:rPr>
          <w:rFonts w:ascii="Times New Roman" w:cs="Times New Roman" w:eastAsia="Times New Roman" w:hAnsi="Times New Roman"/>
          <w:sz w:val="22"/>
          <w:szCs w:val="22"/>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6" w:right="23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21"/>
          <w:szCs w:val="21"/>
          <w:color w:val="auto"/>
        </w:rPr>
        <w:t>IN WITNESS WHEREOF, Landlord and Tenant have executed this Amendment as of the date and year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ectPr>
          <w:pgSz w:w="11900" w:h="16838" w:orient="portrait"/>
          <w:cols w:equalWidth="0" w:num="1">
            <w:col w:w="11320"/>
          </w:cols>
          <w:pgMar w:left="240" w:top="625"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777 G-LEVEL EXPANSION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621" w:right="1440" w:bottom="1440" w:gutter="0" w:footer="0" w:header="0"/>
        </w:sectPr>
      </w:pPr>
    </w:p>
    <w:bookmarkStart w:id="196" w:name="page197"/>
    <w:bookmarkEnd w:id="196"/>
    <w:p>
      <w:pPr>
        <w:ind w:left="51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TENANT’S PRO RATA SHARES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1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Definition or</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Means the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Square Feet of</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Tenant’s Pro Rata</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w:t>
            </w:r>
          </w:p>
        </w:tc>
        <w:tc>
          <w:tcPr>
            <w:tcW w:w="0" w:type="dxa"/>
            <w:vAlign w:val="bottom"/>
          </w:tcPr>
          <w:p>
            <w:pPr>
              <w:spacing w:after="0"/>
              <w:rPr>
                <w:sz w:val="1"/>
                <w:szCs w:val="1"/>
                <w:color w:val="auto"/>
              </w:rPr>
            </w:pPr>
          </w:p>
        </w:tc>
      </w:tr>
      <w:tr>
        <w:trPr>
          <w:trHeight w:val="243"/>
        </w:trPr>
        <w:tc>
          <w:tcPr>
            <w:tcW w:w="540" w:type="dxa"/>
            <w:vAlign w:val="bottom"/>
            <w:tcBorders>
              <w:left w:val="single" w:sz="8" w:color="auto"/>
            </w:tcBorders>
          </w:tcPr>
          <w:p>
            <w:pPr>
              <w:spacing w:after="0"/>
              <w:rPr>
                <w:sz w:val="21"/>
                <w:szCs w:val="21"/>
                <w:color w:val="auto"/>
              </w:rPr>
            </w:pPr>
          </w:p>
        </w:tc>
        <w:tc>
          <w:tcPr>
            <w:tcW w:w="1600" w:type="dxa"/>
            <w:vAlign w:val="bottom"/>
            <w:tcBorders>
              <w:right w:val="single" w:sz="8" w:color="auto"/>
            </w:tcBorders>
            <w:gridSpan w:val="2"/>
          </w:tcPr>
          <w:p>
            <w:pPr>
              <w:jc w:val="center"/>
              <w:ind w:right="5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Provision</w:t>
            </w:r>
          </w:p>
        </w:tc>
        <w:tc>
          <w:tcPr>
            <w:tcW w:w="19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Following:</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Rentable Area</w:t>
            </w:r>
          </w:p>
        </w:tc>
        <w:tc>
          <w:tcPr>
            <w:tcW w:w="1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Share of the 777</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Rata Share of</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Rata Share of</w:t>
            </w:r>
          </w:p>
        </w:tc>
        <w:tc>
          <w:tcPr>
            <w:tcW w:w="0" w:type="dxa"/>
            <w:vAlign w:val="bottom"/>
          </w:tcPr>
          <w:p>
            <w:pPr>
              <w:spacing w:after="0"/>
              <w:rPr>
                <w:sz w:val="1"/>
                <w:szCs w:val="1"/>
                <w:color w:val="auto"/>
              </w:rPr>
            </w:pPr>
          </w:p>
        </w:tc>
      </w:tr>
      <w:tr>
        <w:trPr>
          <w:trHeight w:val="243"/>
        </w:trPr>
        <w:tc>
          <w:tcPr>
            <w:tcW w:w="5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Building</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Existing Project</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the Entire</w:t>
            </w:r>
          </w:p>
        </w:tc>
        <w:tc>
          <w:tcPr>
            <w:tcW w:w="0" w:type="dxa"/>
            <w:vAlign w:val="bottom"/>
          </w:tcPr>
          <w:p>
            <w:pPr>
              <w:spacing w:after="0"/>
              <w:rPr>
                <w:sz w:val="1"/>
                <w:szCs w:val="1"/>
                <w:color w:val="auto"/>
              </w:rPr>
            </w:pPr>
          </w:p>
        </w:tc>
      </w:tr>
      <w:tr>
        <w:trPr>
          <w:trHeight w:val="243"/>
        </w:trPr>
        <w:tc>
          <w:tcPr>
            <w:tcW w:w="5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jc w:val="right"/>
              <w:ind w:right="352"/>
              <w:spacing w:after="0" w:line="243" w:lineRule="exact"/>
              <w:rPr>
                <w:sz w:val="20"/>
                <w:szCs w:val="20"/>
                <w:color w:val="auto"/>
              </w:rPr>
            </w:pPr>
            <w:r>
              <w:rPr>
                <w:rFonts w:ascii="Times New Roman" w:cs="Times New Roman" w:eastAsia="Times New Roman" w:hAnsi="Times New Roman"/>
                <w:sz w:val="22"/>
                <w:szCs w:val="22"/>
                <w:b w:val="1"/>
                <w:bCs w:val="1"/>
                <w:color w:val="auto"/>
              </w:rPr>
              <w:t>(827,790)</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Project</w:t>
            </w:r>
          </w:p>
        </w:tc>
        <w:tc>
          <w:tcPr>
            <w:tcW w:w="0" w:type="dxa"/>
            <w:vAlign w:val="bottom"/>
          </w:tcPr>
          <w:p>
            <w:pPr>
              <w:spacing w:after="0"/>
              <w:rPr>
                <w:sz w:val="1"/>
                <w:szCs w:val="1"/>
                <w:color w:val="auto"/>
              </w:rPr>
            </w:pPr>
          </w:p>
        </w:tc>
      </w:tr>
      <w:tr>
        <w:trPr>
          <w:trHeight w:val="287"/>
        </w:trPr>
        <w:tc>
          <w:tcPr>
            <w:tcW w:w="54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(1,188,310)</w:t>
            </w:r>
          </w:p>
        </w:tc>
        <w:tc>
          <w:tcPr>
            <w:tcW w:w="0" w:type="dxa"/>
            <w:vAlign w:val="bottom"/>
          </w:tcPr>
          <w:p>
            <w:pPr>
              <w:spacing w:after="0"/>
              <w:rPr>
                <w:sz w:val="1"/>
                <w:szCs w:val="1"/>
                <w:color w:val="auto"/>
              </w:rPr>
            </w:pPr>
          </w:p>
        </w:tc>
      </w:tr>
      <w:tr>
        <w:trPr>
          <w:trHeight w:val="96"/>
        </w:trPr>
        <w:tc>
          <w:tcPr>
            <w:tcW w:w="540" w:type="dxa"/>
            <w:vAlign w:val="bottom"/>
            <w:tcBorders>
              <w:left w:val="single" w:sz="8" w:color="auto"/>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1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Portion of added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777 G-Level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1,648</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0.45%</w:t>
            </w:r>
          </w:p>
        </w:tc>
        <w:tc>
          <w:tcPr>
            <w:tcW w:w="1780" w:type="dxa"/>
            <w:vAlign w:val="bottom"/>
            <w:tcBorders>
              <w:right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rPr>
              <w:t>0.20%</w:t>
            </w:r>
          </w:p>
        </w:tc>
        <w:tc>
          <w:tcPr>
            <w:tcW w:w="1780" w:type="dxa"/>
            <w:vAlign w:val="bottom"/>
            <w:tcBorders>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0.14%</w:t>
            </w: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“Premises” and</w:t>
            </w:r>
          </w:p>
        </w:tc>
        <w:tc>
          <w:tcPr>
            <w:tcW w:w="19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Expansion</w:t>
            </w:r>
          </w:p>
        </w:tc>
        <w:tc>
          <w:tcPr>
            <w:tcW w:w="16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tcBorders>
            <w:vMerge w:val="restart"/>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Premises</w:t>
            </w:r>
          </w:p>
        </w:tc>
        <w:tc>
          <w:tcPr>
            <w:tcW w:w="16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 w:type="dxa"/>
            <w:vAlign w:val="bottom"/>
            <w:tcBorders>
              <w:left w:val="single" w:sz="8" w:color="auto"/>
            </w:tcBorders>
            <w:vMerge w:val="continue"/>
          </w:tcPr>
          <w:p>
            <w:pPr>
              <w:spacing w:after="0"/>
              <w:rPr>
                <w:sz w:val="21"/>
                <w:szCs w:val="21"/>
                <w:color w:val="auto"/>
              </w:rPr>
            </w:pPr>
          </w:p>
        </w:tc>
        <w:tc>
          <w:tcPr>
            <w:tcW w:w="1600" w:type="dxa"/>
            <w:vAlign w:val="bottom"/>
            <w:tcBorders>
              <w:right w:val="single" w:sz="8" w:color="auto"/>
            </w:tcBorders>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corresponding</w:t>
            </w:r>
          </w:p>
        </w:tc>
        <w:tc>
          <w:tcPr>
            <w:tcW w:w="1920" w:type="dxa"/>
            <w:vAlign w:val="bottom"/>
            <w:tcBorders>
              <w:right w:val="single" w:sz="8" w:color="auto"/>
            </w:tcBorders>
            <w:vMerge w:val="continue"/>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1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Rentable Area</w:t>
            </w:r>
          </w:p>
        </w:tc>
        <w:tc>
          <w:tcPr>
            <w:tcW w:w="19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54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621" w:right="47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ACKNOWLEDGEMENT OF 777 G-LEVEL EXPANSION PREMISES COMMENCEMENT DATE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ACKNOWLEDGEMENT OF 777 G-LEVEL EXPANSION PREMISES COMMENCEMENT DATE is entered into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2014, with reference to that certain Lease dated as of December 21, 2006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w:t>
      </w:r>
    </w:p>
    <w:p>
      <w:pPr>
        <w:spacing w:after="0" w:line="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that certain First Amendment to Lease dated as of October 24, 2007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that certain Second Amendment to Lease dated as of September 30, 2008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that certain Third Amendment to Lease dated as of April 29, 2009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that certain Fourth Amendment to Lease dated as of December 3, 2009 (the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Fifth Amendment to Lease dated as of February 11, 2010 (the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that certain Sixth Amendment to Lease dated as of June 4, 2010 (the “</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that certain Seventh Amendment to Lease dated as of December 22, 2010 (the “</w:t>
      </w:r>
      <w:r>
        <w:rPr>
          <w:rFonts w:ascii="Times New Roman" w:cs="Times New Roman" w:eastAsia="Times New Roman" w:hAnsi="Times New Roman"/>
          <w:sz w:val="21"/>
          <w:szCs w:val="21"/>
          <w:u w:val="single" w:color="auto"/>
          <w:color w:val="auto"/>
        </w:rPr>
        <w:t>Seventh Amendment</w:t>
      </w:r>
      <w:r>
        <w:rPr>
          <w:rFonts w:ascii="Times New Roman" w:cs="Times New Roman" w:eastAsia="Times New Roman" w:hAnsi="Times New Roman"/>
          <w:sz w:val="21"/>
          <w:szCs w:val="21"/>
          <w:color w:val="auto"/>
        </w:rPr>
        <w:t>”), that certain Eighth Amendment to Lease dated as of August 1, 2011 (the “</w:t>
      </w:r>
      <w:r>
        <w:rPr>
          <w:rFonts w:ascii="Times New Roman" w:cs="Times New Roman" w:eastAsia="Times New Roman" w:hAnsi="Times New Roman"/>
          <w:sz w:val="21"/>
          <w:szCs w:val="21"/>
          <w:u w:val="single" w:color="auto"/>
          <w:color w:val="auto"/>
        </w:rPr>
        <w:t>Eighth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Ninth Amendment to Lease dated as of September 30, 2011 (the “</w:t>
      </w:r>
      <w:r>
        <w:rPr>
          <w:rFonts w:ascii="Times New Roman" w:cs="Times New Roman" w:eastAsia="Times New Roman" w:hAnsi="Times New Roman"/>
          <w:sz w:val="21"/>
          <w:szCs w:val="21"/>
          <w:u w:val="single" w:color="auto"/>
          <w:color w:val="auto"/>
        </w:rPr>
        <w:t>Ninth Amendment</w:t>
      </w:r>
      <w:r>
        <w:rPr>
          <w:rFonts w:ascii="Times New Roman" w:cs="Times New Roman" w:eastAsia="Times New Roman" w:hAnsi="Times New Roman"/>
          <w:sz w:val="21"/>
          <w:szCs w:val="21"/>
          <w:color w:val="auto"/>
        </w:rPr>
        <w:t>”), that certain Tenth Amendment to Lease dated as of October 25, 2012 (the “</w:t>
      </w:r>
      <w:r>
        <w:rPr>
          <w:rFonts w:ascii="Times New Roman" w:cs="Times New Roman" w:eastAsia="Times New Roman" w:hAnsi="Times New Roman"/>
          <w:sz w:val="21"/>
          <w:szCs w:val="21"/>
          <w:u w:val="single" w:color="auto"/>
          <w:color w:val="auto"/>
        </w:rPr>
        <w:t>Tenth Amendment</w:t>
      </w:r>
      <w:r>
        <w:rPr>
          <w:rFonts w:ascii="Times New Roman" w:cs="Times New Roman" w:eastAsia="Times New Roman" w:hAnsi="Times New Roman"/>
          <w:sz w:val="21"/>
          <w:szCs w:val="21"/>
          <w:color w:val="auto"/>
        </w:rPr>
        <w:t>”), that certain Eleventh Amendment to Lease dated as of April 3, 2013 (the “</w:t>
      </w:r>
      <w:r>
        <w:rPr>
          <w:rFonts w:ascii="Times New Roman" w:cs="Times New Roman" w:eastAsia="Times New Roman" w:hAnsi="Times New Roman"/>
          <w:sz w:val="21"/>
          <w:szCs w:val="21"/>
          <w:u w:val="single" w:color="auto"/>
          <w:color w:val="auto"/>
        </w:rPr>
        <w:t>Eleventh Amendment</w:t>
      </w:r>
      <w:r>
        <w:rPr>
          <w:rFonts w:ascii="Times New Roman" w:cs="Times New Roman" w:eastAsia="Times New Roman" w:hAnsi="Times New Roman"/>
          <w:sz w:val="21"/>
          <w:szCs w:val="21"/>
          <w:color w:val="auto"/>
        </w:rPr>
        <w:t>”), that certain Twelfth Amendment to Lease dated as of May 31, 2013 (the “</w:t>
      </w:r>
      <w:r>
        <w:rPr>
          <w:rFonts w:ascii="Times New Roman" w:cs="Times New Roman" w:eastAsia="Times New Roman" w:hAnsi="Times New Roman"/>
          <w:sz w:val="21"/>
          <w:szCs w:val="21"/>
          <w:u w:val="single" w:color="auto"/>
          <w:color w:val="auto"/>
        </w:rPr>
        <w:t>Twelfth Amendment</w:t>
      </w:r>
      <w:r>
        <w:rPr>
          <w:rFonts w:ascii="Times New Roman" w:cs="Times New Roman" w:eastAsia="Times New Roman" w:hAnsi="Times New Roman"/>
          <w:sz w:val="21"/>
          <w:szCs w:val="21"/>
          <w:color w:val="auto"/>
        </w:rPr>
        <w:t>”), that certain Thirteenth Amendment to Lease dated as of May 31, 2013 (the “</w:t>
      </w:r>
      <w:r>
        <w:rPr>
          <w:rFonts w:ascii="Times New Roman" w:cs="Times New Roman" w:eastAsia="Times New Roman" w:hAnsi="Times New Roman"/>
          <w:sz w:val="21"/>
          <w:szCs w:val="21"/>
          <w:u w:val="single" w:color="auto"/>
          <w:color w:val="auto"/>
        </w:rPr>
        <w:t>Thirteenth Amendment</w:t>
      </w:r>
      <w:r>
        <w:rPr>
          <w:rFonts w:ascii="Times New Roman" w:cs="Times New Roman" w:eastAsia="Times New Roman" w:hAnsi="Times New Roman"/>
          <w:sz w:val="21"/>
          <w:szCs w:val="21"/>
          <w:color w:val="auto"/>
        </w:rPr>
        <w:t>”), that certain Fourteenth Amendment to Lease dated as of October 25, 2013 (the “</w:t>
      </w:r>
      <w:r>
        <w:rPr>
          <w:rFonts w:ascii="Times New Roman" w:cs="Times New Roman" w:eastAsia="Times New Roman" w:hAnsi="Times New Roman"/>
          <w:sz w:val="21"/>
          <w:szCs w:val="21"/>
          <w:u w:val="single" w:color="auto"/>
          <w:color w:val="auto"/>
        </w:rPr>
        <w:t>Fourteenth Amendment</w:t>
      </w:r>
      <w:r>
        <w:rPr>
          <w:rFonts w:ascii="Times New Roman" w:cs="Times New Roman" w:eastAsia="Times New Roman" w:hAnsi="Times New Roman"/>
          <w:sz w:val="21"/>
          <w:szCs w:val="21"/>
          <w:color w:val="auto"/>
        </w:rPr>
        <w:t>”) and that certain Fifteenth Amendment to Lease dated as of June 12, 2014 (the “</w:t>
      </w:r>
      <w:r>
        <w:rPr>
          <w:rFonts w:ascii="Times New Roman" w:cs="Times New Roman" w:eastAsia="Times New Roman" w:hAnsi="Times New Roman"/>
          <w:sz w:val="21"/>
          <w:szCs w:val="21"/>
          <w:u w:val="single" w:color="auto"/>
          <w:color w:val="auto"/>
        </w:rPr>
        <w:t>Fifteenth Amendment</w:t>
      </w:r>
      <w:r>
        <w:rPr>
          <w:rFonts w:ascii="Times New Roman" w:cs="Times New Roman" w:eastAsia="Times New Roman" w:hAnsi="Times New Roman"/>
          <w:sz w:val="21"/>
          <w:szCs w:val="21"/>
          <w:color w:val="auto"/>
        </w:rPr>
        <w:t>”) and, collectively with the Original Lease and the First Amendment, Second Amendment, Third Amendment, Fourth Amendment, Fifth Amendment, Sixth Amendment, Seventh Amendment, Eighth Amendment, Ninth Amendment, Tenth Amendment, Eleventh Amendment, Twelfth Amendment, Thirteenth Amendment, Fourteenth Amendment and Fifteenth Amendment and as the same may have been heretofore further amended, amended and restated, supplemented or modified from time to time,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by REGENERON PHARMACEUTICALS, INC., a New York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in favor of BMR-LANDMARK AT EASTVIEW LLC,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All capitalized terms used herein without definition shall have the meanings ascribed to them in the Lease.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 hereby confirms the following:</w:t>
      </w:r>
    </w:p>
    <w:p>
      <w:pPr>
        <w:spacing w:after="0" w:line="220" w:lineRule="exact"/>
        <w:rPr>
          <w:sz w:val="20"/>
          <w:szCs w:val="20"/>
          <w:color w:val="auto"/>
        </w:rPr>
      </w:pPr>
    </w:p>
    <w:p>
      <w:pPr>
        <w:ind w:left="2120" w:hanging="1464"/>
        <w:spacing w:after="0"/>
        <w:tabs>
          <w:tab w:leader="none" w:pos="2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accepted possession of the 777 G-Level Expansion Premises on [_______], 20[__].</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2107"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777 G-Level Expansion Premises is in (a) good order, condition and repair, (b) in the same or substantially similar condition as it was on the Execution Date (save for the 777 G-Level Landlord Work and any condition created by Tenant during, or arising from Tenant’s, early access period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Fifteenth Amendment) and (c) in broom clean condition (save for any condition created by Tenant during, or arising from Tenant’s, early access period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Fifteenth Amendment).</w:t>
      </w:r>
    </w:p>
    <w:p>
      <w:pPr>
        <w:sectPr>
          <w:pgSz w:w="11900" w:h="16838" w:orient="portrait"/>
          <w:cols w:equalWidth="0" w:num="1">
            <w:col w:w="11420"/>
          </w:cols>
          <w:pgMar w:left="240" w:top="621" w:right="239" w:bottom="1440" w:gutter="0" w:footer="0" w:header="0"/>
        </w:sectPr>
      </w:pPr>
    </w:p>
    <w:bookmarkStart w:id="198" w:name="page199"/>
    <w:bookmarkEnd w:id="198"/>
    <w:p>
      <w:pPr>
        <w:ind w:left="2120" w:hanging="1464"/>
        <w:spacing w:after="0"/>
        <w:tabs>
          <w:tab w:leader="none" w:pos="212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777 G-Level Landlord Work is complete.</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Lease with respect to the 777 G-Level Expansion Premises to be performed by Landlord as a condition to the full effectiveness of the Lease have been satisfied.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provisions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the Fifteenth Amendment, the 777 G-Level Expansion Premises Commencement Date is [_______], 20[__].</w:t>
      </w:r>
    </w:p>
    <w:p>
      <w:pPr>
        <w:spacing w:after="0" w:line="157" w:lineRule="exact"/>
        <w:rPr>
          <w:rFonts w:ascii="Times New Roman" w:cs="Times New Roman" w:eastAsia="Times New Roman" w:hAnsi="Times New Roman"/>
          <w:sz w:val="22"/>
          <w:szCs w:val="22"/>
          <w:color w:val="auto"/>
        </w:rPr>
      </w:pPr>
    </w:p>
    <w:p>
      <w:pPr>
        <w:ind w:left="2120" w:hanging="1464"/>
        <w:spacing w:after="0"/>
        <w:tabs>
          <w:tab w:leader="none" w:pos="212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commenced occupancy of the 777 G-Level Expansion Premises for the Permitted Use 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 20[__].</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210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pay Rent is presently in effect and all Rent obligations on the part of Tenant under the Lease with respect to the 777 G-Level Expansion Premises commenced to accrue on [_______], 20[__], with Basic Annual Rent for the 777 G-Level Expansion Premises payable on the dates and in amounts set forth in the Fifteenth Amendment.</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and the same represents the entire agreement between Landlord and Tenant concerning the Premises[, except [_______]].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420"/>
          </w:cols>
          <w:pgMar w:left="240" w:top="625" w:right="239" w:bottom="1440" w:gutter="0" w:footer="0" w:header="0"/>
        </w:sectPr>
      </w:pPr>
    </w:p>
    <w:bookmarkStart w:id="199" w:name="page200"/>
    <w:bookmarkEnd w:id="199"/>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u w:val="single" w:color="auto"/>
          <w:color w:val="auto"/>
        </w:rPr>
        <w:t>777 G-LEVEL LANDLORD WORK</w:t>
      </w:r>
    </w:p>
    <w:p>
      <w:pPr>
        <w:spacing w:after="0" w:line="224"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Relocate the existing 75Kva transformer and 277/480 labeled “Panel 2” up to the intermediate level mechanical room.</w:t>
      </w:r>
    </w:p>
    <w:p>
      <w:pPr>
        <w:spacing w:after="0" w:line="39"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Re-route existing 480 Volt feeders fed from PSC 4 to new location of transformer.</w:t>
      </w:r>
    </w:p>
    <w:p>
      <w:pPr>
        <w:spacing w:after="0" w:line="3" w:lineRule="exact"/>
        <w:rPr>
          <w:rFonts w:ascii="Times New Roman" w:cs="Times New Roman" w:eastAsia="Times New Roman" w:hAnsi="Times New Roman"/>
          <w:sz w:val="22"/>
          <w:szCs w:val="22"/>
          <w:color w:val="auto"/>
        </w:rPr>
      </w:pPr>
    </w:p>
    <w:p>
      <w:pPr>
        <w:ind w:left="660" w:right="460" w:hanging="328"/>
        <w:spacing w:after="0" w:line="243" w:lineRule="auto"/>
        <w:tabs>
          <w:tab w:leader="none" w:pos="6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Re-route existing Duct Reheat and HV-1 circuits from 777 G-Level Expansion Premises to new panel location in mechanical electrical room.</w:t>
      </w:r>
    </w:p>
    <w:p>
      <w:pPr>
        <w:ind w:left="660" w:right="40" w:hanging="328"/>
        <w:spacing w:after="0" w:line="248" w:lineRule="auto"/>
        <w:tabs>
          <w:tab w:leader="none" w:pos="6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777 G-Level Expansion Premises 120/208 volt panel will be left disconnected in the 777 G-Level Expansion Premises.</w:t>
      </w: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Exhibit D – Page 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NYI-4590724v7</w:t>
      </w:r>
    </w:p>
    <w:p>
      <w:pPr>
        <w:sectPr>
          <w:pgSz w:w="11900" w:h="16838" w:orient="portrait"/>
          <w:cols w:equalWidth="0" w:num="1">
            <w:col w:w="10880"/>
          </w:cols>
          <w:pgMar w:left="240" w:top="621" w:right="77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SIXTEENTH AMENDMENT TO LEASE</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SIXTEENTH AMENDMENT TO LEASE (this “</w:t>
      </w:r>
      <w:r>
        <w:rPr>
          <w:rFonts w:ascii="Times New Roman" w:cs="Times New Roman" w:eastAsia="Times New Roman" w:hAnsi="Times New Roman"/>
          <w:sz w:val="22"/>
          <w:szCs w:val="22"/>
          <w:u w:val="single" w:color="auto"/>
          <w:color w:val="auto"/>
        </w:rPr>
        <w:t>Sixteenth Amendment</w:t>
      </w:r>
      <w:r>
        <w:rPr>
          <w:rFonts w:ascii="Times New Roman" w:cs="Times New Roman" w:eastAsia="Times New Roman" w:hAnsi="Times New Roman"/>
          <w:sz w:val="22"/>
          <w:szCs w:val="22"/>
          <w:color w:val="auto"/>
        </w:rPr>
        <w:t>”) is entered into as of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2015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58" w:lineRule="auto"/>
        <w:tabs>
          <w:tab w:leader="none" w:pos="1507"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Landlord and Tenant are parties to that certain Lease dated as of December 21, 2006, as amended by that certain First Amendment to Lease dated as of October 24, 2007, that certain Second Amendment to Lease dated as of September 30, 2008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(the “</w:t>
      </w:r>
      <w:r>
        <w:rPr>
          <w:rFonts w:ascii="Times New Roman" w:cs="Times New Roman" w:eastAsia="Times New Roman" w:hAnsi="Times New Roman"/>
          <w:sz w:val="21"/>
          <w:szCs w:val="21"/>
          <w:u w:val="single" w:color="auto"/>
          <w:color w:val="auto"/>
        </w:rPr>
        <w:t>Tenth Amendment</w:t>
      </w:r>
      <w:r>
        <w:rPr>
          <w:rFonts w:ascii="Times New Roman" w:cs="Times New Roman" w:eastAsia="Times New Roman" w:hAnsi="Times New Roman"/>
          <w:sz w:val="21"/>
          <w:szCs w:val="21"/>
          <w:color w:val="auto"/>
        </w:rPr>
        <w:t>”), that certain Eleventh Amendment to Lease dated as of April 3, 2013 (the “</w:t>
      </w:r>
      <w:r>
        <w:rPr>
          <w:rFonts w:ascii="Times New Roman" w:cs="Times New Roman" w:eastAsia="Times New Roman" w:hAnsi="Times New Roman"/>
          <w:sz w:val="21"/>
          <w:szCs w:val="21"/>
          <w:u w:val="single" w:color="auto"/>
          <w:color w:val="auto"/>
        </w:rPr>
        <w:t>Eleventh Amendment</w:t>
      </w:r>
      <w:r>
        <w:rPr>
          <w:rFonts w:ascii="Times New Roman" w:cs="Times New Roman" w:eastAsia="Times New Roman" w:hAnsi="Times New Roman"/>
          <w:sz w:val="21"/>
          <w:szCs w:val="21"/>
          <w:color w:val="auto"/>
        </w:rPr>
        <w:t>”), that certain Twelfth Amendment to Lease dated as of May 31, 2013, that certain Thirteenth Amendment to Lease dated as of May 31, 2013 (the “</w:t>
      </w:r>
      <w:r>
        <w:rPr>
          <w:rFonts w:ascii="Times New Roman" w:cs="Times New Roman" w:eastAsia="Times New Roman" w:hAnsi="Times New Roman"/>
          <w:sz w:val="21"/>
          <w:szCs w:val="21"/>
          <w:u w:val="single" w:color="auto"/>
          <w:color w:val="auto"/>
        </w:rPr>
        <w:t>Thirteenth Amendment</w:t>
      </w:r>
      <w:r>
        <w:rPr>
          <w:rFonts w:ascii="Times New Roman" w:cs="Times New Roman" w:eastAsia="Times New Roman" w:hAnsi="Times New Roman"/>
          <w:sz w:val="21"/>
          <w:szCs w:val="21"/>
          <w:color w:val="auto"/>
        </w:rPr>
        <w:t>”), that certain Fourteenth Amendment to Lease dated as of October 25, 2013 and that certain Fifteenth Amendment to Lease dated as of June 12, 2014 (collectively, and as the same may have been further amended, amended and restated, supplemented or modified from time to time, the “</w:t>
      </w:r>
      <w:r>
        <w:rPr>
          <w:rFonts w:ascii="Times New Roman" w:cs="Times New Roman" w:eastAsia="Times New Roman" w:hAnsi="Times New Roman"/>
          <w:sz w:val="21"/>
          <w:szCs w:val="21"/>
          <w:u w:val="single" w:color="auto"/>
          <w:color w:val="auto"/>
        </w:rPr>
        <w:t>Existing Lease</w:t>
      </w:r>
      <w:r>
        <w:rPr>
          <w:rFonts w:ascii="Times New Roman" w:cs="Times New Roman" w:eastAsia="Times New Roman" w:hAnsi="Times New Roman"/>
          <w:sz w:val="21"/>
          <w:szCs w:val="21"/>
          <w:color w:val="auto"/>
        </w:rPr>
        <w:t>”), whereby Tenant leases certain premises (the “</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from Landlord at 735, 745, 755, 765 and 777 Old Saw Mill River Road in Tarrytown, New York (collectively, the “</w:t>
      </w:r>
      <w:r>
        <w:rPr>
          <w:rFonts w:ascii="Times New Roman" w:cs="Times New Roman" w:eastAsia="Times New Roman" w:hAnsi="Times New Roman"/>
          <w:sz w:val="21"/>
          <w:szCs w:val="21"/>
          <w:u w:val="single" w:color="auto"/>
          <w:color w:val="auto"/>
        </w:rPr>
        <w:t>Buildings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Building</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656"/>
        <w:spacing w:after="0" w:line="275" w:lineRule="auto"/>
        <w:tabs>
          <w:tab w:leader="none" w:pos="149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Landlord desires to lease to Tenant, and Tenant desires to lease from Landlord, approximately seventy-eight thousand four hundred fourteen (78,414) square feet of Rentable Area located in the building located at 767 Old Saw Mill River Road in Tarrytown, New York (the “</w:t>
      </w:r>
      <w:r>
        <w:rPr>
          <w:rFonts w:ascii="Times New Roman" w:cs="Times New Roman" w:eastAsia="Times New Roman" w:hAnsi="Times New Roman"/>
          <w:sz w:val="21"/>
          <w:szCs w:val="21"/>
          <w:u w:val="single" w:color="auto"/>
          <w:color w:val="auto"/>
        </w:rPr>
        <w:t>767 Building</w:t>
      </w:r>
      <w:r>
        <w:rPr>
          <w:rFonts w:ascii="Times New Roman" w:cs="Times New Roman" w:eastAsia="Times New Roman" w:hAnsi="Times New Roman"/>
          <w:sz w:val="21"/>
          <w:szCs w:val="21"/>
          <w:color w:val="auto"/>
        </w:rPr>
        <w:t xml:space="preserve">”), as depicted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767 Premises</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656"/>
        <w:spacing w:after="0" w:line="257" w:lineRule="auto"/>
        <w:tabs>
          <w:tab w:leader="none" w:pos="149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Landlord desires to lease to Tenant, and Tenant desires to lease from Landlord, approximately seven thousand four hundred nine (7,409) square feet of additional Rentable Area located on the 01-Level of the 777 Building, as depicted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 ROFO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50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Landlord desires to lease to Tenant, and Tenant desires to lease from Landlord, approximately ten thousand four hundred eighty-six (10,486) square feet of additional Rentable Area located on the 02-Level of the 777 Building, as depicted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BioMed Realty form dated 2/26/14</w:t>
      </w:r>
    </w:p>
    <w:p>
      <w:pPr>
        <w:sectPr>
          <w:pgSz w:w="11900" w:h="16838" w:orient="portrait"/>
          <w:cols w:equalWidth="0" w:num="1">
            <w:col w:w="11420"/>
          </w:cols>
          <w:pgMar w:left="240" w:top="360" w:right="239" w:bottom="1440" w:gutter="0" w:footer="0" w:header="0"/>
        </w:sectPr>
      </w:pPr>
    </w:p>
    <w:bookmarkStart w:id="201" w:name="page202"/>
    <w:bookmarkEnd w:id="201"/>
    <w:p>
      <w:pPr>
        <w:jc w:val="both"/>
        <w:ind w:firstLine="656"/>
        <w:spacing w:after="0" w:line="257" w:lineRule="auto"/>
        <w:tabs>
          <w:tab w:leader="none" w:pos="148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Landlord desires to lease to Tenant, and Tenant desires to lease from Landlord, approximately sixteen thousand eight hundred sixty-three (16,863) square feet of additional Rentable Area located on the C-Level of the 777 Building, as depicted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 C-Level 777C04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45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Landlord desires to lease to Tenant, and Tenant desires to lease from Landlord, approximately three thousand thirty-three (3,033) square feet of additional Rentable Area located on the 01-Level of the 777 Building, as depicted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surrender approximately eight thousand nine hundred eighty-one (8,981) square feet of Rentable Area located on the G-Level of the 777 Building, as depicted on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777-G03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Surrender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Tenant desires to surrender a portion of the 777 North Spine Level Premises (as defined in the Thirteenth Amendment) consisting of approximately five thousand eighty-one (5,081) square feet of Rentable Area located on the S-Level of the 777 Building, as depicted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777-SL1 Surrender Premises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42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one of Landlord’s tenants currently leases and occupies the 777-01 Northeast ROFO Premises (“</w:t>
      </w:r>
      <w:r>
        <w:rPr>
          <w:rFonts w:ascii="Times New Roman" w:cs="Times New Roman" w:eastAsia="Times New Roman" w:hAnsi="Times New Roman"/>
          <w:sz w:val="22"/>
          <w:szCs w:val="22"/>
          <w:u w:val="single" w:color="auto"/>
          <w:color w:val="auto"/>
        </w:rPr>
        <w:t>Vacating Tenant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43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concurrently herewith, Landlord and Tenant have entered into that certain First Amendment to Mt. Pleasant Lease (the “</w:t>
      </w:r>
      <w:r>
        <w:rPr>
          <w:rFonts w:ascii="Times New Roman" w:cs="Times New Roman" w:eastAsia="Times New Roman" w:hAnsi="Times New Roman"/>
          <w:sz w:val="22"/>
          <w:szCs w:val="22"/>
          <w:u w:val="single" w:color="auto"/>
          <w:color w:val="auto"/>
        </w:rPr>
        <w:t>Mt. Pleasant First Amendment</w:t>
      </w:r>
      <w:r>
        <w:rPr>
          <w:rFonts w:ascii="Times New Roman" w:cs="Times New Roman" w:eastAsia="Times New Roman" w:hAnsi="Times New Roman"/>
          <w:sz w:val="22"/>
          <w:szCs w:val="22"/>
          <w:color w:val="auto"/>
        </w:rPr>
        <w:t xml:space="preserve">”) dated as of the Execution Date, which amends the Mt. Pleasant Lease (as defined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0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Existing Lease only in the respects and on the conditions hereinafter stated.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ind w:left="820" w:hanging="812"/>
        <w:spacing w:after="0"/>
        <w:tabs>
          <w:tab w:leader="none" w:pos="8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 For purposes of this Sixteenth Amendment, capitalized terms shall have the meanings ascribed to them in the Existing Lease unless otherwise defined herein. The Existing Lease, as amended by this Sixteenth Amendment, is referred to collectively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1.2. From and after the Execution Date, the 767 Building shall be considered a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and one of the “</w:t>
      </w: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as such terms are defined in the Lease.</w:t>
      </w:r>
    </w:p>
    <w:p>
      <w:pPr>
        <w:spacing w:after="0" w:line="135" w:lineRule="exact"/>
        <w:rPr>
          <w:sz w:val="20"/>
          <w:szCs w:val="20"/>
          <w:color w:val="auto"/>
        </w:rPr>
      </w:pPr>
    </w:p>
    <w:p>
      <w:pPr>
        <w:jc w:val="both"/>
        <w:ind w:right="20" w:firstLine="648"/>
        <w:spacing w:after="0" w:line="234" w:lineRule="auto"/>
        <w:rPr>
          <w:sz w:val="20"/>
          <w:szCs w:val="20"/>
          <w:color w:val="auto"/>
        </w:rPr>
      </w:pPr>
      <w:r>
        <w:rPr>
          <w:rFonts w:ascii="Times New Roman" w:cs="Times New Roman" w:eastAsia="Times New Roman" w:hAnsi="Times New Roman"/>
          <w:sz w:val="22"/>
          <w:szCs w:val="22"/>
          <w:color w:val="auto"/>
        </w:rPr>
        <w:t>1.3. The “</w:t>
      </w: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777 Expansion Premises</w:t>
      </w:r>
      <w:r>
        <w:rPr>
          <w:rFonts w:ascii="Times New Roman" w:cs="Times New Roman" w:eastAsia="Times New Roman" w:hAnsi="Times New Roman"/>
          <w:sz w:val="22"/>
          <w:szCs w:val="22"/>
          <w:color w:val="auto"/>
        </w:rPr>
        <w:t>” means collectively, the 777-01 North ROFO Premises, the 777-02 North ROFO Premises, the 777 C-Level 777C04 Premises and the 777-01 Northeast ROFO Premises.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202" w:name="page203"/>
    <w:bookmarkEnd w:id="202"/>
    <w:p>
      <w:pPr>
        <w:ind w:left="820" w:hanging="812"/>
        <w:spacing w:after="0"/>
        <w:tabs>
          <w:tab w:leader="none" w:pos="8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Surrender Premises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777-G03 Surrender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9" w:lineRule="auto"/>
        <w:tabs>
          <w:tab w:leader="none" w:pos="185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surrender the 777-G03 Surrender Premises to Landlord in broom clean condition and in the condition required by the Lease for, and in accordance with the terms of the Lease with respect to, surrendering Premises, including,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xml:space="preserve"> of the Lease (collectively, the “</w:t>
      </w:r>
      <w:r>
        <w:rPr>
          <w:rFonts w:ascii="Times New Roman" w:cs="Times New Roman" w:eastAsia="Times New Roman" w:hAnsi="Times New Roman"/>
          <w:sz w:val="22"/>
          <w:szCs w:val="22"/>
          <w:u w:val="single" w:color="auto"/>
          <w:color w:val="auto"/>
        </w:rPr>
        <w:t>Surrender Requirements</w:t>
      </w:r>
      <w:r>
        <w:rPr>
          <w:rFonts w:ascii="Times New Roman" w:cs="Times New Roman" w:eastAsia="Times New Roman" w:hAnsi="Times New Roman"/>
          <w:sz w:val="22"/>
          <w:szCs w:val="22"/>
          <w:color w:val="auto"/>
        </w:rPr>
        <w:t>”) on or before 11:59 p.m. Eastern time on the day that is sixty (60) days after the 777 C-Level 777C04 Commencement Date (as defined below) (the “</w:t>
      </w:r>
      <w:r>
        <w:rPr>
          <w:rFonts w:ascii="Times New Roman" w:cs="Times New Roman" w:eastAsia="Times New Roman" w:hAnsi="Times New Roman"/>
          <w:sz w:val="22"/>
          <w:szCs w:val="22"/>
          <w:u w:val="single" w:color="auto"/>
          <w:color w:val="auto"/>
        </w:rPr>
        <w:t>777-G03 Surrender Date</w:t>
      </w:r>
      <w:r>
        <w:rPr>
          <w:rFonts w:ascii="Times New Roman" w:cs="Times New Roman" w:eastAsia="Times New Roman" w:hAnsi="Times New Roman"/>
          <w:sz w:val="22"/>
          <w:szCs w:val="22"/>
          <w:color w:val="auto"/>
        </w:rPr>
        <w:t>”). The Term with respect to the 777-G03 Surrender Premises only shall expire on the 777-G03 Surrender Date. If Tenant does not so surrender the 777-G03 Surrender Premises to Landlord in accordance with the Surrender Requirements on or before the 777-G03 Surrender Date, the 777-G03 Surrender Premises shall be considered a Holdover Premises, subject to the terms and conditions of the Lease.</w:t>
      </w:r>
    </w:p>
    <w:p>
      <w:pPr>
        <w:spacing w:after="0" w:line="182"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6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immediately following the later of (i) the 777-G03 Surrender Date and (ii) the day (the “</w:t>
      </w:r>
      <w:r>
        <w:rPr>
          <w:rFonts w:ascii="Times New Roman" w:cs="Times New Roman" w:eastAsia="Times New Roman" w:hAnsi="Times New Roman"/>
          <w:sz w:val="22"/>
          <w:szCs w:val="22"/>
          <w:u w:val="single" w:color="auto"/>
          <w:color w:val="auto"/>
        </w:rPr>
        <w:t>777-G03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Surrender Effective Date</w:t>
      </w:r>
      <w:r>
        <w:rPr>
          <w:rFonts w:ascii="Times New Roman" w:cs="Times New Roman" w:eastAsia="Times New Roman" w:hAnsi="Times New Roman"/>
          <w:sz w:val="22"/>
          <w:szCs w:val="22"/>
          <w:color w:val="auto"/>
        </w:rPr>
        <w:t>”) that Tenant actually surrenders the 777-G03 Surrender Premises to Landlord in accordance with the Surrender Requirements, the Lease shall terminate with respect to only the 777-G03 Surrender Premises, and from and after such date, (A) the Lease shall thereafter be of no further force or effect with respect to the 777-G03 Surrender Premises only, except for those provisions that expressly survive the expiration or termination (earlier or otherwise) thereof and Landlord’s rights to any unpaid balance of Tenant, (B) the term “Premises” as used in the Lease shall no longer include the 777-G03 Surrender Premises and (C) Tenant’s Pro Rata Share shall be adjusted accordingly. The Lease shall continue in full force and effect with respect to the remainder of the Premises.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777-SL1 Surrender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86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surrender the 777-SL1 Surrender Premises to Landlord in broom clean condition and in the condition required by the Lease for, and in accordance with the Surrender Requirements on or before 11:59 p.m. Eastern time on the date (the “</w:t>
      </w:r>
      <w:r>
        <w:rPr>
          <w:rFonts w:ascii="Times New Roman" w:cs="Times New Roman" w:eastAsia="Times New Roman" w:hAnsi="Times New Roman"/>
          <w:sz w:val="22"/>
          <w:szCs w:val="22"/>
          <w:u w:val="single" w:color="auto"/>
          <w:color w:val="auto"/>
        </w:rPr>
        <w:t>777-SL1 Surrender Date</w:t>
      </w:r>
      <w:r>
        <w:rPr>
          <w:rFonts w:ascii="Times New Roman" w:cs="Times New Roman" w:eastAsia="Times New Roman" w:hAnsi="Times New Roman"/>
          <w:sz w:val="22"/>
          <w:szCs w:val="22"/>
          <w:color w:val="auto"/>
        </w:rPr>
        <w:t>”) that is five (5) business days after Tenant occupies Building 8 (or any portion thereof) pursuant to that certain Mt. Pleasant Lease dated as of April 3, 2013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Mt. Pleasant Lease</w:t>
      </w:r>
      <w:r>
        <w:rPr>
          <w:rFonts w:ascii="Times New Roman" w:cs="Times New Roman" w:eastAsia="Times New Roman" w:hAnsi="Times New Roman"/>
          <w:sz w:val="22"/>
          <w:szCs w:val="22"/>
          <w:color w:val="auto"/>
        </w:rPr>
        <w:t>”) for the conduct of its business in accordance with the Permitted Use. Tenant shall not have any obligation to demise the 777-SL1 Surrender Premises from any adjacent premises nor to remove any improvements from the 777-SL1 Surrender Premises. The Term with respect to the 777-SL1 Surrender Premises only shall expire on the 777-SL1 Surrender Date. If Tenant does not so surrender the 777-SL1 Surrender Premises to Landlord in accordance with the Surrender Requirements on or before the 777-SL1 Surrender Date, Tenant shall become a tenant at sufferance (with respect to the 777-SL1 Surrender Premises) subject to the terms and conditions of the Lease.</w:t>
      </w:r>
    </w:p>
    <w:p>
      <w:pPr>
        <w:spacing w:after="0" w:line="19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8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immediately following the later of (i) the 777-SL1 Surrender Date and (ii) the day (the “</w:t>
      </w:r>
      <w:r>
        <w:rPr>
          <w:rFonts w:ascii="Times New Roman" w:cs="Times New Roman" w:eastAsia="Times New Roman" w:hAnsi="Times New Roman"/>
          <w:sz w:val="22"/>
          <w:szCs w:val="22"/>
          <w:u w:val="single" w:color="auto"/>
          <w:color w:val="auto"/>
        </w:rPr>
        <w:t>777-SL1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Surrender Effective Date</w:t>
      </w:r>
      <w:r>
        <w:rPr>
          <w:rFonts w:ascii="Times New Roman" w:cs="Times New Roman" w:eastAsia="Times New Roman" w:hAnsi="Times New Roman"/>
          <w:sz w:val="22"/>
          <w:szCs w:val="22"/>
          <w:color w:val="auto"/>
        </w:rPr>
        <w:t>”) that Tenant actually surrenders the 777-SL1 Surrender Premises to Landlord in accordance with the Surrender Requirements, the Lease shall terminate with respect to only the 777-SL1 Surrender Premises, and from and after such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203" w:name="page204"/>
    <w:bookmarkEnd w:id="203"/>
    <w:p>
      <w:pPr>
        <w:jc w:val="both"/>
        <w:ind w:firstLine="8"/>
        <w:spacing w:after="0" w:line="250" w:lineRule="auto"/>
        <w:tabs>
          <w:tab w:leader="none" w:pos="35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shall thereafter be of no further force or effect with respect to the 777-SL1 Surrender Premises only, except for those provisions that expressly survive the expiration or termination (earlier or otherwise) thereof and Landlord’s rights to any unpaid balance of Tenant, (B) the term “Premises” as used in the Lease shall no longer include the 777-SL1 Surrender Premises and (C) Tenant’s Pro Rata Share shall be adjusted accordingly. The Lease shall continue in full force and effect with respect to the remainder of the Premises.</w:t>
      </w:r>
    </w:p>
    <w:p>
      <w:pPr>
        <w:spacing w:after="0" w:line="181"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3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the 777-SL1 Surrender Effective Date, Landlord shall commence work required to install a demising wall in the location described on the diagram attached as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hereto and shall diligently pursue such work until completion. Such demising wall shall contain a door. In installing such demising wall, Landlord shall reasonably cooperate with Tenant so as to cause as little interference to Tenant as is reasonably possible;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Landlord’s installation of such demising wall (i) cause Tenant’s rent to abate under the Lease or (ii) constitute a forcible or unlawful entry, a detainer or an eviction of Tenant. Landlord shall reasonably coordinate such work with Tenant, which shall include providing Tenant the opportunity to review and comment on the plans and specifications for such work, but only to the extent such work affects the portion of the 777 North Spine Level Premises that Tenant will continue to lease after the 777-SL1 Surrender Effective Date.</w:t>
      </w:r>
    </w:p>
    <w:p>
      <w:pPr>
        <w:spacing w:after="0" w:line="186" w:lineRule="exact"/>
        <w:rPr>
          <w:sz w:val="20"/>
          <w:szCs w:val="20"/>
          <w:color w:val="auto"/>
        </w:rPr>
      </w:pPr>
    </w:p>
    <w:p>
      <w:pPr>
        <w:ind w:left="820" w:hanging="812"/>
        <w:spacing w:after="0"/>
        <w:tabs>
          <w:tab w:leader="none" w:pos="8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Premises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767 Premises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5"/>
        <w:spacing w:after="0" w:line="259" w:lineRule="auto"/>
        <w:tabs>
          <w:tab w:leader="none" w:pos="1891"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hereby leases to Tenant, and Tenant hereby leases from Landlord, the 767 Premises as of the Execution Date (the “</w:t>
      </w:r>
      <w:r>
        <w:rPr>
          <w:rFonts w:ascii="Times New Roman" w:cs="Times New Roman" w:eastAsia="Times New Roman" w:hAnsi="Times New Roman"/>
          <w:sz w:val="21"/>
          <w:szCs w:val="21"/>
          <w:u w:val="single" w:color="auto"/>
          <w:color w:val="auto"/>
        </w:rPr>
        <w:t>767 Commencement Date</w:t>
      </w:r>
      <w:r>
        <w:rPr>
          <w:rFonts w:ascii="Times New Roman" w:cs="Times New Roman" w:eastAsia="Times New Roman" w:hAnsi="Times New Roman"/>
          <w:sz w:val="21"/>
          <w:szCs w:val="21"/>
          <w:color w:val="auto"/>
        </w:rPr>
        <w:t xml:space="preserve">”). From and after the 767 Commencement Date, the term “Premises,” as defined in the Lease, shall include the 767 Premises. The Term with respect to the 767 Premises shall expire on the Extension Premises Term Expiration Date (as such date may be extended pursuant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of the Eleventh Amendment), subject to extension or earlier termination of the Lease with respect to the 767 Premises as provided therein. Tenant shall execute and deliver to Landlord written acknowledgement of the actual 767 Commencement Date within ten (10) days after Tenant takes possession of the 767 Premises, in the form attached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hereto. Failure to execute and deliver such acknowledgment, however, shall not affect the 767 Commencement Date or Landlord’s or Tenant’s liability hereunder. Failure by Tenant to obtain validation by any medical review board or other similar governmental licensing of the Premises required for the Permitted Use by Tenant shall not serve to extend the</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Date.</w:t>
      </w:r>
    </w:p>
    <w:p>
      <w:pPr>
        <w:spacing w:after="0" w:line="19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777-01 North ROFO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4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leases to Tenant, and Tenant hereby leases from Landlord, the 777-01 North ROFO Premises as of the date (the “</w:t>
      </w:r>
      <w:r>
        <w:rPr>
          <w:rFonts w:ascii="Times New Roman" w:cs="Times New Roman" w:eastAsia="Times New Roman" w:hAnsi="Times New Roman"/>
          <w:sz w:val="22"/>
          <w:szCs w:val="22"/>
          <w:u w:val="single" w:color="auto"/>
          <w:color w:val="auto"/>
        </w:rPr>
        <w:t>777-01 North ROFO Commencement Date</w:t>
      </w:r>
      <w:r>
        <w:rPr>
          <w:rFonts w:ascii="Times New Roman" w:cs="Times New Roman" w:eastAsia="Times New Roman" w:hAnsi="Times New Roman"/>
          <w:sz w:val="22"/>
          <w:szCs w:val="22"/>
          <w:color w:val="auto"/>
        </w:rPr>
        <w:t xml:space="preserve">”) that Landlord tenders possession of the 777-01 North ROFO Premises to Tenant in compliance with the terms of the Lease and with the 777-01 North ROFO Initial Landlord Work (as defined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substantially complete in accordance with the terms of this Sixteenth Amendment. From and after the 777-01 North ROFO Commencement Date, the term “Premises” shall include the 777-01 North ROFO Premises. To the extent possession is delayed because of a Tenant Delay, then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204" w:name="page205"/>
    <w:bookmarkEnd w:id="204"/>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777-01 North ROFO Commencement Date shall be the date that the 777-01 North ROFO Commencement Date would have occurred but for such delay. The Term with respect to the 777-01 North ROFO Premises shall expire on the Expiration Premises Term Expiration Date, subject to extension or earlier termination of the Lease as provided therein. Tenant shall execute and deliver to Landlord written acknowledgement of the actual 777-01 North ROFO Commencement Date within ten (10) days after Tenant takes possession of the 777-01 North ROFO Premises, in the form attached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hereto. Failure to execute and deliver such acknowledgment, however, shall not affect the 777-01 North ROFO Commencement Date or Landlord’s or Tenant’s liability hereunder. Failure by Tenant to obtain validation by any medical review board or other similar governmental licensing of the Premises required for the Permitted Use by Tenant shall not serve to extend the 777-01 North ROFO Commencement Date.</w:t>
      </w:r>
    </w:p>
    <w:p>
      <w:pPr>
        <w:spacing w:after="0" w:line="176" w:lineRule="exact"/>
        <w:rPr>
          <w:sz w:val="20"/>
          <w:szCs w:val="20"/>
          <w:color w:val="auto"/>
        </w:rPr>
      </w:pPr>
    </w:p>
    <w:p>
      <w:pPr>
        <w:jc w:val="both"/>
        <w:ind w:firstLine="1305"/>
        <w:spacing w:after="0" w:line="257" w:lineRule="auto"/>
        <w:tabs>
          <w:tab w:leader="none" w:pos="1769"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use commercially reasonable efforts to tender possession of the 777-01 North ROFO Premises to Tenant on or before the date (as such date shall be extended on a day-for-day basis as a result of any Tenant Delay and any Force Majeure that, in either case, actually delays (but only to the extent of such delay) Landlord’s performance of the 777-01 North ROFO Initial Landlord Work or Landlord’s tender of possession of the 777-01 North ROFO Premises, the “</w:t>
      </w:r>
      <w:r>
        <w:rPr>
          <w:rFonts w:ascii="Times New Roman" w:cs="Times New Roman" w:eastAsia="Times New Roman" w:hAnsi="Times New Roman"/>
          <w:sz w:val="21"/>
          <w:szCs w:val="21"/>
          <w:u w:val="single" w:color="auto"/>
          <w:color w:val="auto"/>
        </w:rPr>
        <w:t>777-01 North ROFO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Single Abatement Date</w:t>
      </w:r>
      <w:r>
        <w:rPr>
          <w:rFonts w:ascii="Times New Roman" w:cs="Times New Roman" w:eastAsia="Times New Roman" w:hAnsi="Times New Roman"/>
          <w:sz w:val="21"/>
          <w:szCs w:val="21"/>
          <w:color w:val="auto"/>
        </w:rPr>
        <w:t xml:space="preserve">”) that is one hundred eighty (180) days after the Execution Date. If the 777-01 North ROFO Commencement Date has not occurred on or before the 777-01 North ROFO Single Abatement Date for any reason, then the Lease shall not be void or voidable and Landlord shall not be liable to Tenant for any loss or damage resulting therefrom. Notwithstanding the foregoing, in the event that the 777-01 North ROFO Commencement Date has not occurred on or before the 777-01 North ROFO Single Abatement Date, then Tenant’s obligation to commence paying Basic Annual Rent for the 777-01 North ROFO Premises, as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will be postponed by one (1) day for each day after the 777-01 North ROFO Single Abatement Date until the day immediately preceding the 777-01 North ROFO Commencement Date. In addition, in the event that the 777-01 North ROFO Commencement Date has not occurred on or before the date (as such date shall be extended on a day-for-day basis as a result of any Tenant Delay and any Force Majeure that, in either case, actually delays (but only to the extent of such delay) Landlord’s performance of the 777-01 North ROFO Initial Landlord Work or Landlord’s tender of possession of the 777-01 North ROFO Premises, the “</w:t>
      </w:r>
      <w:r>
        <w:rPr>
          <w:rFonts w:ascii="Times New Roman" w:cs="Times New Roman" w:eastAsia="Times New Roman" w:hAnsi="Times New Roman"/>
          <w:sz w:val="21"/>
          <w:szCs w:val="21"/>
          <w:u w:val="single" w:color="auto"/>
          <w:color w:val="auto"/>
        </w:rPr>
        <w:t>777-01 North ROFO Double Abatement Date</w:t>
      </w:r>
      <w:r>
        <w:rPr>
          <w:rFonts w:ascii="Times New Roman" w:cs="Times New Roman" w:eastAsia="Times New Roman" w:hAnsi="Times New Roman"/>
          <w:sz w:val="21"/>
          <w:szCs w:val="21"/>
          <w:color w:val="auto"/>
        </w:rPr>
        <w:t xml:space="preserve">”) that is thirty (30) days after the 777-01 North ROFO Single Abatement Date, then Tenant’s obligation to commence paying Basic Annual Rent for the 777-01 North ROFO Premises, as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will be postponed by one (1) additional day for each day after the 777-01 North ROFO Double Abatement Date until the day immediately preceding the 777-01 North ROFO Commencement Date. If Landlord and Tenant cannot agree on whether Landlord has substantially completed the 777-01 North ROFO Initial Landlord Work, then the written determination of the Neutral Architect shall govern, whose determination shall be final and binding upon the parties.</w:t>
      </w:r>
    </w:p>
    <w:p>
      <w:pPr>
        <w:spacing w:after="0" w:line="19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777-02 North ROFO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4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leases to Tenant, and Tenant hereby leases from Landlord, the 777-02 North ROFO Premises as of the date (the “</w:t>
      </w:r>
      <w:r>
        <w:rPr>
          <w:rFonts w:ascii="Times New Roman" w:cs="Times New Roman" w:eastAsia="Times New Roman" w:hAnsi="Times New Roman"/>
          <w:sz w:val="22"/>
          <w:szCs w:val="22"/>
          <w:u w:val="single" w:color="auto"/>
          <w:color w:val="auto"/>
        </w:rPr>
        <w:t>777-02 North ROFO Commencement Date</w:t>
      </w:r>
      <w:r>
        <w:rPr>
          <w:rFonts w:ascii="Times New Roman" w:cs="Times New Roman" w:eastAsia="Times New Roman" w:hAnsi="Times New Roman"/>
          <w:sz w:val="22"/>
          <w:szCs w:val="22"/>
          <w:color w:val="auto"/>
        </w:rPr>
        <w:t xml:space="preserve">”) that Landlord tenders possession of the 777-02 North ROFO Premises to Tenant in compliance with the terms of the Lease and with the 777-02 North ROFO Initial Landlord Work (as defined in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205" w:name="page206"/>
    <w:bookmarkEnd w:id="205"/>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10.1</w:t>
      </w:r>
      <w:r>
        <w:rPr>
          <w:rFonts w:ascii="Times New Roman" w:cs="Times New Roman" w:eastAsia="Times New Roman" w:hAnsi="Times New Roman"/>
          <w:sz w:val="22"/>
          <w:szCs w:val="22"/>
          <w:color w:val="auto"/>
        </w:rPr>
        <w:t xml:space="preserve">) substantially complete in accordance with the terms of this Sixteenth Amendment. From and after the 777-02 North ROFO Commencement Date, the term “Premises” shall include the 777-02 North ROFO Premises. To the extent possession is delayed because of a Tenant Delay, then the 777-02 North ROFO Commencement Date shall be the date that the 777-02 North ROFO Commencement Date would have occurred but for such delay. The Term with respect to the 777-02 North ROFO Premises shall expire on the Expiration Premises Term Expiration Date, subject to extension or earlier termination of the Lease as provided therein. Tenant shall execute and deliver to Landlord written acknowledgement of the actual 777-02 North ROFO Commencement Date within ten (10) days after Tenant takes possession of the 777-02 North ROFO Premises, in the form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Failure to execute and deliver such acknowledgment, however, shall not affect the 777-02 North ROFO Commencement Date or Landlord’s or Tenant’s liability hereunder. Failure by Tenant to obtain validation by any medical review board or other similar governmental licensing of the Premises required for the Permitted Use by Tenant shall not serve to extend the 777-02 North ROFO Commencement Date.</w:t>
      </w:r>
    </w:p>
    <w:p>
      <w:pPr>
        <w:spacing w:after="0" w:line="186" w:lineRule="exact"/>
        <w:rPr>
          <w:sz w:val="20"/>
          <w:szCs w:val="20"/>
          <w:color w:val="auto"/>
        </w:rPr>
      </w:pPr>
    </w:p>
    <w:p>
      <w:pPr>
        <w:jc w:val="both"/>
        <w:ind w:firstLine="1305"/>
        <w:spacing w:after="0" w:line="245" w:lineRule="auto"/>
        <w:tabs>
          <w:tab w:leader="none" w:pos="176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use commercially reasonable efforts to tender possession of the 777-02 North ROFO Premises to Tenant on or before the date (as such date shall be extended on a day-for-day basis as a result of any Tenant Delay and any Force Majeure that, in either case, actually delays (but only to the extent of such delay) Landlord’s performance of the 777-02 North ROFO Initial Landlord Work or Landlord’s tender of possession of the 777-02 North ROFO Premises, the “</w:t>
      </w:r>
      <w:r>
        <w:rPr>
          <w:rFonts w:ascii="Times New Roman" w:cs="Times New Roman" w:eastAsia="Times New Roman" w:hAnsi="Times New Roman"/>
          <w:sz w:val="22"/>
          <w:szCs w:val="22"/>
          <w:u w:val="single" w:color="auto"/>
          <w:color w:val="auto"/>
        </w:rPr>
        <w:t>777-02 North ROFO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Single Abatement Date</w:t>
      </w:r>
      <w:r>
        <w:rPr>
          <w:rFonts w:ascii="Times New Roman" w:cs="Times New Roman" w:eastAsia="Times New Roman" w:hAnsi="Times New Roman"/>
          <w:sz w:val="22"/>
          <w:szCs w:val="22"/>
          <w:color w:val="auto"/>
        </w:rPr>
        <w:t xml:space="preserve">”) that is two hundred ten (210) days after the later of (i) the 777-G03 Surrender Date and (ii) the 777-G03 Surrender Effective Date. If the 777-02 North ROFO Commencement Date has not occurred on or before the 777-02 North ROFO Single Abatement Date for any reason, then the Lease shall not be void or voidable and Landlord shall not be liable to Tenant for any loss or damage resulting therefrom. Notwithstanding the foregoing, in the event that the 777-02 North ROFO Commencement Date has not occurred on or before the 777-02 North ROFO Single Abatement Date, then Tenant’s obligation to commence paying Basic Annual Rent for the 777-02 North ROFO Premises, as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will be postponed by one (1) day for each day after the 777-02 North ROFO Single Abatement Date until the day immediately preceding the 777-02 North ROFO Commencement Date. In addition, in the event that the 777-02 North ROFO Commencement Date has not occurred on or before the date (as such date shall be extended on a day-for-day basis as a result of any Tenant Delay and any Force Majeure that, in either case, actually delays (but only to the extent of such delay) Landlord’s performance of the 777-02 North ROFO Initial Landlord Work or Landlord’s tender of possession of the 777-02 North ROFO Premises, the “</w:t>
      </w:r>
      <w:r>
        <w:rPr>
          <w:rFonts w:ascii="Times New Roman" w:cs="Times New Roman" w:eastAsia="Times New Roman" w:hAnsi="Times New Roman"/>
          <w:sz w:val="22"/>
          <w:szCs w:val="22"/>
          <w:u w:val="single" w:color="auto"/>
          <w:color w:val="auto"/>
        </w:rPr>
        <w:t>777-02 North ROFO Double Abatement Date</w:t>
      </w:r>
      <w:r>
        <w:rPr>
          <w:rFonts w:ascii="Times New Roman" w:cs="Times New Roman" w:eastAsia="Times New Roman" w:hAnsi="Times New Roman"/>
          <w:sz w:val="22"/>
          <w:szCs w:val="22"/>
          <w:color w:val="auto"/>
        </w:rPr>
        <w:t xml:space="preserve">”) that is thirty (30) days after the 777-02 North ROFO Single Abatement Date, then Tenant’s obligation to commence paying Basic Annual Rent for the 777-02 North ROFO Premises, as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will be postponed by one (1) additional day for each day after the 777-02 North ROFO Double Abatement Date until the day immediately preceding the 777-02 North ROFO Commencement Date. If Landlord and Tenant cannot agree on whether Landlord has substantially completed the 777-02 North ROFO Initial Landlord Work, then the written determination of the Neutral Architect shall govern, whose determination shall be final and binding upon the parties.</w:t>
      </w:r>
    </w:p>
    <w:p>
      <w:pPr>
        <w:spacing w:after="0" w:line="194" w:lineRule="exact"/>
        <w:rPr>
          <w:rFonts w:ascii="Times New Roman" w:cs="Times New Roman" w:eastAsia="Times New Roman" w:hAnsi="Times New Roman"/>
          <w:sz w:val="22"/>
          <w:szCs w:val="22"/>
          <w:color w:val="auto"/>
        </w:rPr>
      </w:pPr>
    </w:p>
    <w:p>
      <w:pPr>
        <w:ind w:firstLine="1305"/>
        <w:spacing w:after="0" w:line="284" w:lineRule="auto"/>
        <w:tabs>
          <w:tab w:leader="none" w:pos="178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Tenant has not surrendered the 777-G03 Surrender Premises to Landlord in accordance with the Surrender Requirements on or before the date that is five (5) months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206" w:name="page207"/>
    <w:bookmarkEnd w:id="206"/>
    <w:p>
      <w:pPr>
        <w:jc w:val="both"/>
        <w:spacing w:after="0" w:line="257" w:lineRule="auto"/>
        <w:rPr>
          <w:sz w:val="20"/>
          <w:szCs w:val="20"/>
          <w:color w:val="auto"/>
        </w:rPr>
      </w:pPr>
      <w:r>
        <w:rPr>
          <w:rFonts w:ascii="Times New Roman" w:cs="Times New Roman" w:eastAsia="Times New Roman" w:hAnsi="Times New Roman"/>
          <w:sz w:val="22"/>
          <w:szCs w:val="22"/>
          <w:color w:val="auto"/>
        </w:rPr>
        <w:t>after the 777 C-Level 777C04 Commencement Date, Landlord shall no longer have any obligation to deliver the 777-02 North ROFO Premises to Tenant or complete the 777-02 North ROFO Landlord Work, and the Lease with respect only to the 777-02 North ROFO Premises shall be null and void and of no force or effect.</w:t>
      </w:r>
    </w:p>
    <w:p>
      <w:pPr>
        <w:spacing w:after="0" w:line="17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777 C-Level 777C04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6" w:lineRule="auto"/>
        <w:tabs>
          <w:tab w:leader="none" w:pos="174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leases to Tenant, and Tenant hereby leases from Landlord, the 777 C-Level 777C04 Premises as of the date (the “</w:t>
      </w:r>
      <w:r>
        <w:rPr>
          <w:rFonts w:ascii="Times New Roman" w:cs="Times New Roman" w:eastAsia="Times New Roman" w:hAnsi="Times New Roman"/>
          <w:sz w:val="22"/>
          <w:szCs w:val="22"/>
          <w:u w:val="single" w:color="auto"/>
          <w:color w:val="auto"/>
        </w:rPr>
        <w:t>777 C-Level 777C04 Commencement Date</w:t>
      </w:r>
      <w:r>
        <w:rPr>
          <w:rFonts w:ascii="Times New Roman" w:cs="Times New Roman" w:eastAsia="Times New Roman" w:hAnsi="Times New Roman"/>
          <w:sz w:val="22"/>
          <w:szCs w:val="22"/>
          <w:color w:val="auto"/>
        </w:rPr>
        <w:t xml:space="preserve">”) that Landlord tenders possession of the 777 C-Level 777C04 Premises to Tenant in compliance with the terms of the Lease and with the 777 C-Level 777C04 Landlord Work (as defined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substantially complete in accordance with the terms of this Sixteenth Amendment. From and after the 777 C-Level 777C04 Commencement Date, the term “Premises” shall include the 777 C-Level 777C04 Premises. To the extent possession is delayed because of a Tenant Delay, then the 777 C-Level 777C04 Commencement Date shall be the date that the 777 C-Level 777C04 Commencement Date would have occurred but for such delay. The Term with respect to the 777 C-Level 777C04 Premises shall expire on the Expiration Premises Term Expiration Date, subject to extension or earlier termination of the Lease as provided therein. Tenant shall execute and deliver to Landlord written acknowledgement of the actual 777 C-Level 777C04 Commencement Date within ten (10) days after Tenant takes possession of the 777 C-Level 777C04 Premises, in the form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Failure to execute and deliver such acknowledgment, however, shall not affect the 777 C-Level 777C04 Commencement Date or Landlord’s or Tenant’s liability hereunder. Failure by Tenant to obtain validation by any medical review board or other similar governmental licensing of the Premises required for the Permitted Use by Tenant shall not serve to extend the 777 C-Level 777C04 Commencement Date.</w:t>
      </w:r>
    </w:p>
    <w:p>
      <w:pPr>
        <w:spacing w:after="0" w:line="191" w:lineRule="exact"/>
        <w:rPr>
          <w:rFonts w:ascii="Times New Roman" w:cs="Times New Roman" w:eastAsia="Times New Roman" w:hAnsi="Times New Roman"/>
          <w:sz w:val="22"/>
          <w:szCs w:val="22"/>
          <w:color w:val="auto"/>
        </w:rPr>
      </w:pPr>
    </w:p>
    <w:p>
      <w:pPr>
        <w:jc w:val="both"/>
        <w:ind w:firstLine="1305"/>
        <w:spacing w:after="0" w:line="246" w:lineRule="auto"/>
        <w:tabs>
          <w:tab w:leader="none" w:pos="176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use commercially reasonable efforts to tender possession of the 777 C-Level 777C04 Premises to Tenant on or before the date (as such date shall be extended on a day-for-day basis as a result of any Tenant Delay and any Force Majeure that, in either case, actually delays (but only to the extent of such delay) Landlord’s performance of the 777 C-Level 777C04 Landlord Work or Landlord’s tender of possession of the 777 C-Level 777C04 Premises, the “</w:t>
      </w:r>
      <w:r>
        <w:rPr>
          <w:rFonts w:ascii="Times New Roman" w:cs="Times New Roman" w:eastAsia="Times New Roman" w:hAnsi="Times New Roman"/>
          <w:sz w:val="22"/>
          <w:szCs w:val="22"/>
          <w:u w:val="single" w:color="auto"/>
          <w:color w:val="auto"/>
        </w:rPr>
        <w:t>777 C-Level 777C04 Single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Abatement Date</w:t>
      </w:r>
      <w:r>
        <w:rPr>
          <w:rFonts w:ascii="Times New Roman" w:cs="Times New Roman" w:eastAsia="Times New Roman" w:hAnsi="Times New Roman"/>
          <w:sz w:val="22"/>
          <w:szCs w:val="22"/>
          <w:color w:val="auto"/>
        </w:rPr>
        <w:t xml:space="preserve">”) that is one hundred twenty (120) days after the Execution Date. If the 777 C-Level 777C04 Commencement Date has not occurred on or before the 777 C-Level 777C04 Single Abatement Date for any reason, then the Lease shall not be void or voidable and Landlord shall not be liable to Tenant for any loss or damage resulting therefrom. Notwithstanding the foregoing, in the event that the 777 C-Level 777C04 Commencement Date has not occurred on or before the 777 C-Level 777C04 Single Abatement Date, then Tenant’s obligation to commence paying Basic Annual Rent for the 777 C-Level 777C04 Premises, as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will be postponed by one (1) day for each day after the 777 C-Level 777C04 Single Abatement Date until the day immediately preceding the 777 C-Level 777C04 Commencement Date. In addition, in the event that the 777 C-Level 777C04 Commencement Date has not occurred on or before the date (as such date shall be extended on a day-for-day basis as a result of any Tenant Delay and any Force Majeure that, in either case, actually delays (but only to the extent of such delay) Landlord’s performance of the 777 C-Level 777C04 Landlord Work or Landlord’s tender of possession of the 777 C-Level 777C04 Premises, the “</w:t>
      </w:r>
      <w:r>
        <w:rPr>
          <w:rFonts w:ascii="Times New Roman" w:cs="Times New Roman" w:eastAsia="Times New Roman" w:hAnsi="Times New Roman"/>
          <w:sz w:val="22"/>
          <w:szCs w:val="22"/>
          <w:u w:val="single" w:color="auto"/>
          <w:color w:val="auto"/>
        </w:rPr>
        <w:t>777 C-Level 777C04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207" w:name="page208"/>
    <w:bookmarkEnd w:id="207"/>
    <w:p>
      <w:pPr>
        <w:spacing w:after="0" w:line="266" w:lineRule="auto"/>
        <w:rPr>
          <w:sz w:val="20"/>
          <w:szCs w:val="20"/>
          <w:color w:val="auto"/>
        </w:rPr>
      </w:pPr>
      <w:r>
        <w:rPr>
          <w:rFonts w:ascii="Times New Roman" w:cs="Times New Roman" w:eastAsia="Times New Roman" w:hAnsi="Times New Roman"/>
          <w:sz w:val="21"/>
          <w:szCs w:val="21"/>
          <w:u w:val="single" w:color="auto"/>
          <w:color w:val="auto"/>
        </w:rPr>
        <w:t>Double Abatement Date</w:t>
      </w:r>
      <w:r>
        <w:rPr>
          <w:rFonts w:ascii="Times New Roman" w:cs="Times New Roman" w:eastAsia="Times New Roman" w:hAnsi="Times New Roman"/>
          <w:sz w:val="21"/>
          <w:szCs w:val="21"/>
          <w:color w:val="auto"/>
        </w:rPr>
        <w:t xml:space="preserve">”) that is thirty (30) days after the 777 C-Level 777C04 Single Abatement Date, then Tenant’s obligation to commence paying Basic Annual Rent for the 777 C-Level 777C04 Premises, as set forth in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will be postponed by one</w:t>
      </w:r>
    </w:p>
    <w:p>
      <w:pPr>
        <w:spacing w:after="0" w:line="2" w:lineRule="exact"/>
        <w:rPr>
          <w:sz w:val="20"/>
          <w:szCs w:val="20"/>
          <w:color w:val="auto"/>
        </w:rPr>
      </w:pPr>
    </w:p>
    <w:p>
      <w:pPr>
        <w:jc w:val="both"/>
        <w:ind w:firstLine="8"/>
        <w:spacing w:after="0" w:line="245" w:lineRule="auto"/>
        <w:tabs>
          <w:tab w:leader="none" w:pos="3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day for each day after the 777 C-Level 777C04 Double Abatement Date until the day immediately preceding the 777 C-Level 777C04 Commencement Date. If Landlord and Tenant cannot agree on whether Landlord has substantially completed the 777 C-Level 777C04 Landlord Work, then the written determination of the Neutral Architect shall govern, whose determination shall be final and binding upon the parties.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777-01 Northeast ROFO Premises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8" w:lineRule="auto"/>
        <w:tabs>
          <w:tab w:leader="none" w:pos="1716"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Conditional upon Vacating Tenant surrendering and vacating the 777-01 Northeast ROFO Premises to Landlord in accordance with Vacating Tenant’s lease with Landlord, Landlord hereby leases to Tenant, and Tenant hereby leases from Landlord, the 777-01 Northeast ROFO Premises as of the date (the “</w:t>
      </w:r>
      <w:r>
        <w:rPr>
          <w:rFonts w:ascii="Times New Roman" w:cs="Times New Roman" w:eastAsia="Times New Roman" w:hAnsi="Times New Roman"/>
          <w:sz w:val="21"/>
          <w:szCs w:val="21"/>
          <w:u w:val="single" w:color="auto"/>
          <w:color w:val="auto"/>
        </w:rPr>
        <w:t>777-01 Northeast ROFO Commencement Date</w:t>
      </w:r>
      <w:r>
        <w:rPr>
          <w:rFonts w:ascii="Times New Roman" w:cs="Times New Roman" w:eastAsia="Times New Roman" w:hAnsi="Times New Roman"/>
          <w:sz w:val="21"/>
          <w:szCs w:val="21"/>
          <w:color w:val="auto"/>
        </w:rPr>
        <w:t xml:space="preserve">”) that Landlord tenders possession of the 777-01 Northeast ROFO Premises to Tenant in compliance with the terms of the Lease and with the 777-01 Northeast ROFO Initial Landlord Work (as defined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10.1(c)(iii)</w:t>
      </w:r>
      <w:r>
        <w:rPr>
          <w:rFonts w:ascii="Times New Roman" w:cs="Times New Roman" w:eastAsia="Times New Roman" w:hAnsi="Times New Roman"/>
          <w:sz w:val="21"/>
          <w:szCs w:val="21"/>
          <w:color w:val="auto"/>
        </w:rPr>
        <w:t>) substantially complete in accordance with the terms of this Sixteenth Amendment. From and after the 777-01 Northeast ROFO Commencement Date, the term “Premises” shall include the 777-01 Northeast ROFO Premises. To the extent possession is delayed because of a Tenant Delay, then the 777-01 Northeast ROFO Commencement Date shall be the date that the 777-01 Northeast ROFO Commencement Date would have occurred but for such delay. The Term with respect to the 777-01 Northeast ROFO Premises shall expire on the Expiration Premises Term Expiration Date, subject to extension or earlier termination of the Lease as provided therein. Tenant shall execute and deliver to Landlord written acknowledgement of the actual 777-01 Northeast ROFO Commencement Date within ten</w:t>
      </w:r>
    </w:p>
    <w:p>
      <w:pPr>
        <w:spacing w:after="0" w:line="4" w:lineRule="exact"/>
        <w:rPr>
          <w:rFonts w:ascii="Times New Roman" w:cs="Times New Roman" w:eastAsia="Times New Roman" w:hAnsi="Times New Roman"/>
          <w:sz w:val="21"/>
          <w:szCs w:val="21"/>
          <w:color w:val="auto"/>
        </w:rPr>
      </w:pPr>
    </w:p>
    <w:p>
      <w:pPr>
        <w:jc w:val="both"/>
        <w:ind w:firstLine="8"/>
        <w:spacing w:after="0" w:line="244" w:lineRule="auto"/>
        <w:tabs>
          <w:tab w:leader="none" w:pos="42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Tenant takes possession of the 777-01 Northeast ROFO Premises, in the form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Failure to execute and deliver such acknowledgment, however, shall not affect the 777-01 Northeast ROFO Commencement Date or Landlord’s or Tenant’s liability hereunder. Failure by Tenant to obtain validation by any medical review board or other similar governmental licensing of the Premises required for the Permitted Use by Tenant shall not serve to extend the 777-01 Northeast ROFO Commencement Date.</w:t>
      </w:r>
    </w:p>
    <w:p>
      <w:pPr>
        <w:spacing w:after="0" w:line="189" w:lineRule="exact"/>
        <w:rPr>
          <w:rFonts w:ascii="Times New Roman" w:cs="Times New Roman" w:eastAsia="Times New Roman" w:hAnsi="Times New Roman"/>
          <w:sz w:val="22"/>
          <w:szCs w:val="22"/>
          <w:color w:val="auto"/>
        </w:rPr>
      </w:pPr>
    </w:p>
    <w:p>
      <w:pPr>
        <w:jc w:val="both"/>
        <w:ind w:firstLine="1305"/>
        <w:spacing w:after="0" w:line="247" w:lineRule="auto"/>
        <w:tabs>
          <w:tab w:leader="none" w:pos="189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use commercially reasonable efforts to tender possession of the 777-01 Northeast ROFO Premises to Tenant on or before the date (as such date shall be extended on a day-for-day basis as a result of any Tenant Delay and any Force Majeure that, in either case, actually delays (but only to the extent of such delay) Landlord’s performance of the 777-01 Northeast ROFO Initial Landlord Work or Landlord’s tender of possession of the 777-01 Northeast ROFO Premises, the “</w:t>
      </w:r>
      <w:r>
        <w:rPr>
          <w:rFonts w:ascii="Times New Roman" w:cs="Times New Roman" w:eastAsia="Times New Roman" w:hAnsi="Times New Roman"/>
          <w:sz w:val="22"/>
          <w:szCs w:val="22"/>
          <w:u w:val="single" w:color="auto"/>
          <w:color w:val="auto"/>
        </w:rPr>
        <w:t>777-01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Northeast ROFO Single Abatement Date</w:t>
      </w:r>
      <w:r>
        <w:rPr>
          <w:rFonts w:ascii="Times New Roman" w:cs="Times New Roman" w:eastAsia="Times New Roman" w:hAnsi="Times New Roman"/>
          <w:sz w:val="22"/>
          <w:szCs w:val="22"/>
          <w:color w:val="auto"/>
        </w:rPr>
        <w:t>”) that is thirty (30) days after the date that Vacating Tenant surrenders and vacates the 777-01 Northeast ROFO Premises to Landlord in accordance with Vacating Tenant’s lease with Landlord. If the 777-01 Northeast ROFO Commencement Date has not occurred on or before the 777-01 Northeast ROFO Single Abatement Date for any reason, then the Lease shall not be void or voidable and Landlord shall not be liable to Tenant for any loss or damage resulting therefrom. Notwithstanding the foregoing, in the event that the 777-01 Northeast ROFO Commencement Date has not occurred on or before the 777-01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208" w:name="page209"/>
    <w:bookmarkEnd w:id="208"/>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Northeast ROFO Single Abatement Date, then Tenant’s obligation to commence paying Basic Annual Rent for the 777-01 Northeast ROFO Premises, as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will be postponed by one (1) day for each day after the 777-01 Northeast ROFO Single Abatement Date until the day immediately preceding the 777-01 Northeast ROFO Commencement Date. In addition, in the event that the 777-01 Northeast ROFO Commencement Date has not occurred on or before the date (as such date shall be extended on a day-for-day basis as a result of any Tenant Delay and any Force Majeure that, in either case, actually delays (but only to the extent of such delay) Landlord’s performance of the 777-01 Northeast ROFO Initial Landlord Work or Landlord’s tender of possession of the 777-01 Northeast ROFO Premises, the “</w:t>
      </w:r>
      <w:r>
        <w:rPr>
          <w:rFonts w:ascii="Times New Roman" w:cs="Times New Roman" w:eastAsia="Times New Roman" w:hAnsi="Times New Roman"/>
          <w:sz w:val="22"/>
          <w:szCs w:val="22"/>
          <w:u w:val="single" w:color="auto"/>
          <w:color w:val="auto"/>
        </w:rPr>
        <w:t>777-01 Northeast ROFO Double Abatement Date</w:t>
      </w:r>
      <w:r>
        <w:rPr>
          <w:rFonts w:ascii="Times New Roman" w:cs="Times New Roman" w:eastAsia="Times New Roman" w:hAnsi="Times New Roman"/>
          <w:sz w:val="22"/>
          <w:szCs w:val="22"/>
          <w:color w:val="auto"/>
        </w:rPr>
        <w:t xml:space="preserve">”) that is thirty (30) days after the 777-01 Northeast ROFO Single Abatement Date, then Tenant’s obligation to commence paying Basic Annual Rent for the 777-01 Northeast ROFO Premises, as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will be postponed by one (1) additional day for each day after the 777-01 Northeast ROFO Double Abatement Date until the day immediately preceding the 777-01 Northeast ROFO Commencement Date. If Landlord and Tenant cannot agree on whether Landlord has substantially completed the 777-01 Northeast ROFO Initial Landlord Work, then the written determination of the Neutral Architect shall govern, whose determination shall be final and binding upon the parties.</w:t>
      </w:r>
    </w:p>
    <w:p>
      <w:pPr>
        <w:spacing w:after="0" w:line="195" w:lineRule="exact"/>
        <w:rPr>
          <w:sz w:val="20"/>
          <w:szCs w:val="20"/>
          <w:color w:val="auto"/>
        </w:rPr>
      </w:pPr>
    </w:p>
    <w:p>
      <w:pPr>
        <w:jc w:val="both"/>
        <w:ind w:firstLine="1305"/>
        <w:spacing w:after="0" w:line="258" w:lineRule="auto"/>
        <w:tabs>
          <w:tab w:leader="none" w:pos="1784"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777-01 Northeast ROFO Commencement Date has not occurred by March 1, 2017 (as such date shall be extended on a day-for-day basis as a result of any Tenant Delay and any Force Majeure that, in either case, actually delays (but only to the extent of such delay) Landlord’s performance of the 777-01 Northeast ROFO Initial Landlord Work or Landlord’s tender of possession of the 777-01 Northeast ROFO Premises, the “</w:t>
      </w:r>
      <w:r>
        <w:rPr>
          <w:rFonts w:ascii="Times New Roman" w:cs="Times New Roman" w:eastAsia="Times New Roman" w:hAnsi="Times New Roman"/>
          <w:sz w:val="21"/>
          <w:szCs w:val="21"/>
          <w:u w:val="single" w:color="auto"/>
          <w:color w:val="auto"/>
        </w:rPr>
        <w:t>777-01 Northeast ROFO Outside Date</w:t>
      </w:r>
      <w:r>
        <w:rPr>
          <w:rFonts w:ascii="Times New Roman" w:cs="Times New Roman" w:eastAsia="Times New Roman" w:hAnsi="Times New Roman"/>
          <w:sz w:val="21"/>
          <w:szCs w:val="21"/>
          <w:color w:val="auto"/>
        </w:rPr>
        <w:t>”), Tenant may provide written notice to Landlord (no later than fifteen (15) days after the 777-01 Northeast ROFO Outside Date) of its intent to terminate the Lease with respect to the 777-01 Northeast ROFO Premises only. Upon Landlord’s receipt of such notice, Landlord shall have fifteen (15) days (the “</w:t>
      </w:r>
      <w:r>
        <w:rPr>
          <w:rFonts w:ascii="Times New Roman" w:cs="Times New Roman" w:eastAsia="Times New Roman" w:hAnsi="Times New Roman"/>
          <w:sz w:val="21"/>
          <w:szCs w:val="21"/>
          <w:u w:val="single" w:color="auto"/>
          <w:color w:val="auto"/>
        </w:rPr>
        <w:t>777-01 Northeast ROFO Cure Period</w:t>
      </w:r>
      <w:r>
        <w:rPr>
          <w:rFonts w:ascii="Times New Roman" w:cs="Times New Roman" w:eastAsia="Times New Roman" w:hAnsi="Times New Roman"/>
          <w:sz w:val="21"/>
          <w:szCs w:val="21"/>
          <w:color w:val="auto"/>
        </w:rPr>
        <w:t xml:space="preserve">”) to tender possession of the 777-01 Northeast ROFO Premises to Tenant. If, prior to the expiration of the 777-01 Northeast ROFO Cure Period, Landlord has tendered possession of the 777-01 Northeast ROFO Premises to Tenant with the 777-01 Northeast ROFO Initial Landlord Work substantially complete in accordance with the terms of this Sixteenth Amendment (subject to </w:t>
      </w:r>
      <w:r>
        <w:rPr>
          <w:rFonts w:ascii="Times New Roman" w:cs="Times New Roman" w:eastAsia="Times New Roman" w:hAnsi="Times New Roman"/>
          <w:sz w:val="21"/>
          <w:szCs w:val="21"/>
          <w:u w:val="single" w:color="auto"/>
          <w:color w:val="auto"/>
        </w:rPr>
        <w:t>Section 10.1(c)(iii)</w:t>
      </w:r>
      <w:r>
        <w:rPr>
          <w:rFonts w:ascii="Times New Roman" w:cs="Times New Roman" w:eastAsia="Times New Roman" w:hAnsi="Times New Roman"/>
          <w:sz w:val="21"/>
          <w:szCs w:val="21"/>
          <w:color w:val="auto"/>
        </w:rPr>
        <w:t xml:space="preserve">), then such termination notice shall be null and void and of no further force or effect and the Lease with respect to the 777-01 Northeast ROFO Premises shall continue in full force and effect. If, prior to the expiration of the 777-01 Northeast ROFO Cure Period, Landlord has not tendered possession of the 777-01 Northeast ROFO Premises to Tenant with the 777-01 Northeast ROFO Initial Landlord Work substantially complete in accordance with the terms of this Sixteenth Amendment (subject to </w:t>
      </w:r>
      <w:r>
        <w:rPr>
          <w:rFonts w:ascii="Times New Roman" w:cs="Times New Roman" w:eastAsia="Times New Roman" w:hAnsi="Times New Roman"/>
          <w:sz w:val="21"/>
          <w:szCs w:val="21"/>
          <w:u w:val="single" w:color="auto"/>
          <w:color w:val="auto"/>
        </w:rPr>
        <w:t>Section 10.1(c)(iii)</w:t>
      </w:r>
      <w:r>
        <w:rPr>
          <w:rFonts w:ascii="Times New Roman" w:cs="Times New Roman" w:eastAsia="Times New Roman" w:hAnsi="Times New Roman"/>
          <w:sz w:val="21"/>
          <w:szCs w:val="21"/>
          <w:color w:val="auto"/>
        </w:rPr>
        <w:t>), then the Lease with respect to the 777-01 Northeast ROFO Premises only shall terminate upon the expiration of the 777-01 Northeast ROFO Cure Period, except for those provisions that expressly survive the expiration or earlier termination thereof.</w:t>
      </w:r>
    </w:p>
    <w:p>
      <w:pPr>
        <w:spacing w:after="0" w:line="181" w:lineRule="exact"/>
        <w:rPr>
          <w:rFonts w:ascii="Times New Roman" w:cs="Times New Roman" w:eastAsia="Times New Roman" w:hAnsi="Times New Roman"/>
          <w:sz w:val="21"/>
          <w:szCs w:val="21"/>
          <w:color w:val="auto"/>
        </w:rPr>
      </w:pPr>
    </w:p>
    <w:p>
      <w:pPr>
        <w:ind w:left="820" w:hanging="812"/>
        <w:spacing w:after="0"/>
        <w:tabs>
          <w:tab w:leader="none" w:pos="8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767 Premises</w:t>
      </w:r>
      <w:r>
        <w:rPr>
          <w:rFonts w:ascii="Times New Roman" w:cs="Times New Roman" w:eastAsia="Times New Roman" w:hAnsi="Times New Roman"/>
          <w:sz w:val="22"/>
          <w:szCs w:val="22"/>
          <w:color w:val="auto"/>
        </w:rPr>
        <w:t>. Commencing as of the date that is the earlier of the day that (a) is twenty-three (23) months after the 767 Commencement Date and (b) Tenant occupies the 767 Premises for the conduct of its business in accordance with the Permitted Use (the “</w:t>
      </w:r>
      <w:r>
        <w:rPr>
          <w:rFonts w:ascii="Times New Roman" w:cs="Times New Roman" w:eastAsia="Times New Roman" w:hAnsi="Times New Roman"/>
          <w:sz w:val="22"/>
          <w:szCs w:val="22"/>
          <w:u w:val="single" w:color="auto"/>
          <w:color w:val="auto"/>
        </w:rPr>
        <w:t>767 Rent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209" w:name="page210"/>
    <w:bookmarkEnd w:id="209"/>
    <w:p>
      <w:pPr>
        <w:jc w:val="both"/>
        <w:spacing w:after="0" w:line="257" w:lineRule="auto"/>
        <w:rPr>
          <w:sz w:val="20"/>
          <w:szCs w:val="20"/>
          <w:color w:val="auto"/>
        </w:rPr>
      </w:pPr>
      <w:r>
        <w:rPr>
          <w:rFonts w:ascii="Times New Roman" w:cs="Times New Roman" w:eastAsia="Times New Roman" w:hAnsi="Times New Roman"/>
          <w:sz w:val="21"/>
          <w:szCs w:val="21"/>
          <w:u w:val="single" w:color="auto"/>
          <w:color w:val="auto"/>
        </w:rPr>
        <w:t>Commencement Date</w:t>
      </w:r>
      <w:r>
        <w:rPr>
          <w:rFonts w:ascii="Times New Roman" w:cs="Times New Roman" w:eastAsia="Times New Roman" w:hAnsi="Times New Roman"/>
          <w:sz w:val="21"/>
          <w:szCs w:val="21"/>
          <w:color w:val="auto"/>
        </w:rPr>
        <w:t>”) and continuing through the Term with respect to the 767 Premises, Tenant shall pay to Landlord Basic Annual Rent for the 767 Premises at an initial rate equal to Fourteen and 25/100 Dollars ($14.25) per square foot of Rentable Area of the 767 Premises per year in accordance with the terms for payment of Basic Annual Rent set forth in the Lease. Basic Annual Rent for the 767 Premises shall increase annually on each annual anniversary of the 767 Rent Commencement Date by two and one-half percent (2.5%) of the then-current applicable Basic Annual Rent for the 767 Premises. In addition to Basic Annual Rent, commencing on the date (the “</w:t>
      </w:r>
      <w:r>
        <w:rPr>
          <w:rFonts w:ascii="Times New Roman" w:cs="Times New Roman" w:eastAsia="Times New Roman" w:hAnsi="Times New Roman"/>
          <w:sz w:val="21"/>
          <w:szCs w:val="21"/>
          <w:u w:val="single" w:color="auto"/>
          <w:color w:val="auto"/>
        </w:rPr>
        <w:t>767 Operating Expense Commencement Date</w:t>
      </w:r>
      <w:r>
        <w:rPr>
          <w:rFonts w:ascii="Times New Roman" w:cs="Times New Roman" w:eastAsia="Times New Roman" w:hAnsi="Times New Roman"/>
          <w:sz w:val="21"/>
          <w:szCs w:val="21"/>
          <w:color w:val="auto"/>
        </w:rPr>
        <w:t xml:space="preserve">”) that is the earlier of (y) the date that Tenant occupies the 767 Premises for the conduct of its business in accordance with the Permitted Use and (z) twelve (12) months after the 767 Commencement Date, Tenant shall pay to Landlord as Additional Rent, at times specified in the Lease, Tenant’s Pro Rata Share of Operating Expenses with respect to the 767 Premises. For the avoidance of doubt, the 767 Premises shall be treated as Retained Premises for the purposes of allocation of the CAM Pool Charges;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HVAC charges for the 767 Premises shall be determined in accordance with </w:t>
      </w:r>
      <w:r>
        <w:rPr>
          <w:rFonts w:ascii="Times New Roman" w:cs="Times New Roman" w:eastAsia="Times New Roman" w:hAnsi="Times New Roman"/>
          <w:sz w:val="21"/>
          <w:szCs w:val="21"/>
          <w:u w:val="single" w:color="auto"/>
          <w:color w:val="auto"/>
        </w:rPr>
        <w:t>Article 49</w:t>
      </w:r>
      <w:r>
        <w:rPr>
          <w:rFonts w:ascii="Times New Roman" w:cs="Times New Roman" w:eastAsia="Times New Roman" w:hAnsi="Times New Roman"/>
          <w:sz w:val="21"/>
          <w:szCs w:val="21"/>
          <w:color w:val="auto"/>
        </w:rPr>
        <w:t xml:space="preserve"> of the Lease. Notwithstanding the foregoing, from and after the 767 Commencement Date until the 767 Operating Expense Commencement Date, Tenant shall be responsible for (and shall pay to Landlord within thirty</w:t>
      </w:r>
    </w:p>
    <w:p>
      <w:pPr>
        <w:jc w:val="both"/>
        <w:ind w:firstLine="8"/>
        <w:spacing w:after="0" w:line="253" w:lineRule="auto"/>
        <w:tabs>
          <w:tab w:leader="none" w:pos="41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demand as Additional Rent) all charges, together with any fees, surcharges and taxes thereon in connection with any and all Utilities supplied to the 767 Premises (including such Utilities supplied to the 767 Premises during the 767 Tenant Work), subject to any exclusions set forth in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paragraph of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of the Lease.</w:t>
      </w:r>
    </w:p>
    <w:p>
      <w:pPr>
        <w:spacing w:after="0" w:line="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777-01 North ROFO Premises</w:t>
      </w:r>
      <w:r>
        <w:rPr>
          <w:rFonts w:ascii="Times New Roman" w:cs="Times New Roman" w:eastAsia="Times New Roman" w:hAnsi="Times New Roman"/>
          <w:sz w:val="22"/>
          <w:szCs w:val="22"/>
          <w:color w:val="auto"/>
        </w:rPr>
        <w:t>. Commencing as of the date (the “</w:t>
      </w:r>
      <w:r>
        <w:rPr>
          <w:rFonts w:ascii="Times New Roman" w:cs="Times New Roman" w:eastAsia="Times New Roman" w:hAnsi="Times New Roman"/>
          <w:sz w:val="22"/>
          <w:szCs w:val="22"/>
          <w:u w:val="single" w:color="auto"/>
          <w:color w:val="auto"/>
        </w:rPr>
        <w:t>777-01 North ROFO Rent Commencement Date</w:t>
      </w:r>
      <w:r>
        <w:rPr>
          <w:rFonts w:ascii="Times New Roman" w:cs="Times New Roman" w:eastAsia="Times New Roman" w:hAnsi="Times New Roman"/>
          <w:sz w:val="22"/>
          <w:szCs w:val="22"/>
          <w:color w:val="auto"/>
        </w:rPr>
        <w:t xml:space="preserve">”) that is twelve (12) months after the 777-01 North ROFO Commencement Date and continuing through the Term with respect to the 777-01 North ROFO Premises, Tenant shall pay to Landlord Basic Annual Rent for the 777-01 North ROFO Premises at an initial rate equal to Thirty-One and 50/100 Dollars ($31.50) per square foot of Rentable Area of the 777-01 North ROFO Premises per year in accordance with the terms for payment of Basic Annual Rent set forth in the Lease. Basic Annual Rent for the 777-01 North ROFO Premises shall increase annually on each annual anniversary of the 777-01 North ROFO Rent Commencement Date by two and one-half percent (2.5%) of the then-current applicable Basic Annual Rent for the 777-01 North ROFO Premises. In addition to Basic Annual Rent, commencing on the 777-01 North ROFO Commencement Date and continuing each month of the Term, Tenant shall also pay to Landlord, with respect to the 777-01 North ROFO Premises, (a) Tenant’s Pro Rata Share of Operating Expenses with respect to the 777-01 North ROFO Premises that exceeds the Base Year (as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Tenth Amendment and grossed up to ninety-five percent (95%) occupancy in the same manner as the gross-up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Tenth Amendment) and (b) Basic Electric charges, all as set forth in the Lease.</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 Commencing as of the date (the “</w:t>
      </w:r>
      <w:r>
        <w:rPr>
          <w:rFonts w:ascii="Times New Roman" w:cs="Times New Roman" w:eastAsia="Times New Roman" w:hAnsi="Times New Roman"/>
          <w:sz w:val="22"/>
          <w:szCs w:val="22"/>
          <w:u w:val="single" w:color="auto"/>
          <w:color w:val="auto"/>
        </w:rPr>
        <w:t>777-02 North ROFO Rent Commencement Date</w:t>
      </w:r>
      <w:r>
        <w:rPr>
          <w:rFonts w:ascii="Times New Roman" w:cs="Times New Roman" w:eastAsia="Times New Roman" w:hAnsi="Times New Roman"/>
          <w:sz w:val="22"/>
          <w:szCs w:val="22"/>
          <w:color w:val="auto"/>
        </w:rPr>
        <w:t>”) that is twelve (12) months after the 777-02 North ROFO Commencement Date and continuing through the Term with respect to the 777-02 North ROFO Premises, Tenant shall pay to Landlord Basic Annual Rent for the 777-02 North ROFO Premises at an initial rate equal to Thirty-One and 50/100 Dollars ($31.50) per square foot of Rentable Area of the 777-02 North ROFO Premises per year in accordance with the terms for payment of Basic Annual Rent set forth in the Lease. Basic Annual Rent for the 777-02 North ROFO Premises shall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210" w:name="page211"/>
    <w:bookmarkEnd w:id="21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increase annually on each annual anniversary of the 777-02 North ROFO Rent Commencement Date by two and one-half percent (2.5%) of the then-current applicable Basic Annual Rent for the 777-02 North ROFO Premises. In addition to Basic Annual Rent, commencing on the 777-02 North ROFO Commencement Date and continuing each month of the Term, Tenant shall also pay to Landlord, with respect to the 777-02 North ROFO Premises, (a) Tenant’s Pro Rata Share of Operating Expenses with respect to the 777-02 North ROFO Premises that exceeds the Base Year (as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Tenth Amendment and grossed up to ninety-five percent (95%) occupancy in the same manner as the gross-up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Tenth Amendment) and (b) Basic Electric charges, all as set forth in the Lease.</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777 C-Level 777C04 Premises</w:t>
      </w:r>
      <w:r>
        <w:rPr>
          <w:rFonts w:ascii="Times New Roman" w:cs="Times New Roman" w:eastAsia="Times New Roman" w:hAnsi="Times New Roman"/>
          <w:sz w:val="22"/>
          <w:szCs w:val="22"/>
          <w:color w:val="auto"/>
        </w:rPr>
        <w:t>. Commencing as of the date (the “</w:t>
      </w:r>
      <w:r>
        <w:rPr>
          <w:rFonts w:ascii="Times New Roman" w:cs="Times New Roman" w:eastAsia="Times New Roman" w:hAnsi="Times New Roman"/>
          <w:sz w:val="22"/>
          <w:szCs w:val="22"/>
          <w:u w:val="single" w:color="auto"/>
          <w:color w:val="auto"/>
        </w:rPr>
        <w:t>777 C-Level 777C04 Rent Commencement Date</w:t>
      </w:r>
      <w:r>
        <w:rPr>
          <w:rFonts w:ascii="Times New Roman" w:cs="Times New Roman" w:eastAsia="Times New Roman" w:hAnsi="Times New Roman"/>
          <w:sz w:val="22"/>
          <w:szCs w:val="22"/>
          <w:color w:val="auto"/>
        </w:rPr>
        <w:t xml:space="preserve">”) that is twelve (12) months after the 777 C-Level 777C04 Commencement Date and continuing through the Term with respect to the 777 C-Level 777C04 Premises, Tenant shall pay to Landlord Basic Annual Rent for the 777 C-Level 777C04 Premises at an initial rate equal to Five and 50/100 Dollars ($5.50) per square foot of Rentable Area of the 777 C-Level 777C04 Premises per year in accordance with the terms for payment of Basic Annual Rent set forth in the Lease. Basic Annual Rent for the 777 C-Level 777C04 Premises shall increase annually on each annual anniversary of the 777 C-Level 777C04 Rent Commencement Date by two and one-half percent (2.5%) of the then-current applicable Basic Annual Rent for the 777 C-Level 777C04 Premises. In addition to Basic Annual Rent, commencing on the 777 C-Level 777C04 Commencement Date, Tenant shall pay to Landlord as Additional Rent, at times specified in the Lease, Tenant’s Pro Rata Share of Operating Expenses with respect to the 777 C-Level 777C04 Premises. For the avoidance of doubt, HVAC for the 777 C-Level 777C04 Premises shall be calculated in the same manner as provided in the Lease with respect to the Retained Premises, and the 777 C-Level 777C04 Premises shall be treated as Retained Premises for the purposes of allocation of the CAM Pool Charges in accordance with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of the Lease.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 Commencing as of the date (the “</w:t>
      </w:r>
      <w:r>
        <w:rPr>
          <w:rFonts w:ascii="Times New Roman" w:cs="Times New Roman" w:eastAsia="Times New Roman" w:hAnsi="Times New Roman"/>
          <w:sz w:val="22"/>
          <w:szCs w:val="22"/>
          <w:u w:val="single" w:color="auto"/>
          <w:color w:val="auto"/>
        </w:rPr>
        <w:t>777-01 Northeast ROFO Rent Commencement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xml:space="preserve">”) that is twelve (12) months after the 777-01 Northeast ROFO Commencement Date and continuing through the Term with respect to the 777-01 Northeast ROFO Premises, Tenant shall pay to Landlord Basic Annual Rent for the 777-01 Northeast ROFO Premises at an initial rate equal to Twenty-Eight and 75/100 Dollars ($28.75) per square foot of Rentable Area of the 777-01 Northeast ROFO Premises per year in accordance with the terms for payment of Basic Annual Rent set forth in the Lease. Basic Annual Rent for the 777-01 Northeast ROFO Premises shall increase annually on each annual anniversary of the 777-01 Northeast ROFO Rent Commencement Date by two and one-half percent (2.5%) of the then-current applicable Basic Annual Rent for the 777-01 Northeast ROFO Premises. In addition to Basic Annual Rent, commencing on the 777-01 Northeast ROFO Commencement Date and continuing each month of the Term, Tenant shall also pay to Landlord, with respect to the 777-01 Northeast ROFO Premises, (a) Tenant’s Pro Rata Share of Operating Expenses with respect to the 777-01 Northeast ROFO Premises that exceeds the Base Year (as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Tenth Amendment and grossed up to ninety-five percent (95%) occupancy in the same manner as the gross-up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Tenth Amendment) and (b) Basic Electric charges, all as set forth in the Lease.</w:t>
      </w:r>
    </w:p>
    <w:p>
      <w:pPr>
        <w:spacing w:after="0" w:line="194" w:lineRule="exact"/>
        <w:rPr>
          <w:sz w:val="20"/>
          <w:szCs w:val="20"/>
          <w:color w:val="auto"/>
        </w:rPr>
      </w:pPr>
    </w:p>
    <w:p>
      <w:pPr>
        <w:ind w:left="820" w:hanging="812"/>
        <w:spacing w:after="0"/>
        <w:tabs>
          <w:tab w:leader="none" w:pos="8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Pro Rata Shares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211" w:name="page212"/>
    <w:bookmarkEnd w:id="211"/>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767 Premises</w:t>
      </w:r>
      <w:r>
        <w:rPr>
          <w:rFonts w:ascii="Times New Roman" w:cs="Times New Roman" w:eastAsia="Times New Roman" w:hAnsi="Times New Roman"/>
          <w:sz w:val="22"/>
          <w:szCs w:val="22"/>
          <w:color w:val="auto"/>
        </w:rPr>
        <w:t xml:space="preserve">. From and after the 767 Commencement Date, Tenant’s Pro Rata Shares of the 767 Building, the Existing Project and the Entire Project shall be incrementally increased by the amounts designated for the 767 Premises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shall not be required to commence paying such incremental Pro Rata Shares designated for the 767 Premises until the 767 Operating Expense Commencement Date. As of the 767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of the Lease.</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777-01 North ROFO Premises</w:t>
      </w:r>
      <w:r>
        <w:rPr>
          <w:rFonts w:ascii="Times New Roman" w:cs="Times New Roman" w:eastAsia="Times New Roman" w:hAnsi="Times New Roman"/>
          <w:sz w:val="22"/>
          <w:szCs w:val="22"/>
          <w:color w:val="auto"/>
        </w:rPr>
        <w:t xml:space="preserve">. From and after the 777-01 North ROFO Commencement Date, Tenant’s Pro Rata Shares of the 777 Building, the Existing Project and the Entire Project shall be incrementally increased by the amounts designated for the 777-01 North ROFO Premises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As of the 777-01 North ROFO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of the Lease.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 xml:space="preserve">. From and after the 777-02 North ROFO Commencement Date, Tenant’s Pro Rata Shares of the 777 Building, the Existing Project and the Entire Project shall be incrementally increased by the amounts designated for the 777-02 North ROFO Premises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As of the 777-02 North ROFO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of the Lease.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777 C-Level 777C04 Premises</w:t>
      </w:r>
      <w:r>
        <w:rPr>
          <w:rFonts w:ascii="Times New Roman" w:cs="Times New Roman" w:eastAsia="Times New Roman" w:hAnsi="Times New Roman"/>
          <w:sz w:val="22"/>
          <w:szCs w:val="22"/>
          <w:color w:val="auto"/>
        </w:rPr>
        <w:t xml:space="preserve">. From and after the 777 C-Level 777C04 Commencement Date, Tenant’s Pro Rata Shares of the 777 Building, the Existing Project and the Entire Project shall be incrementally increased by the amounts designated for the 777 C-Level 777C04 Premises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As of the 777 C-Level 777C04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of the Lease.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 xml:space="preserve">. From and after the 777-01 Northeast ROFO Commencement Date, Tenant’s Pro Rata Shares of the 777 Building, the Existing Project and the Entire Project shall be incrementally increased by the amounts designated for the 777-01 Northeast ROFO Premises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As of the 777-01 Northeast ROFO Commencement Date, the defined terms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Existing Lease shall be automatically amended to reflect the adjustments set forth in this Section. Rentable Area and Tenant’s Pro Rata Shares are all subject to adjustment under the Lease, including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the Lease.</w:t>
      </w:r>
    </w:p>
    <w:p>
      <w:pPr>
        <w:spacing w:after="0" w:line="182" w:lineRule="exact"/>
        <w:rPr>
          <w:sz w:val="20"/>
          <w:szCs w:val="20"/>
          <w:color w:val="auto"/>
        </w:rPr>
      </w:pPr>
    </w:p>
    <w:p>
      <w:pPr>
        <w:ind w:left="820" w:hanging="812"/>
        <w:spacing w:after="0"/>
        <w:tabs>
          <w:tab w:leader="none" w:pos="82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Premises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767 Premises</w:t>
      </w:r>
      <w:r>
        <w:rPr>
          <w:rFonts w:ascii="Times New Roman" w:cs="Times New Roman" w:eastAsia="Times New Roman" w:hAnsi="Times New Roman"/>
          <w:sz w:val="22"/>
          <w:szCs w:val="22"/>
          <w:color w:val="auto"/>
        </w:rPr>
        <w:t>. Tenant acknowledges that, except as specifically set forth in this Section, neither Landlord nor any agent of Landlord has made any representation or warranty 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212" w:name="page213"/>
    <w:bookmarkEnd w:id="212"/>
    <w:p>
      <w:pPr>
        <w:jc w:val="both"/>
        <w:spacing w:after="0" w:line="245" w:lineRule="auto"/>
        <w:rPr>
          <w:sz w:val="20"/>
          <w:szCs w:val="20"/>
          <w:color w:val="auto"/>
        </w:rPr>
      </w:pPr>
      <w:r>
        <w:rPr>
          <w:rFonts w:ascii="Times New Roman" w:cs="Times New Roman" w:eastAsia="Times New Roman" w:hAnsi="Times New Roman"/>
          <w:sz w:val="22"/>
          <w:szCs w:val="22"/>
          <w:color w:val="auto"/>
        </w:rPr>
        <w:t>respect to the condition of the 767 Premises, or with respect to the suitability of the 767 Premises for the conduct of Tenant’s business. Subject to the immediately following sentence, Tenant acknowledges that (a) it is generally familiar with the condition of the 767 Premises and agrees to take the same in its condition “as is” as of the 767 Commencement Date and (b) Landlord shall have no obligation to alter, repair or otherwise prepare the 767 Premises for Tenant’s occupancy or to pay for or construct any improvements to the 767 Premises, except with respect to the 767 TI Allowance. Notwithstanding the immediately preceding sentence, Landlord shall deliver the 767 Premises in broom clean condition and prior to delivery, shall cure any breach of its representations set forth in this Section. Landlord represents and warrants to Tenant that, as of the 767 Commencement Date, (y) the Building Systems serving the 767 Premises shall be in good working condition and that the same shall be serviced by Utilities and other base building services and (z) to the best of Landlord’s actual knowledge (without any duty of investigation), the 767 Premises (other than any curtain wall) does not contain any asbestos or asbestos containing materials. Tenant’s taking of possession of the 767 Premises shall, except as otherwise agreed to in writing by Landlord and Tenant, conclusively establish that the 767 Premises were at such time in good, sanitary and satisfactory condition and repair.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777-01 North ROFO Premises</w:t>
      </w:r>
      <w:r>
        <w:rPr>
          <w:rFonts w:ascii="Times New Roman" w:cs="Times New Roman" w:eastAsia="Times New Roman" w:hAnsi="Times New Roman"/>
          <w:sz w:val="21"/>
          <w:szCs w:val="21"/>
          <w:color w:val="auto"/>
        </w:rPr>
        <w:t xml:space="preserve">. Tenant acknowledges that, except as specifically set forth in this Section, neither Landlord nor any agent of Landlord has made any representation or warranty with respect to the condition of the 777-01 North ROFO Premises, or with respect to the suitability of the 777-01 North ROFO Premises for the conduct of Tenant’s business. Subject to the immediately following sentence, Tenant acknowledges that (a) it is generally familiar with the condition of the 777-01 North ROFO Premises and agrees to take the same in its condition “as is” as of the 777-01 North ROFO Commencement Date and (b) Landlord shall have no obligation to alter, repair or otherwise prepare the 777-01 North ROFO Premises for Tenant’s occupancy or to pay for or construct any improvements to the 777-01 North ROFO Premises, except with respect to the 777-01 North ROFO TI Allowance and the 777-01 North ROFO Initial Landlord Work (and, if properly requested by Tenant pursuant to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the 777-01 North ROFO Subsequent Landlord Work). Notwithstanding the immediately preceding sentence, Landlord shall deliver the 777-01 North ROFO Premises to Tenant in the same or substantially similar condition as it was on the Execution Date, except that (m) upon delivery, there shall be demising walls along the perimeter of the 777-01 North ROFO Premises in compliance (as of the 777-01 North ROFO Commencement Date) with Applicable Laws, (n) upon delivery, the 777-01 North ROFO Premises shall be in broom clean condition, (o) prior to delivery, Landlord shall cure any breach of its representations set forth in this Section and (p) upon delivery, the 777-01 North ROFO Initial Landlord Work shall be substantially completed in accordance with the terms of this Sixteenth Amendment. Landlord represents and warrants to Tenant that, as of the 777-01 North ROFO Commencement Date, the Building Systems that service the 777-01 North ROFO Premises shall be in good working condition and that the same shall be serviced by Utilities and other base building services. Tenant’s taking of possession of the 777-01 North ROFO Premises shall, except as otherwise agreed to in writing by Landlord and Tenant, conclusively establish that the 777-01 North ROFO Premises were at such time in good, sanitary and satisfactory condition and repair.</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 Tenant acknowledges that, except as specifically set forth in this Section, neither Landlord nor any agent of Landlord has made any representation 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213" w:name="page214"/>
    <w:bookmarkEnd w:id="213"/>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warranty with respect to the condition of the 777-02 North ROFO Premises, or with respect to the suitability of the 777-02 North ROFO Premises for the conduct of Tenant’s business. Subject to the immediately following sentence, Tenant acknowledges that (a) it is generally familiar with the condition of the 777-02 North ROFO Premises and agrees to take the same in its condition “as is” as of the 777-02 North ROFO Commencement Date and (b) Landlord shall have no obligation to alter, repair or otherwise prepare the 777-02 North ROFO Premises for Tenant’s occupancy or to pay for or construct any improvements to the 777-02 North ROFO Premises, except with respect to the 777-02 North ROFO TI Allowance and the 777-02 North ROFO Initial Landlord Work (and, if properly requested by Tenant pursuant to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the 777-02 North ROFO Subsequent Landlord Work). Notwithstanding the immediately preceding sentence, Landlord shall deliver the 777-02 North ROFO Premises to Tenant in the same or substantially similar condition as it was on the Execution Date, except that (m) upon delivery, there shall be demising walls along the perimeter of the 777-02 North ROFO Premises in compliance (as of the 777-02 North ROFO Commencement Date) with Applicable Laws,</w:t>
      </w:r>
    </w:p>
    <w:p>
      <w:pPr>
        <w:spacing w:after="0" w:line="4" w:lineRule="exact"/>
        <w:rPr>
          <w:sz w:val="20"/>
          <w:szCs w:val="20"/>
          <w:color w:val="auto"/>
        </w:rPr>
      </w:pPr>
    </w:p>
    <w:p>
      <w:pPr>
        <w:jc w:val="both"/>
        <w:ind w:firstLine="8"/>
        <w:spacing w:after="0" w:line="244" w:lineRule="auto"/>
        <w:tabs>
          <w:tab w:leader="none" w:pos="32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the 777-02 North ROFO Premises shall be in broom clean condition, (o) prior to delivery, Landlord shall cure any breach of its representations set forth in this Section and (p) upon delivery, the 777-02 North ROFO Initial Landlord Work shall be substantially completed in accordance with the terms of this Sixteenth Amendment. Landlord represents and warrants to Tenant that, as of the 777-02 North ROFO Commencement Date, the Building Systems that service the 777-02 North ROFO Premises shall be in good working condition and that the same shall be serviced by Utilities and other base building services. Tenant’s taking of possession of the 777-02 North ROFO Premises shall, except as otherwise agreed to in writing by Landlord and Tenant, conclusively establish that the 777-02 North ROFO Premises were at such time in good, sanitary and satisfactory condition and repair.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777 C-Level 777C04 Premises</w:t>
      </w:r>
      <w:r>
        <w:rPr>
          <w:rFonts w:ascii="Times New Roman" w:cs="Times New Roman" w:eastAsia="Times New Roman" w:hAnsi="Times New Roman"/>
          <w:sz w:val="21"/>
          <w:szCs w:val="21"/>
          <w:color w:val="auto"/>
        </w:rPr>
        <w:t>. Tenant acknowledges that, except as specifically set forth in this Section, neither Landlord nor any agent of Landlord has made any representation or warranty with respect to the condition of the 777 C-Level 777C04 Premises, or with respect to the suitability of the 777 C-Level 777C04 Premises for the conduct of Tenant’s business. Subject to the immediately following sentence, Tenant acknowledges that (a) it is generally familiar with the condition of the 777 C-Level 777C04 Premises and agrees to take the same in its condition “as is” as of the 777 C-Level 777C04 Commencement Date and (b) Landlord shall have no obligation to alter, repair or otherwise prepare the 777 C-Level 777C04 Premises for Tenant’s occupancy or to pay for or construct any improvements to the 777 C-Level 777C04 Premises, except with respect to the 777 C-Level 777C04 TI Allowance and the 777 C-Level 777C04 Landlord Work. Notwithstanding the immediately preceding sentence, Landlord shall deliver the 777 C-Level 777C04 Premises to Tenant in the same or substantially similar condition as it was on the Execution Date, except that (m) upon delivery, there shall be demising walls along the perimeter of the 777 C-Level 777C04 Premises in compliance (as of the 777 C-Level 777C04 Commencement Date) with Applicable Laws, (n) upon delivery, the 777 C-Level 777C04 Premises shall be in broom clean condition, (o) prior to delivery, Landlord shall cure any breach of its representations set forth in this Section and (p) upon delivery, the 777 C-Level 777C04 Landlord Work shall be substantially completed in accordance with the terms of this Sixteenth Amendment. Landlord represents and warrants to Tenant that, as of the 777 C-Level 777C04 Commencement Date, (y) the Building Systems that service the 777 C-Level 777C04 Premises shall be in good working condition and that the same shall be serviced by Utilities and other base building services (except hot water shall not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214" w:name="page215"/>
    <w:bookmarkEnd w:id="214"/>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be provided to the 777 C-Level 777C04 Premises) and (z) to the best of Landlord’s actual knowledge (without any duty of investigation), the 777 C-Level 777C04 Premises does not contain any asbestos or asbestos containing materials. Tenant’s taking of possession of the 777 C-Level 777C04 Premises shall, except as otherwise agreed to in writing by Landlord and Tenant, conclusively establish that the 777 C-Level 777C04 Premises were at such time in good, sanitary and satisfactory condition and repair. Landlord shall endeavor to make hot water available to the 777 C-Level 777C04 Premises on or before October 1, 2015. Tenant acknowledges that Landlord may require access to the 777 C-Level 777C04 Premises during the Term in order to perform such work, therefore, Tenant shall, upon one (1) business day prior notice from Landlord, permit Landlord to enter the 777 C-Level 777C04 Premises for the purposes of performing such work upon prior notification by Landlord and Landlord shall reasonably cooperate with Tenant so as to cause as little interference to Tenant as is reasonably possible;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Landlord’s performance of such work (i) cause Tenant’s rent to abate under the Lease or (ii) constitute a forcible or unlawful entry, a detainer or an eviction of Tenant.</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 xml:space="preserve">. Tenant acknowledges that, except as specifically set forth in this Section, neither Landlord nor any agent of Landlord has made any representation or warranty with respect to the condition of the 777-01 Northeast ROFO Premises, or with respect to the suitability of the 777-01 Northeast ROFO Premises for the conduct of Tenant’s business. Subject to the immediately following sentence, Tenant acknowledges that (a) it is generally familiar with the condition of the 777-01 Northeast ROFO Premises and agrees to take the same in its condition “as is” as of the 777-01 Northeast ROFO Commencement Date and (b) Landlord shall have no obligation to alter, repair or otherwise prepare the 777-01 Northeast ROFO Premises for Tenant’s occupancy or to pay for or construct any improvements to the 777-01 Northeast ROFO Premises, except with respect to the 777-01 Northeast ROFO TI Allowance and the 777-01 Northeast ROFO Initial Landlord Work (and, if properly requested by Tenant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the 777-01 Northeast ROFO Subsequent Landlord Work, subject to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Notwithstanding the immediately preceding sentence, Landlord shall deliver the 777-01 Northeast ROFO Premises to Tenant in the same or substantially similar condition as it was on the Execution Date, except that (m) upon delivery, there shall be demising walls along the perimeter of the 777-01 Northeast ROFO Premises in compliance (as of the 777-01 Northeast ROFO Commencement Date) with Applicable Law, (n) upon delivery, the 777-01 Northeast ROFO Premises shall be in broom clean condition and the Vacating Tenant shall have vacated the 777-01 Northeast ROFO Premises, (o) prior to delivery, Landlord shall cure any breach of its representations set forth in this Section and (p) upon delivery, the 777-01 Northeast ROFO Initial Landlord Work shall be substantially completed in accordance with the terms of this Sixteenth Amendment, subject to </w:t>
      </w:r>
      <w:r>
        <w:rPr>
          <w:rFonts w:ascii="Times New Roman" w:cs="Times New Roman" w:eastAsia="Times New Roman" w:hAnsi="Times New Roman"/>
          <w:sz w:val="22"/>
          <w:szCs w:val="22"/>
          <w:u w:val="single" w:color="auto"/>
          <w:color w:val="auto"/>
        </w:rPr>
        <w:t>Section 10.1(c)(iii)</w:t>
      </w:r>
      <w:r>
        <w:rPr>
          <w:rFonts w:ascii="Times New Roman" w:cs="Times New Roman" w:eastAsia="Times New Roman" w:hAnsi="Times New Roman"/>
          <w:sz w:val="22"/>
          <w:szCs w:val="22"/>
          <w:color w:val="auto"/>
        </w:rPr>
        <w:t>. Landlord represents and warrants to Tenant that, as of the 777-01 Northeast ROFO Commencement Date, the Building Systems that service the 777-01 Northeast ROFO Premises shall be in good working condition and that the same shall be serviced by Utilities and other base building services. Tenant’s taking of possession of the 777-01 Northeast ROFO Premises shall, except as otherwise agreed to in writing by Landlord and Tenant, conclusively establish that the 777-01 Northeast ROFO Premises were at such time in good, sanitary and satisfactory condition and repair.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69" w:right="239" w:bottom="1440" w:gutter="0" w:footer="0" w:header="0"/>
        </w:sectPr>
      </w:pPr>
    </w:p>
    <w:bookmarkStart w:id="215" w:name="page216"/>
    <w:bookmarkEnd w:id="215"/>
    <w:p>
      <w:pPr>
        <w:jc w:val="both"/>
        <w:ind w:firstLine="8"/>
        <w:spacing w:after="0" w:line="252" w:lineRule="auto"/>
        <w:tabs>
          <w:tab w:leader="none" w:pos="81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Option</w:t>
      </w:r>
      <w:r>
        <w:rPr>
          <w:rFonts w:ascii="Times New Roman" w:cs="Times New Roman" w:eastAsia="Times New Roman" w:hAnsi="Times New Roman"/>
          <w:sz w:val="21"/>
          <w:szCs w:val="21"/>
          <w:color w:val="auto"/>
        </w:rPr>
        <w:t>. Tenant shall be entitled to terminate the Lease with respect to the 767 Premises (but only with respect to all of the 767 Premises) at any time after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anniversary of the 767 Commencement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Tenant (a) provides Landlord with no less than twelve (12) months’ prior written notice and (b) pays (on or before the effective date of such termination) to Landlord a termination fee equal to the unamortized (as of the termination date) amounts (calculated by amortizing the applicable amounts described in clauses (m) and (n) below on a straight-line basis commencing on the 767 Commencement Date, and continuing thereafter until June 30, 2029) of (m) the 767 TI Allowance and (n) any commission payable to Tenant’s Broker (as defined below) in connection with this Sixteenth Amendment for the 767 Premises. If Tenant timely exercises its option to terminate the Lease with respect to the 767 Premises and pays Landlord the applicable termination fee, then Tenant shall surrender the 767 Premises to Landlord on the applicable surrender date in the condition required by the Lease for surrendering Premises upon the expiration or earlier termination thereof. From and after the date on which Tenant actually surrenders the 767 Premises in the condition required by the Lease for surrendering Premises, (x) the Lease (with respect to the 767 Premises only) shall terminate and be of no further force or effect as of the termination date, except for those provisions that expressly survive the expiration or earlier termination thereof (including Landlord’s rights to any unpaid balance of Tenant), (y) the term “Premises” as used in the Lease shall no longer include the 767 Premises and (z) Tenant’s Pro Rata Share shall be adjusted accordingly.</w:t>
      </w:r>
    </w:p>
    <w:p>
      <w:pPr>
        <w:spacing w:after="0" w:line="186" w:lineRule="exact"/>
        <w:rPr>
          <w:rFonts w:ascii="Times New Roman" w:cs="Times New Roman" w:eastAsia="Times New Roman" w:hAnsi="Times New Roman"/>
          <w:sz w:val="21"/>
          <w:szCs w:val="21"/>
          <w:color w:val="auto"/>
        </w:rPr>
      </w:pPr>
    </w:p>
    <w:p>
      <w:pPr>
        <w:ind w:left="820" w:hanging="812"/>
        <w:spacing w:after="0"/>
        <w:tabs>
          <w:tab w:leader="none" w:pos="82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Extension Options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 xml:space="preserve">The first paragraph of </w:t>
      </w:r>
      <w:r>
        <w:rPr>
          <w:rFonts w:ascii="Times New Roman" w:cs="Times New Roman" w:eastAsia="Times New Roman" w:hAnsi="Times New Roman"/>
          <w:sz w:val="21"/>
          <w:szCs w:val="21"/>
          <w:u w:val="single" w:color="auto"/>
          <w:color w:val="auto"/>
        </w:rPr>
        <w:t>Article 44</w:t>
      </w:r>
      <w:r>
        <w:rPr>
          <w:rFonts w:ascii="Times New Roman" w:cs="Times New Roman" w:eastAsia="Times New Roman" w:hAnsi="Times New Roman"/>
          <w:sz w:val="21"/>
          <w:szCs w:val="21"/>
          <w:color w:val="auto"/>
        </w:rPr>
        <w:t xml:space="preserve"> of the Lease is hereby deleted and replaced with the following:</w:t>
      </w:r>
    </w:p>
    <w:p>
      <w:pPr>
        <w:spacing w:after="0" w:line="233" w:lineRule="exact"/>
        <w:rPr>
          <w:sz w:val="20"/>
          <w:szCs w:val="20"/>
          <w:color w:val="auto"/>
        </w:rPr>
      </w:pPr>
    </w:p>
    <w:p>
      <w:pPr>
        <w:jc w:val="both"/>
        <w:ind w:left="1300" w:firstLine="5"/>
        <w:spacing w:after="0" w:line="258" w:lineRule="auto"/>
        <w:tabs>
          <w:tab w:leader="none" w:pos="186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to Extend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Option to Extend Term</w:t>
      </w:r>
      <w:r>
        <w:rPr>
          <w:rFonts w:ascii="Times New Roman" w:cs="Times New Roman" w:eastAsia="Times New Roman" w:hAnsi="Times New Roman"/>
          <w:sz w:val="21"/>
          <w:szCs w:val="21"/>
          <w:color w:val="auto"/>
        </w:rPr>
        <w:t>. Tenant shall have three (3) options (each,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extend the Term of this Lease (and, in each case, the Expiration Premises Term Expiration Date and/or the Extension Premises Term Expiration Date, as applicable), with respect to the applicable portion of the Premises extended by an Option,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and the 765 Expansion Premises III, (b) the entire New Whole Building Premises, (c) the entire New Multiple Tenant Building Premises,</w:t>
      </w:r>
    </w:p>
    <w:p>
      <w:pPr>
        <w:jc w:val="both"/>
        <w:ind w:left="1300" w:right="20"/>
        <w:spacing w:after="0" w:line="1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the Modified Additional Premises, (e) the Swap Premises, 765 Elevator Lobby Premises,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Elevator Lobby Premises and the 765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Corridor Premises, (f) each full floor of the 755 Premises, (g) the</w:t>
      </w:r>
    </w:p>
    <w:p>
      <w:pPr>
        <w:ind w:left="1300" w:firstLine="5"/>
        <w:spacing w:after="0" w:line="248" w:lineRule="auto"/>
        <w:tabs>
          <w:tab w:leader="none" w:pos="169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Premises, (h) the 765 Expansion Premises II, (i) C-Level Storage Spaces, (j) the 777 License Area Premises and the 777 S-Level Corridor Premises, (k) the 01 Premises,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216" w:name="page217"/>
    <w:bookmarkEnd w:id="216"/>
    <w:p>
      <w:pPr>
        <w:jc w:val="both"/>
        <w:ind w:left="1300"/>
        <w:spacing w:after="0" w:line="258" w:lineRule="auto"/>
        <w:rPr>
          <w:sz w:val="20"/>
          <w:szCs w:val="20"/>
          <w:color w:val="auto"/>
        </w:rPr>
      </w:pPr>
      <w:r>
        <w:rPr>
          <w:rFonts w:ascii="Times New Roman" w:cs="Times New Roman" w:eastAsia="Times New Roman" w:hAnsi="Times New Roman"/>
          <w:sz w:val="21"/>
          <w:szCs w:val="21"/>
          <w:color w:val="auto"/>
        </w:rPr>
        <w:t>the Additional 01 Premises, from and after the 777-01 North ROFO Commencement Date, the 777-01 North ROFO Premises and, from and after the 777-01 Northeast ROFO Commencement Date, the 777-01 Northeast ROFO Premises, (l) the 777-02 Premises and, from and after the 777-02 North ROFO Commencement Date, the 777-02 North ROFO Premises, (m) the 765 Mezz Premises, (n) from and after the High Bay Premises Commencement Date, the High Bay Premises, (o) from and after the 777 North Spine Level Premises Commencement Date, the 777 North Spine Level Premises, (p) from and after the 777 Northwest Lobby Level Premises Commencement Date, the 777 Northwest Lobby Level Premises, (q) the 777 G-Level Expansion Premises, (p) from and after the 777 C-Level 777C04 Commencement Date, the 777 C-Level 777C04 Premises and (q) the 767 Premises. If Tenant fails to exercise an Option with respect to less than all of the Premises and the time to do so has lapsed (or if a Retained Premises Early Termination, a termination pursuant to a Swap Premises Termination Option, or any other termination of a portion of the Premises pursuant to the Lease has occurred), then Tenant shall no longer have an Option with respect to those portions of the Premises (y) for which it failed to exercise an Option, although Tenant’s Options for the remaining Premises shall remain in full force and effect or (z) that have terminated.</w:t>
      </w:r>
    </w:p>
    <w:p>
      <w:pPr>
        <w:spacing w:after="0" w:line="177" w:lineRule="exact"/>
        <w:rPr>
          <w:sz w:val="20"/>
          <w:szCs w:val="20"/>
          <w:color w:val="auto"/>
        </w:rPr>
      </w:pPr>
    </w:p>
    <w:p>
      <w:pPr>
        <w:ind w:left="820" w:hanging="812"/>
        <w:spacing w:after="0"/>
        <w:tabs>
          <w:tab w:leader="none" w:pos="8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Improvements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767 Premises</w:t>
      </w:r>
      <w:r>
        <w:rPr>
          <w:rFonts w:ascii="Times New Roman" w:cs="Times New Roman" w:eastAsia="Times New Roman" w:hAnsi="Times New Roman"/>
          <w:sz w:val="22"/>
          <w:szCs w:val="22"/>
          <w:color w:val="auto"/>
        </w:rPr>
        <w:t>. Landlord shall make available to Tenant a tenant improvement allowance of One Million One Hundred Seventy-Six Thousand Two Hundred Ten Dollars ($1,176,210), based on Fifteen Dollars ($15) per square foot of Rentable Area of the 767 Premises (the “</w:t>
      </w:r>
      <w:r>
        <w:rPr>
          <w:rFonts w:ascii="Times New Roman" w:cs="Times New Roman" w:eastAsia="Times New Roman" w:hAnsi="Times New Roman"/>
          <w:sz w:val="22"/>
          <w:szCs w:val="22"/>
          <w:u w:val="single" w:color="auto"/>
          <w:color w:val="auto"/>
        </w:rPr>
        <w:t>767 TI Allowance</w:t>
      </w:r>
      <w:r>
        <w:rPr>
          <w:rFonts w:ascii="Times New Roman" w:cs="Times New Roman" w:eastAsia="Times New Roman" w:hAnsi="Times New Roman"/>
          <w:sz w:val="22"/>
          <w:szCs w:val="22"/>
          <w:color w:val="auto"/>
        </w:rPr>
        <w:t>”) for Tenant’s performance of its improvements to the 767 Premises (the “</w:t>
      </w:r>
      <w:r>
        <w:rPr>
          <w:rFonts w:ascii="Times New Roman" w:cs="Times New Roman" w:eastAsia="Times New Roman" w:hAnsi="Times New Roman"/>
          <w:sz w:val="22"/>
          <w:szCs w:val="22"/>
          <w:u w:val="single" w:color="auto"/>
          <w:color w:val="auto"/>
        </w:rPr>
        <w:t>767 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 xml:space="preserve">”). The 767 TI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767 Tenant Work. Tenant shall pay Landlord a construction oversight fee of two and one-half percent (2.5%) of the total cost of the 767 Tenant Work or other improvements performed using the 767 TI Allowance, which construction oversight fee may be paid out of the 767 TI Allowance. Tenant shall be responsible for (a) performing and completing the 767 Tenant Work and (b) any costs of the 767 Tenant Work in excess of the 767 TI Allowance.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777-01 North ROFO Premises</w:t>
      </w:r>
      <w:r>
        <w:rPr>
          <w:rFonts w:ascii="Times New Roman" w:cs="Times New Roman" w:eastAsia="Times New Roman" w:hAnsi="Times New Roman"/>
          <w:sz w:val="22"/>
          <w:szCs w:val="22"/>
          <w:color w:val="auto"/>
        </w:rPr>
        <w:t>. Landlord shall make available to Tenant a tenant improvement allowance of One Hundred Eleven Thousand One Hundred Thirty-Five Dollars ($111,135), based on Fifteen Dollars ($15) per square foot of Rentable Area of the 777-01 North ROFO Premises (the “</w:t>
      </w:r>
      <w:r>
        <w:rPr>
          <w:rFonts w:ascii="Times New Roman" w:cs="Times New Roman" w:eastAsia="Times New Roman" w:hAnsi="Times New Roman"/>
          <w:sz w:val="22"/>
          <w:szCs w:val="22"/>
          <w:u w:val="single" w:color="auto"/>
          <w:color w:val="auto"/>
        </w:rPr>
        <w:t>777-01 North ROFO TI Allowance</w:t>
      </w:r>
      <w:r>
        <w:rPr>
          <w:rFonts w:ascii="Times New Roman" w:cs="Times New Roman" w:eastAsia="Times New Roman" w:hAnsi="Times New Roman"/>
          <w:sz w:val="22"/>
          <w:szCs w:val="22"/>
          <w:color w:val="auto"/>
        </w:rPr>
        <w:t>”) for Tenant’s performance of its improvements to the 777-01 North ROFO Premises (the “</w:t>
      </w:r>
      <w:r>
        <w:rPr>
          <w:rFonts w:ascii="Times New Roman" w:cs="Times New Roman" w:eastAsia="Times New Roman" w:hAnsi="Times New Roman"/>
          <w:sz w:val="22"/>
          <w:szCs w:val="22"/>
          <w:u w:val="single" w:color="auto"/>
          <w:color w:val="auto"/>
        </w:rPr>
        <w:t>777-01 North ROFO Tenant Work</w:t>
      </w:r>
      <w:r>
        <w:rPr>
          <w:rFonts w:ascii="Times New Roman" w:cs="Times New Roman" w:eastAsia="Times New Roman" w:hAnsi="Times New Roman"/>
          <w:sz w:val="22"/>
          <w:szCs w:val="22"/>
          <w:color w:val="auto"/>
        </w:rPr>
        <w:t xml:space="preserve">”). The 777-01 North ROFO TI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777-01 North ROFO Tenant Work. Tenant shall pay Landlord a construction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217" w:name="page218"/>
    <w:bookmarkEnd w:id="217"/>
    <w:p>
      <w:pPr>
        <w:jc w:val="both"/>
        <w:spacing w:after="0" w:line="252" w:lineRule="auto"/>
        <w:rPr>
          <w:sz w:val="20"/>
          <w:szCs w:val="20"/>
          <w:color w:val="auto"/>
        </w:rPr>
      </w:pPr>
      <w:r>
        <w:rPr>
          <w:rFonts w:ascii="Times New Roman" w:cs="Times New Roman" w:eastAsia="Times New Roman" w:hAnsi="Times New Roman"/>
          <w:sz w:val="22"/>
          <w:szCs w:val="22"/>
          <w:color w:val="auto"/>
        </w:rPr>
        <w:t>oversight fee of two and one-half percent (2.5%) of the total cost of the 777-01 North ROFO Tenant Work or other improvements performed using the 777-01 North ROFO TI Allowance, which construction oversight fee may be paid out of the 777-01 North ROFO TI Allowance. Tenant shall be responsible for (a) performing and completing the 777-01 North ROFO Tenant Work and (b) any costs of the 777-01 North ROFO Tenant Work in excess of the 777-01 North ROFO TI Allowance.</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 Landlord shall make available to Tenant a tenant improvement allowance of One Hundred Sixty Thousand Five Hundred Dollars ($160,500), based on Fifteen Dollars ($15) per square foot of Rentable Area of the 777-02 North ROFO Premises (the “</w:t>
      </w:r>
      <w:r>
        <w:rPr>
          <w:rFonts w:ascii="Times New Roman" w:cs="Times New Roman" w:eastAsia="Times New Roman" w:hAnsi="Times New Roman"/>
          <w:sz w:val="22"/>
          <w:szCs w:val="22"/>
          <w:u w:val="single" w:color="auto"/>
          <w:color w:val="auto"/>
        </w:rPr>
        <w:t>777-02 North ROFO TI Allowance</w:t>
      </w:r>
      <w:r>
        <w:rPr>
          <w:rFonts w:ascii="Times New Roman" w:cs="Times New Roman" w:eastAsia="Times New Roman" w:hAnsi="Times New Roman"/>
          <w:sz w:val="22"/>
          <w:szCs w:val="22"/>
          <w:color w:val="auto"/>
        </w:rPr>
        <w:t>”) for Tenant’s performance of its improvements to the 777-02 North ROFO Premises (the “</w:t>
      </w:r>
      <w:r>
        <w:rPr>
          <w:rFonts w:ascii="Times New Roman" w:cs="Times New Roman" w:eastAsia="Times New Roman" w:hAnsi="Times New Roman"/>
          <w:sz w:val="22"/>
          <w:szCs w:val="22"/>
          <w:u w:val="single" w:color="auto"/>
          <w:color w:val="auto"/>
        </w:rPr>
        <w:t>777-02 North ROFO Tenant Work</w:t>
      </w:r>
      <w:r>
        <w:rPr>
          <w:rFonts w:ascii="Times New Roman" w:cs="Times New Roman" w:eastAsia="Times New Roman" w:hAnsi="Times New Roman"/>
          <w:sz w:val="22"/>
          <w:szCs w:val="22"/>
          <w:color w:val="auto"/>
        </w:rPr>
        <w:t xml:space="preserve">”). The 777-02 North ROFO TI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777-02 North ROFO Tenant Work. Tenant shall pay Landlord a construction oversight fee of two and one-half percent (2.5%) of the total cost of the 777-02 North ROFO Tenant Work or other improvements performed using the 777-02 North ROFO TI Allowance, which construction oversight fee may be paid out of the 777-02 North ROFO TI Allowance. Tenant shall be responsible for (a) performing and completing the 777-02 North ROFO Tenant Work and (b) any costs of the 777-02 North ROFO Tenant Work in excess of the 777-02 North ROFO TI Allowance.</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777 C-Level 777C04 Premises</w:t>
      </w:r>
      <w:r>
        <w:rPr>
          <w:rFonts w:ascii="Times New Roman" w:cs="Times New Roman" w:eastAsia="Times New Roman" w:hAnsi="Times New Roman"/>
          <w:sz w:val="22"/>
          <w:szCs w:val="22"/>
          <w:color w:val="auto"/>
        </w:rPr>
        <w:t>. Landlord shall make available to Tenant a tenant improvement allowance of Eighty-One Thousand Five Hundred Forty-Five Dollars ($81,545), based on Five Dollars ($5) per square foot of Rentable Area of the 777 C-Level 777C04 Premises (the “</w:t>
      </w:r>
      <w:r>
        <w:rPr>
          <w:rFonts w:ascii="Times New Roman" w:cs="Times New Roman" w:eastAsia="Times New Roman" w:hAnsi="Times New Roman"/>
          <w:sz w:val="22"/>
          <w:szCs w:val="22"/>
          <w:u w:val="single" w:color="auto"/>
          <w:color w:val="auto"/>
        </w:rPr>
        <w:t>777 C-Level 777C04 TI Allowance</w:t>
      </w:r>
      <w:r>
        <w:rPr>
          <w:rFonts w:ascii="Times New Roman" w:cs="Times New Roman" w:eastAsia="Times New Roman" w:hAnsi="Times New Roman"/>
          <w:sz w:val="22"/>
          <w:szCs w:val="22"/>
          <w:color w:val="auto"/>
        </w:rPr>
        <w:t>”) for Tenant’s performance of its improvements to the 777 C-Level 777C04 Premises (the “</w:t>
      </w:r>
      <w:r>
        <w:rPr>
          <w:rFonts w:ascii="Times New Roman" w:cs="Times New Roman" w:eastAsia="Times New Roman" w:hAnsi="Times New Roman"/>
          <w:sz w:val="22"/>
          <w:szCs w:val="22"/>
          <w:u w:val="single" w:color="auto"/>
          <w:color w:val="auto"/>
        </w:rPr>
        <w:t>777 C-Level 777C04 Tenant Work</w:t>
      </w:r>
      <w:r>
        <w:rPr>
          <w:rFonts w:ascii="Times New Roman" w:cs="Times New Roman" w:eastAsia="Times New Roman" w:hAnsi="Times New Roman"/>
          <w:sz w:val="22"/>
          <w:szCs w:val="22"/>
          <w:color w:val="auto"/>
        </w:rPr>
        <w:t xml:space="preserve"> ”). The 777 C-Level 777C04 TI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777 C-Level 777C04 Tenant Work. Tenant shall pay Landlord a construction oversight fee of two and one-half percent (2.5%) of the total cost of the 777 C-Level 777C04 Tenant Work or other improvements performed using the 777 C-Level 777C04 TI Allowance, which construction oversight fee may be paid out of the 777 C-Level 777C04 TI Allowance. Tenant shall be responsible for (a) performing and completing the 777 C-Level 777C04 Tenant Work and (b) any costs of the 777 C-Level 777C04 Tenant Work in excess of the 777 C-Level 777C04 TI Allowance.</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 Landlord shall make available to Tenant a tenant improvement allowance of Forty-Five Thousand Four Hundred Ninety-Five Dollars ($45,495), based on Fifteen Dollars ($15) per square foot of Rentable Area of the 777-01 Northeast ROFO Premises (the “</w:t>
      </w:r>
      <w:r>
        <w:rPr>
          <w:rFonts w:ascii="Times New Roman" w:cs="Times New Roman" w:eastAsia="Times New Roman" w:hAnsi="Times New Roman"/>
          <w:sz w:val="22"/>
          <w:szCs w:val="22"/>
          <w:u w:val="single" w:color="auto"/>
          <w:color w:val="auto"/>
        </w:rPr>
        <w:t>777-01 Northeast ROFO TI Allowance</w:t>
      </w:r>
      <w:r>
        <w:rPr>
          <w:rFonts w:ascii="Times New Roman" w:cs="Times New Roman" w:eastAsia="Times New Roman" w:hAnsi="Times New Roman"/>
          <w:sz w:val="22"/>
          <w:szCs w:val="22"/>
          <w:color w:val="auto"/>
        </w:rPr>
        <w:t>”) for Tenant’s performance of its improvements to the 777-01 Northeast ROFO Premises (the “</w:t>
      </w:r>
      <w:r>
        <w:rPr>
          <w:rFonts w:ascii="Times New Roman" w:cs="Times New Roman" w:eastAsia="Times New Roman" w:hAnsi="Times New Roman"/>
          <w:sz w:val="22"/>
          <w:szCs w:val="22"/>
          <w:u w:val="single" w:color="auto"/>
          <w:color w:val="auto"/>
        </w:rPr>
        <w:t>777-01 Northeast ROFO Tenant Work</w:t>
      </w:r>
      <w:r>
        <w:rPr>
          <w:rFonts w:ascii="Times New Roman" w:cs="Times New Roman" w:eastAsia="Times New Roman" w:hAnsi="Times New Roman"/>
          <w:sz w:val="22"/>
          <w:szCs w:val="22"/>
          <w:color w:val="auto"/>
        </w:rPr>
        <w:t xml:space="preserve">”). The 777-01 Northeast ROFO TI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777-01 Northeast ROFO Tenant Work. Tenant shall pay Landlord a construction oversight fee of two and one-half percent (2.5%) of the total cost of the 777-01 Northeast ROFO Tenant Work or other improvements performed using the 777-01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218" w:name="page219"/>
    <w:bookmarkEnd w:id="218"/>
    <w:p>
      <w:pPr>
        <w:jc w:val="both"/>
        <w:spacing w:after="0" w:line="257" w:lineRule="auto"/>
        <w:rPr>
          <w:sz w:val="20"/>
          <w:szCs w:val="20"/>
          <w:color w:val="auto"/>
        </w:rPr>
      </w:pPr>
      <w:r>
        <w:rPr>
          <w:rFonts w:ascii="Times New Roman" w:cs="Times New Roman" w:eastAsia="Times New Roman" w:hAnsi="Times New Roman"/>
          <w:sz w:val="22"/>
          <w:szCs w:val="22"/>
          <w:color w:val="auto"/>
        </w:rPr>
        <w:t>Northeast ROFO TI Allowance, which construction oversight fee may be paid out of the 777-01 Northeast ROFO TI Allowance. Tenant shall be responsible for (a) performing and completing the 777-01 Northeast ROFO Tenant Work and (b) any costs of the 777-01 Northeast ROFO Tenant Work in excess of the 777-01 Northeast ROFO TI Allowance.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9.6. Landlord shall make available to Tenant a tenant improvement allowance of One Hundred Thousand Dollars ($100,000) (the “</w:t>
      </w:r>
      <w:r>
        <w:rPr>
          <w:rFonts w:ascii="Times New Roman" w:cs="Times New Roman" w:eastAsia="Times New Roman" w:hAnsi="Times New Roman"/>
          <w:sz w:val="22"/>
          <w:szCs w:val="22"/>
          <w:u w:val="single" w:color="auto"/>
          <w:color w:val="auto"/>
        </w:rPr>
        <w:t>VAV Allowance</w:t>
      </w:r>
      <w:r>
        <w:rPr>
          <w:rFonts w:ascii="Times New Roman" w:cs="Times New Roman" w:eastAsia="Times New Roman" w:hAnsi="Times New Roman"/>
          <w:sz w:val="22"/>
          <w:szCs w:val="22"/>
          <w:color w:val="auto"/>
        </w:rPr>
        <w:t xml:space="preserve">”), for Tenant’s performance of its improvements to the 777-01 North ROFO Premises, 777-02 North ROFO Premises and 777-01 Northeast ROFO Premises listed in Item 1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VAV Work</w:t>
      </w:r>
      <w:r>
        <w:rPr>
          <w:rFonts w:ascii="Times New Roman" w:cs="Times New Roman" w:eastAsia="Times New Roman" w:hAnsi="Times New Roman"/>
          <w:sz w:val="22"/>
          <w:szCs w:val="22"/>
          <w:color w:val="auto"/>
        </w:rPr>
        <w:t xml:space="preserve">”). The VAV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VAV Work. In the event Tenant elects to perform the VAV Work, Tenant shall be responsible for (a) performing and completing the VAV Work and (b) any costs of the VAV Work in excess of the VAV Allowance.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9.7. Landlord shall make available to Tenant a tenant improvement allowance of Seventy-Five Thousand Dollars ($75,000) (the “</w:t>
      </w:r>
      <w:r>
        <w:rPr>
          <w:rFonts w:ascii="Times New Roman" w:cs="Times New Roman" w:eastAsia="Times New Roman" w:hAnsi="Times New Roman"/>
          <w:sz w:val="22"/>
          <w:szCs w:val="22"/>
          <w:u w:val="single" w:color="auto"/>
          <w:color w:val="auto"/>
        </w:rPr>
        <w:t>Fintube Allowance</w:t>
      </w:r>
      <w:r>
        <w:rPr>
          <w:rFonts w:ascii="Times New Roman" w:cs="Times New Roman" w:eastAsia="Times New Roman" w:hAnsi="Times New Roman"/>
          <w:sz w:val="22"/>
          <w:szCs w:val="22"/>
          <w:color w:val="auto"/>
        </w:rPr>
        <w:t xml:space="preserve">”), for Tenant’s performance of its improvements to the 777-01 North ROFO Premises, 777-02 North ROFO Premises and 777-01 Northeast ROFO Premises listed in Item 2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Fintube Work</w:t>
      </w:r>
      <w:r>
        <w:rPr>
          <w:rFonts w:ascii="Times New Roman" w:cs="Times New Roman" w:eastAsia="Times New Roman" w:hAnsi="Times New Roman"/>
          <w:sz w:val="22"/>
          <w:szCs w:val="22"/>
          <w:color w:val="auto"/>
        </w:rPr>
        <w:t xml:space="preserve">”). The Fintube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of the Lease, including the Disbursement Conditions, in order to finance the Fintube Work. In the event Tenant elects to perform the Fintube Work, Tenant shall be responsible for (a) performing and completing the Fintube Work and (b) any costs of the Fintube Work in excess of the Fintube Allowance.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9.8. Landlord shall make available to Tenant an allowance of Twenty-Five Thousand Dollars ($25,000) (the “</w:t>
      </w:r>
      <w:r>
        <w:rPr>
          <w:rFonts w:ascii="Times New Roman" w:cs="Times New Roman" w:eastAsia="Times New Roman" w:hAnsi="Times New Roman"/>
          <w:sz w:val="22"/>
          <w:szCs w:val="22"/>
          <w:u w:val="single" w:color="auto"/>
          <w:color w:val="auto"/>
        </w:rPr>
        <w:t>Abatement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xml:space="preserve">”), for Tenant’s performance of the work to the 777-01 North ROFO Premises, 777-02 North ROFO Premises and 777-01 Northeast ROFO Premises listed as Item 3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Abatement Work</w:t>
      </w:r>
      <w:r>
        <w:rPr>
          <w:rFonts w:ascii="Times New Roman" w:cs="Times New Roman" w:eastAsia="Times New Roman" w:hAnsi="Times New Roman"/>
          <w:sz w:val="22"/>
          <w:szCs w:val="22"/>
          <w:color w:val="auto"/>
        </w:rPr>
        <w:t xml:space="preserve">”). The Abatement Allowance shall be disbursed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in order to finance the Abatement Work. In the event Tenant elects to perform the Abatement Work, Tenant shall be responsible for (a) performing and completing such elected portion of the Abatement Work and (b) any costs of the Abatement Work in excess of the Abatement Allowance.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9.9. Collectively, the 767 Tenant Work, 777-01 North ROFO Tenant Work, 777-02 North ROFO Tenant Work, 777 C-Level 777C04 Tenant Work, 777-01 Northeast ROFO Tenant Work, VAV Work, Fintube Work and Abatement Work may be referred to herein as the “</w:t>
      </w:r>
      <w:r>
        <w:rPr>
          <w:rFonts w:ascii="Times New Roman" w:cs="Times New Roman" w:eastAsia="Times New Roman" w:hAnsi="Times New Roman"/>
          <w:sz w:val="22"/>
          <w:szCs w:val="22"/>
          <w:u w:val="single" w:color="auto"/>
          <w:color w:val="auto"/>
        </w:rPr>
        <w:t>Tenant Work</w:t>
      </w:r>
      <w:r>
        <w:rPr>
          <w:rFonts w:ascii="Times New Roman" w:cs="Times New Roman" w:eastAsia="Times New Roman" w:hAnsi="Times New Roman"/>
          <w:sz w:val="22"/>
          <w:szCs w:val="22"/>
          <w:color w:val="auto"/>
        </w:rPr>
        <w:t>.” Each of the 767 TI Allowance, 777-01 North ROFO TI Allowance, 777-02 North ROFO TI Allowance, 777 C-Level 777C04 TI Allowance, 777-01 Northeast ROFO TI Allowance, VAV Allowance, Fintube Allowance and Abatement Allowance may be referred to herein as an “</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9.10. To the extent a certificate of occupancy is required by Applicable Laws, Tenant shall deliver (or cause to be delivered) to Landlord a certificate of occupancy for any and all portions of the 767 Premises, 777-01 North ROFO Premises, 777-02 North ROFO Premises, 777 C-Level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369" w:right="239" w:bottom="1440" w:gutter="0" w:footer="0" w:header="0"/>
        </w:sectPr>
      </w:pPr>
    </w:p>
    <w:bookmarkStart w:id="219" w:name="page220"/>
    <w:bookmarkEnd w:id="219"/>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777C04 Premises and 777-01 Northeast ROFO Premises suitable for the Permitted Use;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prior to Landlord’s delivery of (a) the 777 C-Level 777C04 Premises to Tenant, Landlord shall obtain a certificate of occupancy (or temporary certificate of occupancy) for the 777 C-Level 777C04 Premises suitable for general office storage use and (b) the 777-02 North ROFO Premises, to the extent a certificate of occupancy is required by Applicable Laws, Landlord shall obtain a certificate of occupancy (or temporary certificate of occupancy) for the 777-02 North ROFO Premises suitable for general office use. For purposes of clarity, Landlord’s obligations in (a) and (b) above shall not diminish Tenant’s obligations set forth in the immediately preceding sentence.</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9.11. All Tenant Work shall be performed in accordance with the applicable provisions of the Lease, including the applicable provisions of </w:t>
      </w:r>
      <w:r>
        <w:rPr>
          <w:rFonts w:ascii="Times New Roman" w:cs="Times New Roman" w:eastAsia="Times New Roman" w:hAnsi="Times New Roman"/>
          <w:sz w:val="22"/>
          <w:szCs w:val="22"/>
          <w:u w:val="single" w:color="auto"/>
          <w:color w:val="auto"/>
        </w:rPr>
        <w:t>Articles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provided, however, if there is a conflict between the terms of the Lease and the terms of this Sixteenth Amendment, then the terms of this Sixteenth Amendment shall control. Landlord and Tenant acknowledge that the Work Letter is not applicable to the Tenant Work;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(a) prior to commencing performance of any of the Tenant Work, Tenant shall furnish to Landlord evidence satisfactory to Landlord that insurance coverages required of Tenant under the Work Letter are in effect with respect to the Tenant Work and (b) Tenant assumes the responsibility and liability in connection with the Tenant Work in the same manner as set forth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Work Letter.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9.12. With respect to the 767 TI Allowance, Tenant shall have until the day that is three (3) years after the 767 Commencement Date to submit a disbursement request with all applicable documentation (in the same manner as the Base TI Allowance under the applicable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Lease, including the Disbursement Conditions) for the unused portion of the 767 TI Allowance, after which date Landlord’s obligation to fund such costs shall expire. In no event shall any unused 767 TI Allowance entitle Tenant to a credit against Rent payable under the Lease. Notwithstanding anything in the Lease to the contrary, the 767 TI Allowance may only be applied toward the 767 Tenant Work.</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9.13. With respect to any Allowance (other than the 767 TI Allowance) provided in this Sixteenth Amendment, Tenant shall have until the Expiration Premises Term Expiration Date (subject to extension or earlier termination of the Lease as provided therein) to submit a disbursement request with all applicable documentation (in the same manner as the Base TI Allowance under the applicable provisions of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of the Lease, including the Disbursement Conditions) for the unused portion of any such Allowance, after which date Landlord’s obligation to fund such costs shall expire. In no event shall any unused Allowance entitle Tenant to a credit against Rent payable under the Lease. Notwithstanding anything to the contrary in the Lease, any Allowance (other than the 767 TI Allowance, VAV Allowance, Fintube Allowance and Abatement Allowance, which Allowances shall only be used for the specific purposes for which they were granted) provided in this Sixteenth Amendment may be used by Tenant for Tenant improvements in any portion of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Amendment 777 Expansion Premises, regardless of whether such Allowance was made available to Tenant with respect to a specific portion of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Amendment 777 Expansion Premises.</w:t>
      </w:r>
    </w:p>
    <w:p>
      <w:pPr>
        <w:spacing w:after="0" w:line="83" w:lineRule="exact"/>
        <w:rPr>
          <w:sz w:val="20"/>
          <w:szCs w:val="20"/>
          <w:color w:val="auto"/>
        </w:rPr>
      </w:pPr>
    </w:p>
    <w:p>
      <w:pPr>
        <w:ind w:left="920" w:hanging="912"/>
        <w:spacing w:after="0"/>
        <w:tabs>
          <w:tab w:leader="none" w:pos="92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Work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777 Landlord Work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369" w:right="239" w:bottom="1440" w:gutter="0" w:footer="0" w:header="0"/>
        </w:sectPr>
      </w:pPr>
    </w:p>
    <w:bookmarkStart w:id="220" w:name="page221"/>
    <w:bookmarkEnd w:id="220"/>
    <w:p>
      <w:pPr>
        <w:ind w:left="1720" w:hanging="415"/>
        <w:spacing w:after="0"/>
        <w:tabs>
          <w:tab w:leader="none" w:pos="17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777-01 North ROFO Premises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77"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set forth under “Initial Landlord Work” on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 ROFO Initial Landlord Work</w:t>
      </w:r>
      <w:r>
        <w:rPr>
          <w:rFonts w:ascii="Times New Roman" w:cs="Times New Roman" w:eastAsia="Times New Roman" w:hAnsi="Times New Roman"/>
          <w:sz w:val="22"/>
          <w:szCs w:val="22"/>
          <w:color w:val="auto"/>
        </w:rPr>
        <w:t>”) at Landlord’s sole cost and expense and in accordance with Applicable Laws.</w:t>
      </w:r>
    </w:p>
    <w:p>
      <w:pPr>
        <w:spacing w:after="0" w:line="167" w:lineRule="exact"/>
        <w:rPr>
          <w:rFonts w:ascii="Times New Roman" w:cs="Times New Roman" w:eastAsia="Times New Roman" w:hAnsi="Times New Roman"/>
          <w:sz w:val="22"/>
          <w:szCs w:val="22"/>
          <w:color w:val="auto"/>
        </w:rPr>
      </w:pPr>
    </w:p>
    <w:p>
      <w:pPr>
        <w:jc w:val="both"/>
        <w:ind w:firstLine="1953"/>
        <w:spacing w:after="0" w:line="245" w:lineRule="auto"/>
        <w:tabs>
          <w:tab w:leader="none" w:pos="2456"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777-01 North ROFO Commencement Date, but no later than the day that is three (3) years prior to the Expiration Premises Expiration Date, as may be extended in accordance with the Lease (the “</w:t>
      </w:r>
      <w:r>
        <w:rPr>
          <w:rFonts w:ascii="Times New Roman" w:cs="Times New Roman" w:eastAsia="Times New Roman" w:hAnsi="Times New Roman"/>
          <w:sz w:val="22"/>
          <w:szCs w:val="22"/>
          <w:u w:val="single" w:color="auto"/>
          <w:color w:val="auto"/>
        </w:rPr>
        <w:t>Subsequent 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 Notice Deadline</w:t>
      </w:r>
      <w:r>
        <w:rPr>
          <w:rFonts w:ascii="Times New Roman" w:cs="Times New Roman" w:eastAsia="Times New Roman" w:hAnsi="Times New Roman"/>
          <w:sz w:val="22"/>
          <w:szCs w:val="22"/>
          <w:color w:val="auto"/>
        </w:rPr>
        <w:t xml:space="preserve">”), Tenant may deliver written notice to Landlord indicating that Landlord perform the improvements set forth under “Subsequent Landlord Work” on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 ROFO Subsequent Landlord Work</w:t>
      </w:r>
      <w:r>
        <w:rPr>
          <w:rFonts w:ascii="Times New Roman" w:cs="Times New Roman" w:eastAsia="Times New Roman" w:hAnsi="Times New Roman"/>
          <w:sz w:val="22"/>
          <w:szCs w:val="22"/>
          <w:color w:val="auto"/>
        </w:rPr>
        <w:t>” and together with the 777-01 North ROFO Initial Landlord Work, the “</w:t>
      </w:r>
      <w:r>
        <w:rPr>
          <w:rFonts w:ascii="Times New Roman" w:cs="Times New Roman" w:eastAsia="Times New Roman" w:hAnsi="Times New Roman"/>
          <w:sz w:val="22"/>
          <w:szCs w:val="22"/>
          <w:u w:val="single" w:color="auto"/>
          <w:color w:val="auto"/>
        </w:rPr>
        <w:t>777-01 North ROFO Landlord Work</w:t>
      </w:r>
      <w:r>
        <w:rPr>
          <w:rFonts w:ascii="Times New Roman" w:cs="Times New Roman" w:eastAsia="Times New Roman" w:hAnsi="Times New Roman"/>
          <w:sz w:val="22"/>
          <w:szCs w:val="22"/>
          <w:color w:val="auto"/>
        </w:rPr>
        <w:t xml:space="preserve">”). In the event Landlord receives such notice, Landlord shall perform the 777-01 North ROFO Subsequent Landlord Work at Landlord’s sole cost and expense and in accordance with Applicable Laws and shall endeavor to substantially complete the 777-01 North ROFO Subsequent Landlord Work within one (1) year after Landlord’s receipt of such notice. Tenant acknowledges that Landlord may require access to the 777-01 North ROFO Premises during the Term in order to perform the 777-01 North ROFO Subsequent Landlord Work, therefore, Tenant shall, upon one (1) business day prior notice from Landlord, permit Landlord to enter the 777-01 North ROFO Premises at any and all reasonable times during business hours (or during non-business hours if Tenant reasonably requests) for the purposes of performing such work upon prior notification by Landlord and Landlord shall reasonably cooperate with Tenant so as to cause as little interference to Tenant as is reasonably possible;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in no event shall Landlord’s performance of such work (i) cause Tenant’s rent to abate under the Lease or (ii) constitute a forcible or unlawful entry, a detainer or an eviction of Tenant. In the event Tenant does not provide Landlord proper notice to perform the 777-01 North ROFO Subsequent Landlord Work on or before the Subsequent Landlord Work Notice Deadline, then Landlord’s obligation to perform the 777-01 North ROFO Subsequent Landlord Work shall automatically become null and void and of no further force or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if the Expiration Premises Expiration Date is extended in accordance with the terms of the Lease, then Tenant’s right to require such work shall be automatically reinstated (subject to the above terms and conditions) with a corresponding adjustment to the Subsequent Landlord Work Notice Deadline. Time is of the essence with respect to the Subsequent Landlord Work Notice Deadline.</w:t>
      </w:r>
    </w:p>
    <w:p>
      <w:pPr>
        <w:spacing w:after="0" w:line="19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777-02 North ROFO Premises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77"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set forth under “Initial Landlord Work” on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777-02 North ROFO Initial Landlord Work</w:t>
      </w:r>
      <w:r>
        <w:rPr>
          <w:rFonts w:ascii="Times New Roman" w:cs="Times New Roman" w:eastAsia="Times New Roman" w:hAnsi="Times New Roman"/>
          <w:sz w:val="22"/>
          <w:szCs w:val="22"/>
          <w:color w:val="auto"/>
        </w:rPr>
        <w:t>”) at Landlord’s sole cost and expense and in accordance with Applicable Laws.</w:t>
      </w:r>
    </w:p>
    <w:p>
      <w:pPr>
        <w:spacing w:after="0" w:line="167" w:lineRule="exact"/>
        <w:rPr>
          <w:rFonts w:ascii="Times New Roman" w:cs="Times New Roman" w:eastAsia="Times New Roman" w:hAnsi="Times New Roman"/>
          <w:sz w:val="22"/>
          <w:szCs w:val="22"/>
          <w:color w:val="auto"/>
        </w:rPr>
      </w:pPr>
    </w:p>
    <w:p>
      <w:pPr>
        <w:jc w:val="both"/>
        <w:ind w:firstLine="1953"/>
        <w:spacing w:after="0" w:line="253" w:lineRule="auto"/>
        <w:tabs>
          <w:tab w:leader="none" w:pos="2429"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777-02 North ROFO Commencement Date, but no later than the Subsequent Landlord Work Notice Deadline, Tenant may deliver written notice to Landlord indicating that Landlord perform the improvements set forth under “Subsequent Landlord Work” on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777-02 North ROFO Subsequent Landlord Work</w:t>
      </w:r>
      <w:r>
        <w:rPr>
          <w:rFonts w:ascii="Times New Roman" w:cs="Times New Roman" w:eastAsia="Times New Roman" w:hAnsi="Times New Roman"/>
          <w:sz w:val="22"/>
          <w:szCs w:val="22"/>
          <w:color w:val="auto"/>
        </w:rPr>
        <w:t>” and together with the 777-02 North ROFO Initial Landlord Work, the “</w:t>
      </w:r>
      <w:r>
        <w:rPr>
          <w:rFonts w:ascii="Times New Roman" w:cs="Times New Roman" w:eastAsia="Times New Roman" w:hAnsi="Times New Roman"/>
          <w:sz w:val="22"/>
          <w:szCs w:val="22"/>
          <w:u w:val="single" w:color="auto"/>
          <w:color w:val="auto"/>
        </w:rPr>
        <w:t>777-02 North ROFO Landlord Work</w:t>
      </w:r>
      <w:r>
        <w:rPr>
          <w:rFonts w:ascii="Times New Roman" w:cs="Times New Roman" w:eastAsia="Times New Roman" w:hAnsi="Times New Roman"/>
          <w:sz w:val="22"/>
          <w:szCs w:val="22"/>
          <w:color w:val="auto"/>
        </w:rPr>
        <w:t>”). In the event Landlord receives such notice, Landlord shall perform the 777-02 North ROFO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369" w:right="239" w:bottom="1440" w:gutter="0" w:footer="0" w:header="0"/>
        </w:sectPr>
      </w:pPr>
    </w:p>
    <w:bookmarkStart w:id="221" w:name="page222"/>
    <w:bookmarkEnd w:id="221"/>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Subsequent Landlord Work at Landlord’s sole cost and expense and in accordance with Applicable Laws and shall endeavor to substantially complete the 777-02 North ROFO Subsequent Landlord Work within one (1) year after Landlord’s receipt of such notice. Tenant acknowledges that Landlord may require access to the 777-02 North ROFO Premises during the Term in order to perform the 777-02 North ROFO Subsequent Landlord Work, therefore, Tenant shall, upon one (1) business day prior notice from Landlord, permit Landlord to enter the 777-02 North ROFO Premises at any and all reasonable times during business hours (or during non-business hours if Tenant reasonably requests) for the purposes of performing such work upon prior notification by Landlord and Landlord shall reasonably cooperate with Tenant so as to cause as little interference to Tenant as is reasonably possible;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in no event shall Landlord’s performance of such work (i) cause Tenant’s rent to abate under the Lease or (ii) constitute a forcible or unlawful entry, a detainer or an eviction of Tenant. In the event Tenant does not provide Landlord proper notice to perform the 777-02 North ROFO Subsequent Landlord Work on or before the Subsequent Landlord Work Notice Deadline, then Landlord’s obligation to perform the 777-02 North ROFO Subsequent Landlord Work shall automatically become null and void and of no further force or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if the Expiration Premises Expiration Date is extended in accordance with the terms of the Lease, then Tenant’s right to require such work shall be automatically reinstated (subject to the above terms and conditions) with a corresponding adjustment to the Subsequent Landlord Work Notice Deadline. Time is of the essence with respect to the Subsequent Landlord Work Notice Deadline.</w:t>
      </w:r>
    </w:p>
    <w:p>
      <w:pPr>
        <w:spacing w:after="0" w:line="191" w:lineRule="exact"/>
        <w:rPr>
          <w:sz w:val="20"/>
          <w:szCs w:val="20"/>
          <w:color w:val="auto"/>
        </w:rPr>
      </w:pPr>
    </w:p>
    <w:p>
      <w:pPr>
        <w:ind w:left="1720" w:hanging="415"/>
        <w:spacing w:after="0"/>
        <w:tabs>
          <w:tab w:leader="none" w:pos="17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777-01 Northeast ROFO Premises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77"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perform the improvements set forth under “Initial Landlord Work” on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Northeast ROFO Initial Landlord Work</w:t>
      </w:r>
      <w:r>
        <w:rPr>
          <w:rFonts w:ascii="Times New Roman" w:cs="Times New Roman" w:eastAsia="Times New Roman" w:hAnsi="Times New Roman"/>
          <w:sz w:val="22"/>
          <w:szCs w:val="22"/>
          <w:color w:val="auto"/>
        </w:rPr>
        <w:t>”) at Landlord’s sole cost and expense and in accordance with Applicable Laws.</w:t>
      </w:r>
    </w:p>
    <w:p>
      <w:pPr>
        <w:spacing w:after="0" w:line="167" w:lineRule="exact"/>
        <w:rPr>
          <w:rFonts w:ascii="Times New Roman" w:cs="Times New Roman" w:eastAsia="Times New Roman" w:hAnsi="Times New Roman"/>
          <w:sz w:val="22"/>
          <w:szCs w:val="22"/>
          <w:color w:val="auto"/>
        </w:rPr>
      </w:pPr>
    </w:p>
    <w:p>
      <w:pPr>
        <w:jc w:val="both"/>
        <w:ind w:firstLine="1953"/>
        <w:spacing w:after="0" w:line="246" w:lineRule="auto"/>
        <w:tabs>
          <w:tab w:leader="none" w:pos="247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777-01 Northeast ROFO Commencement Date, but no later than the Subsequent Landlord Work Notice Deadline, Tenant may deliver written notice to Landlord indicating that Landlord perform the improvements set forth under “Subsequent Landlord Work” on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777-01 Northeast ROFO Subsequent Landlord Work</w:t>
      </w:r>
      <w:r>
        <w:rPr>
          <w:rFonts w:ascii="Times New Roman" w:cs="Times New Roman" w:eastAsia="Times New Roman" w:hAnsi="Times New Roman"/>
          <w:sz w:val="22"/>
          <w:szCs w:val="22"/>
          <w:color w:val="auto"/>
        </w:rPr>
        <w:t>” and together with the 777-01 Northeast ROFO Initial Landlord Work, the “</w:t>
      </w:r>
      <w:r>
        <w:rPr>
          <w:rFonts w:ascii="Times New Roman" w:cs="Times New Roman" w:eastAsia="Times New Roman" w:hAnsi="Times New Roman"/>
          <w:sz w:val="22"/>
          <w:szCs w:val="22"/>
          <w:u w:val="single" w:color="auto"/>
          <w:color w:val="auto"/>
        </w:rPr>
        <w:t>777-01 Northeast ROFO Landlord Work</w:t>
      </w:r>
      <w:r>
        <w:rPr>
          <w:rFonts w:ascii="Times New Roman" w:cs="Times New Roman" w:eastAsia="Times New Roman" w:hAnsi="Times New Roman"/>
          <w:sz w:val="22"/>
          <w:szCs w:val="22"/>
          <w:color w:val="auto"/>
        </w:rPr>
        <w:t xml:space="preserve">”). In the event Landlord receives such notice, and subject to </w:t>
      </w:r>
      <w:r>
        <w:rPr>
          <w:rFonts w:ascii="Times New Roman" w:cs="Times New Roman" w:eastAsia="Times New Roman" w:hAnsi="Times New Roman"/>
          <w:sz w:val="22"/>
          <w:szCs w:val="22"/>
          <w:u w:val="single" w:color="auto"/>
          <w:color w:val="auto"/>
        </w:rPr>
        <w:t>Section 10.1(c)(iii)</w:t>
      </w:r>
      <w:r>
        <w:rPr>
          <w:rFonts w:ascii="Times New Roman" w:cs="Times New Roman" w:eastAsia="Times New Roman" w:hAnsi="Times New Roman"/>
          <w:sz w:val="22"/>
          <w:szCs w:val="22"/>
          <w:color w:val="auto"/>
        </w:rPr>
        <w:t xml:space="preserve">, Landlord shall perform the 777-01 Northeast ROFO Subsequent Landlord Work at Landlord’s sole cost and expense and in accordance with Applicable Laws and shall endeavor to substantially complete the 777-01 Northeast ROFO Subsequent Landlord Work within one (1) year after Landlord’s receipt of such notice. Tenant acknowledges that Landlord may require access to the 777-01 Northeast ROFO Premises during the Term in order to perform the 777-01 Northeast ROFO Subsequent Landlord Work, therefore, Tenant shall, upon one (1) business day prior notice from Landlord, permit Landlord to enter the 777-01 Northeast ROFO Premises at any and all reasonable times during business hours (or during non-business hours if Tenant reasonably requests) for the purposes of performing such work upon prior notification by Landlord and Landlord shall reasonably cooperate with Tenant so as to cause as little interference to Tenant as is reasonably possible;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Landlord’s performance of such work (i) cause Tenant’s rent to abate under the Lease or (ii) constitute a forcible or unlawful entry, a detainer or an eviction of Tenant. In the event Tenant does not provide Landlord proper notice to perform the 777-01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369" w:right="239" w:bottom="1440" w:gutter="0" w:footer="0" w:header="0"/>
        </w:sectPr>
      </w:pPr>
    </w:p>
    <w:bookmarkStart w:id="222" w:name="page223"/>
    <w:bookmarkEnd w:id="22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Northeast ROFO Subsequent Landlord Work on or before the Subsequent Landlord Work Notice Deadline, then Landlord’s obligation to perform the 777-01 Northeast ROFO Subsequent Landlord Work shall automatically become null and void and of no further force or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if the Expiration Premises Expiration Date is extended in accordance with the terms of the Lease, then Tenant’s right to require such work shall be automatically reinstated (subject to the above terms and conditions) with a corresponding adjustment to the Subsequent Landlord Work Notice Deadline. Time is of the essence with respect to the Subsequent Landlord Work Notice Deadline.</w:t>
      </w:r>
    </w:p>
    <w:p>
      <w:pPr>
        <w:spacing w:after="0" w:line="181" w:lineRule="exact"/>
        <w:rPr>
          <w:sz w:val="20"/>
          <w:szCs w:val="20"/>
          <w:color w:val="auto"/>
        </w:rPr>
      </w:pPr>
    </w:p>
    <w:p>
      <w:pPr>
        <w:jc w:val="both"/>
        <w:ind w:firstLine="1953"/>
        <w:spacing w:after="0" w:line="257" w:lineRule="auto"/>
        <w:tabs>
          <w:tab w:leader="none" w:pos="250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Sixteenth Amendment, to the extent that the 777-01 North ROFO Landlord Work (or any portion thereof) has been substantially completed and benefits the 777-01 Northeast ROFO Premises, the 777-01 Northeast ROFO Landlord Work (or such portion thereof that corresponds to the substantially completed portion of the 777-01 North ROFO Landlord Work) shall be deemed complete.</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777 C-Level 777C04 Landlord Work</w:t>
      </w:r>
      <w:r>
        <w:rPr>
          <w:rFonts w:ascii="Times New Roman" w:cs="Times New Roman" w:eastAsia="Times New Roman" w:hAnsi="Times New Roman"/>
          <w:sz w:val="22"/>
          <w:szCs w:val="22"/>
          <w:color w:val="auto"/>
        </w:rPr>
        <w:t xml:space="preserve">. Landlord shall construct an egress corridor for the 777 C-Level 777C04 Premises in the area labeled “777 C-Level 777C04 Premises Egress Corridor”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777 C-Level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777C04 Landlord Work</w:t>
      </w:r>
      <w:r>
        <w:rPr>
          <w:rFonts w:ascii="Times New Roman" w:cs="Times New Roman" w:eastAsia="Times New Roman" w:hAnsi="Times New Roman"/>
          <w:sz w:val="22"/>
          <w:szCs w:val="22"/>
          <w:color w:val="auto"/>
        </w:rPr>
        <w:t>”) at Landlord’s sole cost and expense and in accordance with Applicable Laws.</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Landlord Work</w:t>
      </w:r>
      <w:r>
        <w:rPr>
          <w:rFonts w:ascii="Times New Roman" w:cs="Times New Roman" w:eastAsia="Times New Roman" w:hAnsi="Times New Roman"/>
          <w:sz w:val="22"/>
          <w:szCs w:val="22"/>
          <w:color w:val="auto"/>
        </w:rPr>
        <w:t>. Collectively and individually, the 777-01 North ROFO Landlord Work, 777-02 North ROFO Landlord Work, 777-01 Northeast ROFO Landlord Work and the 777 C-Level 777C04 Landlord Work may be referred to in this Sixteenth Amendment as the “</w:t>
      </w:r>
      <w:r>
        <w:rPr>
          <w:rFonts w:ascii="Times New Roman" w:cs="Times New Roman" w:eastAsia="Times New Roman" w:hAnsi="Times New Roman"/>
          <w:sz w:val="22"/>
          <w:szCs w:val="22"/>
          <w:u w:val="single" w:color="auto"/>
          <w:color w:val="auto"/>
        </w:rPr>
        <w:t>Landlord Work</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Substantial Completion and Tenant Delay</w:t>
      </w:r>
      <w:r>
        <w:rPr>
          <w:rFonts w:ascii="Times New Roman" w:cs="Times New Roman" w:eastAsia="Times New Roman" w:hAnsi="Times New Roman"/>
          <w:sz w:val="21"/>
          <w:szCs w:val="21"/>
          <w:color w:val="auto"/>
        </w:rPr>
        <w:t>. For purposes of this Sixteenth Amendment, with respect to any Landlord Work, “substantial completion” or “substantially complete” means that Landlord has completed all of the applicable Landlord Work, except for minor and insubstantial details of construction that do not, except in a de minimis manner, interfere with Tenant’s performance of improvements to the applicable portion of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Amendment 777 Expansion Premises. Notwithstanding anything in this Lease to the contrary, Landlord’s obligation to timely achieve substantial completion of any portion of the Landlord Work relating to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Amendment 777 Expansion Premises shall be subject to extension on a day-for-day basis as a result of Force Majeure and Tenant Delay that, in either case, actually delays (but only to the extent of such delay) Landlord’s performance of such Landlord Work. For purposes of this Sixteenth Amendment, “</w:t>
      </w:r>
      <w:r>
        <w:rPr>
          <w:rFonts w:ascii="Times New Roman" w:cs="Times New Roman" w:eastAsia="Times New Roman" w:hAnsi="Times New Roman"/>
          <w:sz w:val="21"/>
          <w:szCs w:val="21"/>
          <w:u w:val="single" w:color="auto"/>
          <w:color w:val="auto"/>
        </w:rPr>
        <w:t>Tenant Delay</w:t>
      </w:r>
      <w:r>
        <w:rPr>
          <w:rFonts w:ascii="Times New Roman" w:cs="Times New Roman" w:eastAsia="Times New Roman" w:hAnsi="Times New Roman"/>
          <w:sz w:val="21"/>
          <w:szCs w:val="21"/>
          <w:color w:val="auto"/>
        </w:rPr>
        <w:t>” means any delays due to (a) any changes to Landlord Work requested by Tenant (other than changes requested because such work does not comply with the terms of the Lease, as such terms or scope may have been modified and approved in writing by both parties), (b) any default by Tenant under the Lease and (c) any other act or failure to act by Tenant, Tenant’s employees, agents, architects, independent contractors, consultants and/or any other person performing or required to perform services on behalf of Tenant which, in either case, delays (but only to the extent (a),</w:t>
      </w:r>
    </w:p>
    <w:p>
      <w:pPr>
        <w:spacing w:after="0" w:line="5" w:lineRule="exact"/>
        <w:rPr>
          <w:sz w:val="20"/>
          <w:szCs w:val="20"/>
          <w:color w:val="auto"/>
        </w:rPr>
      </w:pPr>
    </w:p>
    <w:p>
      <w:pPr>
        <w:jc w:val="both"/>
        <w:ind w:firstLine="8"/>
        <w:spacing w:after="0" w:line="228" w:lineRule="auto"/>
        <w:tabs>
          <w:tab w:leader="none" w:pos="33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 actually delays) Landlord’s performance of the applicable Landlord Work or Landlord’s delivery of possession of the applicable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Amendment 777 Expansion Premises. No such Tenant Delay shall be deemed to have commenced unless Tenant shall have failed to cure the same within two (2) business days after Tenant’s receipt of written notice thereof from Landlord. If Landlord desires that Tenant take any action in connection with the Landlord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369" w:right="239" w:bottom="1440" w:gutter="0" w:footer="0" w:header="0"/>
        </w:sectPr>
      </w:pPr>
    </w:p>
    <w:bookmarkStart w:id="223" w:name="page224"/>
    <w:bookmarkEnd w:id="223"/>
    <w:p>
      <w:pPr>
        <w:jc w:val="both"/>
        <w:spacing w:after="0" w:line="250" w:lineRule="auto"/>
        <w:rPr>
          <w:sz w:val="20"/>
          <w:szCs w:val="20"/>
          <w:color w:val="auto"/>
        </w:rPr>
      </w:pPr>
      <w:r>
        <w:rPr>
          <w:rFonts w:ascii="Times New Roman" w:cs="Times New Roman" w:eastAsia="Times New Roman" w:hAnsi="Times New Roman"/>
          <w:sz w:val="22"/>
          <w:szCs w:val="22"/>
          <w:color w:val="auto"/>
        </w:rPr>
        <w:t>Work, then Landlord shall use reasonable efforts to provide written notice of such action as far in advance as is reasonably possible. Notwithstanding any Tenant Delay, Landlord shall exercise diligent and commercially reasonable efforts to mitigate Tenant Delay to the extent reasonably practicable. If Landlord and Tenant disagree as to whether a Tenant Delay has occurred (or whether the requirements with respect thereto have been complied with), such dispute shall be resolved by the Neutral Architect whose determination shall be final and binding upon the parties.</w:t>
      </w:r>
    </w:p>
    <w:p>
      <w:pPr>
        <w:spacing w:after="0" w:line="181" w:lineRule="exact"/>
        <w:rPr>
          <w:sz w:val="20"/>
          <w:szCs w:val="20"/>
          <w:color w:val="auto"/>
        </w:rPr>
      </w:pPr>
    </w:p>
    <w:p>
      <w:pPr>
        <w:jc w:val="both"/>
        <w:ind w:firstLine="8"/>
        <w:spacing w:after="0" w:line="252" w:lineRule="auto"/>
        <w:tabs>
          <w:tab w:leader="none" w:pos="91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Learning Lab</w:t>
      </w:r>
      <w:r>
        <w:rPr>
          <w:rFonts w:ascii="Times New Roman" w:cs="Times New Roman" w:eastAsia="Times New Roman" w:hAnsi="Times New Roman"/>
          <w:sz w:val="21"/>
          <w:szCs w:val="21"/>
          <w:color w:val="auto"/>
        </w:rPr>
        <w:t>. Tenant intends to use a portion of the 767 Premises (not to exceed five thousand (5,000) square feet of Rentable Area) as an educational area for students (such area of the 767 Premises, the “</w:t>
      </w:r>
      <w:r>
        <w:rPr>
          <w:rFonts w:ascii="Times New Roman" w:cs="Times New Roman" w:eastAsia="Times New Roman" w:hAnsi="Times New Roman"/>
          <w:sz w:val="21"/>
          <w:szCs w:val="21"/>
          <w:u w:val="single" w:color="auto"/>
          <w:color w:val="auto"/>
        </w:rPr>
        <w:t>Learning Lab</w:t>
      </w:r>
      <w:r>
        <w:rPr>
          <w:rFonts w:ascii="Times New Roman" w:cs="Times New Roman" w:eastAsia="Times New Roman" w:hAnsi="Times New Roman"/>
          <w:sz w:val="21"/>
          <w:szCs w:val="21"/>
          <w:color w:val="auto"/>
        </w:rPr>
        <w:t>”). The Learning Lab shall be used exclusively for the education of students (including for laboratory experiments, computer explorations and interactive exhibitions) in accordance with all Applicable Laws and any other lawful uses incidental thereto (the “</w:t>
      </w:r>
      <w:r>
        <w:rPr>
          <w:rFonts w:ascii="Times New Roman" w:cs="Times New Roman" w:eastAsia="Times New Roman" w:hAnsi="Times New Roman"/>
          <w:sz w:val="21"/>
          <w:szCs w:val="21"/>
          <w:u w:val="single" w:color="auto"/>
          <w:color w:val="auto"/>
        </w:rPr>
        <w:t>Learning Lab Use</w:t>
      </w:r>
      <w:r>
        <w:rPr>
          <w:rFonts w:ascii="Times New Roman" w:cs="Times New Roman" w:eastAsia="Times New Roman" w:hAnsi="Times New Roman"/>
          <w:sz w:val="21"/>
          <w:szCs w:val="21"/>
          <w:color w:val="auto"/>
        </w:rPr>
        <w:t xml:space="preserve">”). Tenant shall be fully responsible for the operation of the Learning Lab and any and all operation costs of the Learning Lab (including the cost to hire a third party operator for the Learning Lab) shall be at Tenant’s sole cost and expense. Notwithstanding anything to the contrary contained in the Lease, to the extent the Learning Lab is used for the Learning Lab Use, Basic Annual Rent and Tenant’s Pro Rata Share of Operating Expenses, in each case with respect to the Learning Lab only shall be abated;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notwithstanding the foregoing, Tenant shall at all times remain responsible for all charges, together with any fees, surcharges and taxes thereon in connection with any and all Utilities supplied to the Learning Lab, subject to any exclusions set forth in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paragraph of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xml:space="preserve"> of the Lease. In the event the Learning Lab is not used for the Learning Lab Use for a period of five (5) consecutive months (at any time after September 1, 2017), such abatement right shall automatically terminate and Basic Annual Rent (at the then-current Basic Annual Rent rate in accordance with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of this Sixteenth Amendment) and Tenant’s Pro Rata Share of Operating Expenses, in each case for the Learning Lab shall begin to accrue and shall be payable in accordance with the terms of the Lease for the remainder of the Term with respect to the Learning Lab.</w:t>
      </w:r>
    </w:p>
    <w:p>
      <w:pPr>
        <w:spacing w:after="0" w:line="189" w:lineRule="exact"/>
        <w:rPr>
          <w:rFonts w:ascii="Times New Roman" w:cs="Times New Roman" w:eastAsia="Times New Roman" w:hAnsi="Times New Roman"/>
          <w:sz w:val="21"/>
          <w:szCs w:val="21"/>
          <w:color w:val="auto"/>
        </w:rPr>
      </w:pPr>
    </w:p>
    <w:p>
      <w:pPr>
        <w:jc w:val="both"/>
        <w:ind w:firstLine="8"/>
        <w:spacing w:after="0" w:line="259" w:lineRule="auto"/>
        <w:tabs>
          <w:tab w:leader="none" w:pos="918"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w:t>
      </w:r>
      <w:r>
        <w:rPr>
          <w:rFonts w:ascii="Times New Roman" w:cs="Times New Roman" w:eastAsia="Times New Roman" w:hAnsi="Times New Roman"/>
          <w:sz w:val="21"/>
          <w:szCs w:val="21"/>
          <w:color w:val="auto"/>
        </w:rPr>
        <w:t xml:space="preserve">. So long as Tenant leases all of the 767 Premises (i.e., the entire 767 Building) and all of Building 8 and Building 9 (pursuant to the Mt. Pleasant Lease), then for the period of time between the 767 Commencement Date and the date that the Mt. Pleasant Infrastructure (as defined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the Mt. Pleasant First Amendment) portion of the Powerhouse Upgrade (as defined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is placed in-service, Tenant may allocate Tenant’s Pro Rata Share (or any portion thereof) of electric capacity that Landlord designates to the 767 Building (with such designation to be in accordance with the kVA capacity of the 767 Building) to Tenant’s premises in Building 8 and Building 9. Upon the earlier of the day that (a) the Mt. Pleasant Infrastructure portion of the Powerhouse Upgrade is placed in-service and (b) Tenant ceases to lease all of the 767 Premises, Building 8 and Building 9, Landlord’s consent to the foregoing re-allocation shall be automatically withdrawn and all electric capacity that Landlord designates to the 767 Building (with such designation to be in accordance with the kVA capacity of the 767 Building) may only be used for the 767 Building (and Tenant shall only be entitled to Tenant’s Pro Rata Share of such capacity).</w:t>
      </w:r>
    </w:p>
    <w:p>
      <w:pPr>
        <w:spacing w:after="0" w:line="176" w:lineRule="exact"/>
        <w:rPr>
          <w:rFonts w:ascii="Times New Roman" w:cs="Times New Roman" w:eastAsia="Times New Roman" w:hAnsi="Times New Roman"/>
          <w:sz w:val="21"/>
          <w:szCs w:val="21"/>
          <w:color w:val="auto"/>
        </w:rPr>
      </w:pPr>
    </w:p>
    <w:p>
      <w:pPr>
        <w:jc w:val="both"/>
        <w:ind w:firstLine="8"/>
        <w:spacing w:after="0" w:line="257" w:lineRule="auto"/>
        <w:tabs>
          <w:tab w:leader="none" w:pos="91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Powerhouse</w:t>
      </w:r>
      <w:r>
        <w:rPr>
          <w:rFonts w:ascii="Times New Roman" w:cs="Times New Roman" w:eastAsia="Times New Roman" w:hAnsi="Times New Roman"/>
          <w:sz w:val="22"/>
          <w:szCs w:val="22"/>
          <w:color w:val="auto"/>
        </w:rPr>
        <w:t>. Landlord is currently in the process of upgrading the electric infrastructure of the Entire Project (the “</w:t>
      </w:r>
      <w:r>
        <w:rPr>
          <w:rFonts w:ascii="Times New Roman" w:cs="Times New Roman" w:eastAsia="Times New Roman" w:hAnsi="Times New Roman"/>
          <w:sz w:val="22"/>
          <w:szCs w:val="22"/>
          <w:u w:val="single" w:color="auto"/>
          <w:color w:val="auto"/>
        </w:rPr>
        <w:t>Powerhouse Upgrade</w:t>
      </w:r>
      <w:r>
        <w:rPr>
          <w:rFonts w:ascii="Times New Roman" w:cs="Times New Roman" w:eastAsia="Times New Roman" w:hAnsi="Times New Roman"/>
          <w:sz w:val="22"/>
          <w:szCs w:val="22"/>
          <w:color w:val="auto"/>
        </w:rPr>
        <w:t>”). When the Powerhouse Upgrade (or any portion thereof) is placed in-service, Tenant shall be responsible for Tenant’s proportionate share (allocated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369" w:right="239" w:bottom="1440" w:gutter="0" w:footer="0" w:header="0"/>
        </w:sectPr>
      </w:pPr>
    </w:p>
    <w:bookmarkStart w:id="224" w:name="page225"/>
    <w:bookmarkEnd w:id="22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 accordance with the final sentence of this Section) of the costs of the Powerhouse Upgrade (or such portion placed in-service) (in accordance with, and subject to, the Operating Expense provisions of the Lease) allocated (as reasonably determined by Landlord) to the Entire Project, the Existing Project and the New Greenburgh Project. Tenant acknowledges that for purposes of determining the costs described above, the Powerhouse Upgrade will benefit the Buildings and is not subject to any of the Operating Expense carve outs set forth in clause (a) of the penultimate paragraph of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Existing Lease. Further, Tenant acknowledges that the costs of the Powerhouse Upgrade will be allocated across the Entire Project in accordance with each building’s kVA capacity.</w:t>
      </w:r>
    </w:p>
    <w:p>
      <w:pPr>
        <w:spacing w:after="0" w:line="182" w:lineRule="exact"/>
        <w:rPr>
          <w:sz w:val="20"/>
          <w:szCs w:val="20"/>
          <w:color w:val="auto"/>
        </w:rPr>
      </w:pPr>
    </w:p>
    <w:p>
      <w:pPr>
        <w:ind w:left="920" w:hanging="912"/>
        <w:spacing w:after="0"/>
        <w:tabs>
          <w:tab w:leader="none" w:pos="9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Wholly Occupied Building Rights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14.1. So long as Tenant leases and occupies all of the 767 Building, Tenant shall have the same Signage rights for the 767 Building that it has with respect to the New Whole Building as described in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of the Lease.</w:t>
      </w:r>
    </w:p>
    <w:p>
      <w:pPr>
        <w:spacing w:after="0" w:line="13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14.2. So long as Tenant leases and occupies all of the 767 Building,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sentence of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of the Lease shall not apply to the 767 Building. So long as Tenant leases and occupies all of the 767 Building, Tenant shall have the exclusive right to use the elevators and stairways within the 767 Building;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Landlord, its agents and any emergency personnel may use and access them in Landlord’s sole discretion.</w:t>
      </w:r>
    </w:p>
    <w:p>
      <w:pPr>
        <w:spacing w:after="0" w:line="1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14.3. So long as Tenant leases and occupies all of the 767 Building, Tenant may use the roof of the 767 Building to install Tenant’s Rooftop Equipment, subject to and in accordance with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of the Lease.</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14.4. Notwithstanding anything in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sentence of </w:t>
      </w:r>
      <w:r>
        <w:rPr>
          <w:rFonts w:ascii="Times New Roman" w:cs="Times New Roman" w:eastAsia="Times New Roman" w:hAnsi="Times New Roman"/>
          <w:sz w:val="22"/>
          <w:szCs w:val="22"/>
          <w:u w:val="single" w:color="auto"/>
          <w:color w:val="auto"/>
        </w:rPr>
        <w:t>Section 18.4</w:t>
      </w:r>
      <w:r>
        <w:rPr>
          <w:rFonts w:ascii="Times New Roman" w:cs="Times New Roman" w:eastAsia="Times New Roman" w:hAnsi="Times New Roman"/>
          <w:sz w:val="22"/>
          <w:szCs w:val="22"/>
          <w:color w:val="auto"/>
        </w:rPr>
        <w:t xml:space="preserve"> of the Lease to contrary, so long as Tenant leases and occupies all of the 767 Building, Tenant may perform work in the 767 Building at such time as Tenant elects from time to time in its sole discretion (but subject to the terms of the Lease).</w:t>
      </w:r>
    </w:p>
    <w:p>
      <w:pPr>
        <w:spacing w:after="0" w:line="19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14.5. So long as Tenant leases and occupies all of the 767 Building, in the event of a casualty, </w:t>
      </w:r>
      <w:r>
        <w:rPr>
          <w:rFonts w:ascii="Times New Roman" w:cs="Times New Roman" w:eastAsia="Times New Roman" w:hAnsi="Times New Roman"/>
          <w:sz w:val="22"/>
          <w:szCs w:val="22"/>
          <w:u w:val="single" w:color="auto"/>
          <w:color w:val="auto"/>
        </w:rPr>
        <w:t>Section 23.1(ii)</w:t>
      </w:r>
      <w:r>
        <w:rPr>
          <w:rFonts w:ascii="Times New Roman" w:cs="Times New Roman" w:eastAsia="Times New Roman" w:hAnsi="Times New Roman"/>
          <w:sz w:val="22"/>
          <w:szCs w:val="22"/>
          <w:color w:val="auto"/>
        </w:rPr>
        <w:t xml:space="preserve"> and the penultimate sentence of </w:t>
      </w:r>
      <w:r>
        <w:rPr>
          <w:rFonts w:ascii="Times New Roman" w:cs="Times New Roman" w:eastAsia="Times New Roman" w:hAnsi="Times New Roman"/>
          <w:sz w:val="22"/>
          <w:szCs w:val="22"/>
          <w:u w:val="single" w:color="auto"/>
          <w:color w:val="auto"/>
        </w:rPr>
        <w:t>Section 23.2</w:t>
      </w:r>
      <w:r>
        <w:rPr>
          <w:rFonts w:ascii="Times New Roman" w:cs="Times New Roman" w:eastAsia="Times New Roman" w:hAnsi="Times New Roman"/>
          <w:sz w:val="22"/>
          <w:szCs w:val="22"/>
          <w:color w:val="auto"/>
        </w:rPr>
        <w:t xml:space="preserve"> of the Lease shall apply to the 767 Building.</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u w:val="single" w:color="auto"/>
          <w:color w:val="auto"/>
        </w:rPr>
        <w:t xml:space="preserve">Section 19.1 </w:t>
      </w:r>
      <w:r>
        <w:rPr>
          <w:rFonts w:ascii="Times New Roman" w:cs="Times New Roman" w:eastAsia="Times New Roman" w:hAnsi="Times New Roman"/>
          <w:sz w:val="21"/>
          <w:szCs w:val="21"/>
          <w:color w:val="auto"/>
        </w:rPr>
        <w:t>of the Lease is hereby deleted in its entirety and replaced with the following:</w:t>
      </w:r>
    </w:p>
    <w:p>
      <w:pPr>
        <w:spacing w:after="0" w:line="233"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“Landlord shall repair and maintain in good condition the Common Areas and the structural, exterior and base building portions (interior and exterior) of the Buildings, including grounds, roofing and covering materials, foundations, exterior walls, plumbing (excluding eye wash, safety showers, specialty gas, and laboratory services, including RODI), fire sprinkler systems (if any), heating, ventilating, air conditioning, base building management systems, elevators, and electrical systems.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 (i) with respect to work within the 735 Building, the 745 Building or the 755 Building, Tenant then leases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369" w:right="239" w:bottom="1440" w:gutter="0" w:footer="0" w:header="0"/>
        </w:sectPr>
      </w:pPr>
    </w:p>
    <w:bookmarkStart w:id="225" w:name="page226"/>
    <w:bookmarkEnd w:id="225"/>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and occupies all of the 735 Building, the 745 Building and the 755 Building and (ii) with respect to work within the 767 Building, Tenant then leases and occupies all of the 767 Building, (b) the applicable recurring maintenance work is completely within the 735 Building, the 745 Building, the 755 Building and/or the 767 Building and (c) the applicable recurring maintenance work does not affect any other tenant of the Entire Project (even in a de minimis amount), then Tenant shall have the right to review and modify the scope of such contracted recurring maintenance work (whether such contract was entered into prior to, on or after the Execution Date of the Sixteenth Amendment), including to add additional scope (the “</w:t>
      </w:r>
      <w:r>
        <w:rPr>
          <w:rFonts w:ascii="Times New Roman" w:cs="Times New Roman" w:eastAsia="Times New Roman" w:hAnsi="Times New Roman"/>
          <w:sz w:val="22"/>
          <w:szCs w:val="22"/>
          <w:u w:val="single" w:color="auto"/>
          <w:color w:val="auto"/>
        </w:rPr>
        <w:t>Tenant Reviewed Recurring Maintenance</w:t>
      </w:r>
      <w:r>
        <w:rPr>
          <w:rFonts w:ascii="Times New Roman" w:cs="Times New Roman" w:eastAsia="Times New Roman" w:hAnsi="Times New Roman"/>
          <w:sz w:val="22"/>
          <w:szCs w:val="22"/>
          <w:color w:val="auto"/>
        </w:rPr>
        <w:t xml:space="preserve">”). The review right (but not the modification right) in the immediately preceding sentence includes the right to review provisions of the applicable contract that are reasonably necessary to analyze the applicable scope of work set forth therein. If Tenant requests any modifications to the scope of the Tenant Reviewed Recurring Maintenance, Landlord shall use reasonable efforts to accommodate the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any and all additional costs incurred by Landlord as a result of such modifications shall be included as part of Operating Expenses, subject to the CAM Pools. Notwithstanding anything to the contrary in this Lease, Landlord shall have no responsibility to maintain or repair any vivarium(s) or data center(s) (or any equipment or systems that solely service such areas). Tenant shall have sole responsibility to maintain and repair the vivarium(s) and data center(s) (and any equipment and systems that solely service such areas). Landlord shall maintain the Common Areas in accordance with its property maintenance protocols as established from time to time in accordance with Landlord’s reasonable determinations of appropriate property maintenance protocols. Upon Tenant’s request, Landlord shall explain such protocols and consider Tenant’s comments. Any actual out-of-pocket costs related to the repair or maintenance activities specified in this </w:t>
      </w:r>
      <w:r>
        <w:rPr>
          <w:rFonts w:ascii="Times New Roman" w:cs="Times New Roman" w:eastAsia="Times New Roman" w:hAnsi="Times New Roman"/>
          <w:sz w:val="22"/>
          <w:szCs w:val="22"/>
          <w:u w:val="single" w:color="auto"/>
          <w:color w:val="auto"/>
        </w:rPr>
        <w:t>Section 19.1</w:t>
      </w:r>
      <w:r>
        <w:rPr>
          <w:rFonts w:ascii="Times New Roman" w:cs="Times New Roman" w:eastAsia="Times New Roman" w:hAnsi="Times New Roman"/>
          <w:sz w:val="22"/>
          <w:szCs w:val="22"/>
          <w:color w:val="auto"/>
        </w:rPr>
        <w:t xml:space="preserve"> shall be included as a part of Operating Expenses subject to the CAM Pools, except Tenant shall pay for such repairs and maintenance to the extent that such repairs and maintenance are: (i) required in whole or in part because of any act, neglect, fault or omissions of Tenant (where there is a duty to act), its agents, servants, employees or invitees, in which case Tenant shall pay to Landlord the cost of such repairs and maintenance; and (ii) not paid out of insurance proceeds. Landlord shall perform all work and have its contractors perform all work in accordance with Applicable Laws.”</w:t>
      </w:r>
    </w:p>
    <w:p>
      <w:pPr>
        <w:spacing w:after="0" w:line="20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u w:val="single" w:color="auto"/>
          <w:color w:val="auto"/>
        </w:rPr>
        <w:t xml:space="preserve">Article 49 </w:t>
      </w:r>
      <w:r>
        <w:rPr>
          <w:rFonts w:ascii="Times New Roman" w:cs="Times New Roman" w:eastAsia="Times New Roman" w:hAnsi="Times New Roman"/>
          <w:sz w:val="21"/>
          <w:szCs w:val="21"/>
          <w:color w:val="auto"/>
        </w:rPr>
        <w:t>of the Lease is hereby deleted in its entirety and replaced with the following:</w:t>
      </w:r>
    </w:p>
    <w:p>
      <w:pPr>
        <w:spacing w:after="0" w:line="200" w:lineRule="exact"/>
        <w:rPr>
          <w:sz w:val="20"/>
          <w:szCs w:val="20"/>
          <w:color w:val="auto"/>
        </w:rPr>
      </w:pPr>
    </w:p>
    <w:p>
      <w:pPr>
        <w:spacing w:after="0" w:line="2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760"/>
          </w:cols>
          <w:pgMar w:left="900" w:top="369" w:right="239" w:bottom="1440" w:gutter="0" w:footer="0" w:header="0"/>
        </w:sectPr>
      </w:pPr>
    </w:p>
    <w:bookmarkStart w:id="226" w:name="page227"/>
    <w:bookmarkEnd w:id="226"/>
    <w:p>
      <w:pPr>
        <w:jc w:val="both"/>
        <w:ind w:left="130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HVAC</w:t>
      </w:r>
      <w:r>
        <w:rPr>
          <w:rFonts w:ascii="Times New Roman" w:cs="Times New Roman" w:eastAsia="Times New Roman" w:hAnsi="Times New Roman"/>
          <w:sz w:val="21"/>
          <w:szCs w:val="21"/>
          <w:color w:val="auto"/>
        </w:rPr>
        <w:t xml:space="preserve">. For the entire Premises (subject to the last sentence of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excluding any vivarium or data centers (the “</w:t>
      </w:r>
      <w:r>
        <w:rPr>
          <w:rFonts w:ascii="Times New Roman" w:cs="Times New Roman" w:eastAsia="Times New Roman" w:hAnsi="Times New Roman"/>
          <w:sz w:val="21"/>
          <w:szCs w:val="21"/>
          <w:u w:val="single" w:color="auto"/>
          <w:color w:val="auto"/>
        </w:rPr>
        <w:t>Landlord’s HVAC Premises</w:t>
      </w:r>
      <w:r>
        <w:rPr>
          <w:rFonts w:ascii="Times New Roman" w:cs="Times New Roman" w:eastAsia="Times New Roman" w:hAnsi="Times New Roman"/>
          <w:sz w:val="21"/>
          <w:szCs w:val="21"/>
          <w:color w:val="auto"/>
        </w:rPr>
        <w:t>”), Landlord shall: (a) maintain and operate (except that, to the extent Tenant leases the entirety of the 735 Building, the 745 Building, the 755 Building and/or the 767 Building, Tenant shall operate and control (with respect to such Building(s)), including managing set points and sequence of operations) the heating, ventilating and air conditioning systems (“</w:t>
      </w:r>
      <w:r>
        <w:rPr>
          <w:rFonts w:ascii="Times New Roman" w:cs="Times New Roman" w:eastAsia="Times New Roman" w:hAnsi="Times New Roman"/>
          <w:sz w:val="21"/>
          <w:szCs w:val="21"/>
          <w:u w:val="single" w:color="auto"/>
          <w:color w:val="auto"/>
        </w:rPr>
        <w:t>HVAC</w:t>
      </w:r>
      <w:r>
        <w:rPr>
          <w:rFonts w:ascii="Times New Roman" w:cs="Times New Roman" w:eastAsia="Times New Roman" w:hAnsi="Times New Roman"/>
          <w:sz w:val="21"/>
          <w:szCs w:val="21"/>
          <w:color w:val="auto"/>
        </w:rPr>
        <w:t>”) in good working order; and (b) furnish HVAC as reasonably required (except as this Lease otherwise provides or as to any special requirements that arise from Tenant’s particular use of the Premises) for reasonably comfortable occupancy of the Premises twenty-four (24) hours a day, 365 or 366 days a year, provided Tenant complies with the next sentence, if applicable. To the extent Landlord operates and controls any HVAC systems serving the Premises, and if Tenant will require HVAC outside normal business hours of business days (as reasonably designated by Landlord) in Landlord’s HVAC Premises (“</w:t>
      </w:r>
      <w:r>
        <w:rPr>
          <w:rFonts w:ascii="Times New Roman" w:cs="Times New Roman" w:eastAsia="Times New Roman" w:hAnsi="Times New Roman"/>
          <w:sz w:val="21"/>
          <w:szCs w:val="21"/>
          <w:u w:val="single" w:color="auto"/>
          <w:color w:val="auto"/>
        </w:rPr>
        <w:t>Overtime HVAC</w:t>
      </w:r>
      <w:r>
        <w:rPr>
          <w:rFonts w:ascii="Times New Roman" w:cs="Times New Roman" w:eastAsia="Times New Roman" w:hAnsi="Times New Roman"/>
          <w:sz w:val="21"/>
          <w:szCs w:val="21"/>
          <w:color w:val="auto"/>
        </w:rPr>
        <w:t xml:space="preserve">”), Landlord shall be obligated to provide Overtime HVAC only if Tenant requests it by 4 p.m. on the immediately preceding business day. To the extent that Tenant occupies the Premises for laboratory purposes, Tenant directs Landlord to provide Overtime HVAC at all times outside normal business hours of business days (as reasonably designated by Landlord), pending further written notice from Tenant. For the avoidance of doubt, the immediately preceding sentence does not apply to any portion of the Premises in which Tenant operates and controls the HVAC systems. Tenant shall pay, as part of Tenant’s contribution to Operating Expenses in accordance with the CAM Pools, all of Landlord’s actual total cost of providing HVAC and Overtime HVAC, as Landlord reasonably calculates such actual total cost. Notwithstanding anything to the contrary in this Section, Landlord shall have no liability, and Tenant shall have no right or remedy, on account of any interruption or impairment in HVAC services,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Landlord diligently uses commercially reasonable efforts to cure any such interruption or impairment as quickly as reasonably possible. Any right to operate and control HVAC is personal to the initial Tenant under this Lease and shall not be assigned or otherwise transferred to any other tenant, subtenant or other transferee.”</w:t>
      </w:r>
    </w:p>
    <w:p>
      <w:pPr>
        <w:spacing w:after="0" w:line="23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Excluded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of the Lease is hereby deleted in its entirety and replaced with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8"/>
        <w:spacing w:after="0" w:line="257" w:lineRule="auto"/>
        <w:tabs>
          <w:tab w:leader="none" w:pos="91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Cafeteria</w:t>
      </w:r>
      <w:r>
        <w:rPr>
          <w:rFonts w:ascii="Times New Roman" w:cs="Times New Roman" w:eastAsia="Times New Roman" w:hAnsi="Times New Roman"/>
          <w:sz w:val="22"/>
          <w:szCs w:val="22"/>
          <w:color w:val="auto"/>
        </w:rPr>
        <w:t xml:space="preserve">. Notwithstanding anything in the Lease to the contrary, to the extent Landlord makes any capital outlays in connection with the additional food services described in </w:t>
      </w:r>
      <w:r>
        <w:rPr>
          <w:rFonts w:ascii="Times New Roman" w:cs="Times New Roman" w:eastAsia="Times New Roman" w:hAnsi="Times New Roman"/>
          <w:sz w:val="22"/>
          <w:szCs w:val="22"/>
          <w:u w:val="single" w:color="auto"/>
          <w:color w:val="auto"/>
        </w:rPr>
        <w:t>Article 61</w:t>
      </w:r>
      <w:r>
        <w:rPr>
          <w:rFonts w:ascii="Times New Roman" w:cs="Times New Roman" w:eastAsia="Times New Roman" w:hAnsi="Times New Roman"/>
          <w:sz w:val="22"/>
          <w:szCs w:val="22"/>
          <w:color w:val="auto"/>
        </w:rPr>
        <w:t xml:space="preserve"> of the Mt. Pleasant Lease, such capital outlays reasonably allocated to the Entire Project, the Existing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369" w:right="239" w:bottom="1440" w:gutter="0" w:footer="0" w:header="0"/>
        </w:sectPr>
      </w:pPr>
    </w:p>
    <w:bookmarkStart w:id="227" w:name="page228"/>
    <w:bookmarkEnd w:id="227"/>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Project and the New Greenburgh Project shall constitute Operating Expenses (in accordance with, and subject to, the Operating Expense provisions of the Lease, except that Tenant acknowledges that such capital outlays will benefit the Buildings and is not subject to the Operating Expense carve outs set forth in clause (a) of the penultimate paragraph of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Lease).</w:t>
      </w:r>
    </w:p>
    <w:p>
      <w:pPr>
        <w:spacing w:after="0" w:line="173" w:lineRule="exact"/>
        <w:rPr>
          <w:sz w:val="20"/>
          <w:szCs w:val="20"/>
          <w:color w:val="auto"/>
        </w:rPr>
      </w:pPr>
    </w:p>
    <w:p>
      <w:pPr>
        <w:ind w:firstLine="8"/>
        <w:spacing w:after="0" w:line="271"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 The parties acknowledge that, in accordance with the Lease, Tenant shall be entitled to its pro rata share of unreserved parking spaces with respect to each portion of the Premises leased to Tenant.</w:t>
      </w:r>
    </w:p>
    <w:p>
      <w:pPr>
        <w:spacing w:after="0" w:line="157" w:lineRule="exact"/>
        <w:rPr>
          <w:rFonts w:ascii="Times New Roman" w:cs="Times New Roman" w:eastAsia="Times New Roman" w:hAnsi="Times New Roman"/>
          <w:sz w:val="22"/>
          <w:szCs w:val="22"/>
          <w:color w:val="auto"/>
        </w:rPr>
      </w:pPr>
    </w:p>
    <w:p>
      <w:pPr>
        <w:jc w:val="both"/>
        <w:ind w:firstLine="8"/>
        <w:spacing w:after="0" w:line="245"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or agent in the negotiation for or the obtaining of this Sixteenth Amendment, other than Savills Studley, Inc. (“</w:t>
      </w:r>
      <w:r>
        <w:rPr>
          <w:rFonts w:ascii="Times New Roman" w:cs="Times New Roman" w:eastAsia="Times New Roman" w:hAnsi="Times New Roman"/>
          <w:sz w:val="22"/>
          <w:szCs w:val="22"/>
          <w:u w:val="single" w:color="auto"/>
          <w:color w:val="auto"/>
        </w:rPr>
        <w:t>Tenant’s Broker</w:t>
      </w:r>
      <w:r>
        <w:rPr>
          <w:rFonts w:ascii="Times New Roman" w:cs="Times New Roman" w:eastAsia="Times New Roman" w:hAnsi="Times New Roman"/>
          <w:sz w:val="22"/>
          <w:szCs w:val="22"/>
          <w:color w:val="auto"/>
        </w:rPr>
        <w:t>”), and agrees to reimburse, indemnify, save, defend and hold harmless Landlord for, from and against any and all cost or liability for compensation claimed by any such broker or agent, other than Tenant’s Broker, employed or engaged by it or claiming to have been employed or engaged by it. Tenant’s Broker is entitled to a leasing commission in connection with the making of this Sixteenth Amendment, and Landlord shall pay such commission to Tenant’s Broker pursuant to a separate agreement between Landlord and Tenant’s Broker. Landlord represents and warrants that it has not dealt with any broker or agent in the negotiation for or the obtaining of this Sixteenth Amendment, other than Matthew McDevitt and Transwestern (collectively, “</w:t>
      </w:r>
      <w:r>
        <w:rPr>
          <w:rFonts w:ascii="Times New Roman" w:cs="Times New Roman" w:eastAsia="Times New Roman" w:hAnsi="Times New Roman"/>
          <w:sz w:val="22"/>
          <w:szCs w:val="22"/>
          <w:u w:val="single" w:color="auto"/>
          <w:color w:val="auto"/>
        </w:rPr>
        <w:t>Landlord’s Broker</w:t>
      </w:r>
      <w:r>
        <w:rPr>
          <w:rFonts w:ascii="Times New Roman" w:cs="Times New Roman" w:eastAsia="Times New Roman" w:hAnsi="Times New Roman"/>
          <w:sz w:val="22"/>
          <w:szCs w:val="22"/>
          <w:color w:val="auto"/>
        </w:rPr>
        <w:t>” and together with Tenant’s Broker, the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and agrees to reimburse, indemnify, save, defend and hold harmless Tenant for, from and against any and all cost or liability for compensation claimed by any such broker or agent employed or engaged by it or claiming to have been employed or engaged by it. Landlord’s Broker is entitled to a leasing commission in connection with the making of this Sixteenth Amendment, and Landlord shall pay such commission to Landlord’s Broker pursuant to a separate agreement between Landlord and Landlord’s Broker.</w:t>
      </w:r>
    </w:p>
    <w:p>
      <w:pPr>
        <w:spacing w:after="0" w:line="194"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under the Existing Lease.</w:t>
      </w:r>
    </w:p>
    <w:p>
      <w:pPr>
        <w:spacing w:after="0" w:line="173" w:lineRule="exact"/>
        <w:rPr>
          <w:rFonts w:ascii="Times New Roman" w:cs="Times New Roman" w:eastAsia="Times New Roman" w:hAnsi="Times New Roman"/>
          <w:sz w:val="22"/>
          <w:szCs w:val="22"/>
          <w:color w:val="auto"/>
        </w:rPr>
      </w:pPr>
    </w:p>
    <w:p>
      <w:pPr>
        <w:ind w:firstLine="8"/>
        <w:spacing w:after="0" w:line="271"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Lease should be sent to:</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Vice President of Facilities.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369" w:right="239" w:bottom="1440" w:gutter="0" w:footer="0" w:header="0"/>
        </w:sectPr>
      </w:pPr>
    </w:p>
    <w:bookmarkStart w:id="228" w:name="page229"/>
    <w:bookmarkEnd w:id="228"/>
    <w:p>
      <w:pPr>
        <w:jc w:val="both"/>
        <w:ind w:firstLine="8"/>
        <w:spacing w:after="0" w:line="250" w:lineRule="auto"/>
        <w:tabs>
          <w:tab w:leader="none" w:pos="91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Sixteenth Amendment, the Existing Lease and all the covenants, agreements, terms, provisions and conditions thereof shall remain in full force and effect and are hereby ratified and affirmed. In the event of any conflict between the terms contained in this Sixteenth Amendment and the Existing Lease, the terms herein contained shall supersede and control the obligations and liabilities of the parties. From and after the date hereof, the term “Lease,” as used in the Existing Lease, shall mean the Existing Lease, as amended by this Sixteenth Amendment.</w:t>
      </w:r>
    </w:p>
    <w:p>
      <w:pPr>
        <w:spacing w:after="0" w:line="181"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Each of the covenants, conditions and agreements contained in this Sixteenth Amendment shall inure to the benefit of and shall apply to and be binding upon the parties hereto and their respective permitted successors and assigns. Nothing in this section shall in any way alter the provisions of the Lease restricting assignment or subletting.</w:t>
      </w:r>
    </w:p>
    <w:p>
      <w:pPr>
        <w:spacing w:after="0" w:line="173" w:lineRule="exact"/>
        <w:rPr>
          <w:rFonts w:ascii="Times New Roman" w:cs="Times New Roman" w:eastAsia="Times New Roman" w:hAnsi="Times New Roman"/>
          <w:sz w:val="22"/>
          <w:szCs w:val="22"/>
          <w:color w:val="auto"/>
        </w:rPr>
      </w:pPr>
    </w:p>
    <w:p>
      <w:pPr>
        <w:jc w:val="both"/>
        <w:ind w:firstLine="8"/>
        <w:spacing w:after="0" w:line="249" w:lineRule="auto"/>
        <w:tabs>
          <w:tab w:leader="none" w:pos="91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Sixteenth Amendment becomes effective only upon execution and delivery hereof by Landlord and Tenant. The captions of the paragraphs and subparagraphs in this Sixteenth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0" w:lineRule="exact"/>
        <w:rPr>
          <w:rFonts w:ascii="Times New Roman" w:cs="Times New Roman" w:eastAsia="Times New Roman" w:hAnsi="Times New Roman"/>
          <w:sz w:val="22"/>
          <w:szCs w:val="22"/>
          <w:color w:val="auto"/>
        </w:rPr>
      </w:pPr>
    </w:p>
    <w:p>
      <w:pPr>
        <w:jc w:val="both"/>
        <w:ind w:firstLine="8"/>
        <w:spacing w:after="0" w:line="268" w:lineRule="auto"/>
        <w:tabs>
          <w:tab w:leader="none" w:pos="918"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Tenant represents, warrants and covenants to Landlord that the individual signing this Sixteenth Amendment on behalf of Tenant has the power, authority and legal capacity to sign this Sixteenth Amendment on behalf of and to bind Tenant. Landlord represents, warrants and covenants to Tenant that the individual signing this Sixteenth Amendment on behalf of Landlord has the power, authority and legal capacity to sign this Sixteenth Amendment on behalf of and to bind Landlord.</w:t>
      </w:r>
    </w:p>
    <w:p>
      <w:pPr>
        <w:spacing w:after="0" w:line="163" w:lineRule="exact"/>
        <w:rPr>
          <w:rFonts w:ascii="Times New Roman" w:cs="Times New Roman" w:eastAsia="Times New Roman" w:hAnsi="Times New Roman"/>
          <w:sz w:val="21"/>
          <w:szCs w:val="21"/>
          <w:color w:val="auto"/>
        </w:rPr>
      </w:pPr>
    </w:p>
    <w:p>
      <w:pPr>
        <w:jc w:val="both"/>
        <w:ind w:firstLine="8"/>
        <w:spacing w:after="0" w:line="275" w:lineRule="auto"/>
        <w:tabs>
          <w:tab w:leader="none" w:pos="918"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Facsimile and PDF Signatures</w:t>
      </w:r>
      <w:r>
        <w:rPr>
          <w:rFonts w:ascii="Times New Roman" w:cs="Times New Roman" w:eastAsia="Times New Roman" w:hAnsi="Times New Roman"/>
          <w:sz w:val="21"/>
          <w:szCs w:val="21"/>
          <w:color w:val="auto"/>
        </w:rPr>
        <w:t>. This Sixteenth Amendment may be executed in one or more counterparts, each of which, when taken together, shall constitute one and the same document. A facsimile or portable document format (PDF) signature on this Sixteenth Amendment shall be equivalent to, and have the same force and effect as, an original signature.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369" w:right="239" w:bottom="1440" w:gutter="0" w:footer="0" w:header="0"/>
        </w:sectPr>
      </w:pPr>
    </w:p>
    <w:bookmarkStart w:id="229" w:name="page230"/>
    <w:bookmarkEnd w:id="22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executed this Sixteenth Amendment as of the date and year first above written.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VP, Real Estate Legal</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E. Landry</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E. Landry</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SVP - CFO &amp; Finance</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9" w:right="239" w:bottom="1440" w:gutter="0" w:footer="0" w:header="0"/>
        </w:sectPr>
      </w:pPr>
    </w:p>
    <w:bookmarkStart w:id="230" w:name="page231"/>
    <w:bookmarkEnd w:id="23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767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1" w:name="page232"/>
    <w:bookmarkEnd w:id="23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777-01 NORTH ROFO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2" w:name="page233"/>
    <w:bookmarkEnd w:id="23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777-02 NORTH ROFO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3" w:name="page234"/>
    <w:bookmarkEnd w:id="23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777 C-LEVEL 777C04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777-01 NORTHEAST ROFO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777-G03 SURRENDER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36" w:name="page237"/>
    <w:bookmarkEnd w:id="23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777-SL1 SURRENDER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837"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ACKNOWLEDGEMENT OF [INSERT APPLICABLE PREMISES] COMMENCEMENT DATE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ACKNOWLEDGEMENT OF [INSERT APPLICABLE PREMISES] COMMENCEMENT DATE is entered into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2015, with reference to that certain Lease dated as of December 21, 2006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w:t>
      </w:r>
    </w:p>
    <w:p>
      <w:pPr>
        <w:spacing w:after="0" w:line="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that certain First Amendment to Lease dated as of October 24, 2007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that certain Second Amendment to Lease dated as of September 30, 2008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that certain Third Amendment to Lease dated as of April 29, 2009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that certain Fourth Amendment to Lease dated as of December 3, 2009 (the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Fifth Amendment to Lease dated as of February 11, 2010 (the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that certain Sixth Amendment to Lease dated as of June 4, 2010 (the “</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that certain Seventh Amendment to Lease dated as of December 22, 2010 (the “</w:t>
      </w:r>
      <w:r>
        <w:rPr>
          <w:rFonts w:ascii="Times New Roman" w:cs="Times New Roman" w:eastAsia="Times New Roman" w:hAnsi="Times New Roman"/>
          <w:sz w:val="21"/>
          <w:szCs w:val="21"/>
          <w:u w:val="single" w:color="auto"/>
          <w:color w:val="auto"/>
        </w:rPr>
        <w:t>Seventh Amendment</w:t>
      </w:r>
      <w:r>
        <w:rPr>
          <w:rFonts w:ascii="Times New Roman" w:cs="Times New Roman" w:eastAsia="Times New Roman" w:hAnsi="Times New Roman"/>
          <w:sz w:val="21"/>
          <w:szCs w:val="21"/>
          <w:color w:val="auto"/>
        </w:rPr>
        <w:t>”), that certain Eighth Amendment to Lease dated as of August 1, 2011 (the “</w:t>
      </w:r>
      <w:r>
        <w:rPr>
          <w:rFonts w:ascii="Times New Roman" w:cs="Times New Roman" w:eastAsia="Times New Roman" w:hAnsi="Times New Roman"/>
          <w:sz w:val="21"/>
          <w:szCs w:val="21"/>
          <w:u w:val="single" w:color="auto"/>
          <w:color w:val="auto"/>
        </w:rPr>
        <w:t>Eighth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that certain Ninth Amendment to Lease dated as of September 30, 2011 (the “</w:t>
      </w:r>
      <w:r>
        <w:rPr>
          <w:rFonts w:ascii="Times New Roman" w:cs="Times New Roman" w:eastAsia="Times New Roman" w:hAnsi="Times New Roman"/>
          <w:sz w:val="21"/>
          <w:szCs w:val="21"/>
          <w:u w:val="single" w:color="auto"/>
          <w:color w:val="auto"/>
        </w:rPr>
        <w:t>Ninth Amendment</w:t>
      </w:r>
      <w:r>
        <w:rPr>
          <w:rFonts w:ascii="Times New Roman" w:cs="Times New Roman" w:eastAsia="Times New Roman" w:hAnsi="Times New Roman"/>
          <w:sz w:val="21"/>
          <w:szCs w:val="21"/>
          <w:color w:val="auto"/>
        </w:rPr>
        <w:t>”), that certain Tenth Amendment to Lease dated as of October 25, 2012 (the “</w:t>
      </w:r>
      <w:r>
        <w:rPr>
          <w:rFonts w:ascii="Times New Roman" w:cs="Times New Roman" w:eastAsia="Times New Roman" w:hAnsi="Times New Roman"/>
          <w:sz w:val="21"/>
          <w:szCs w:val="21"/>
          <w:u w:val="single" w:color="auto"/>
          <w:color w:val="auto"/>
        </w:rPr>
        <w:t>Tenth Amendment</w:t>
      </w:r>
      <w:r>
        <w:rPr>
          <w:rFonts w:ascii="Times New Roman" w:cs="Times New Roman" w:eastAsia="Times New Roman" w:hAnsi="Times New Roman"/>
          <w:sz w:val="21"/>
          <w:szCs w:val="21"/>
          <w:color w:val="auto"/>
        </w:rPr>
        <w:t>”), that certain Eleventh Amendment to Lease dated as of April 3, 2013 (the “</w:t>
      </w:r>
      <w:r>
        <w:rPr>
          <w:rFonts w:ascii="Times New Roman" w:cs="Times New Roman" w:eastAsia="Times New Roman" w:hAnsi="Times New Roman"/>
          <w:sz w:val="21"/>
          <w:szCs w:val="21"/>
          <w:u w:val="single" w:color="auto"/>
          <w:color w:val="auto"/>
        </w:rPr>
        <w:t>Eleventh Amendment</w:t>
      </w:r>
      <w:r>
        <w:rPr>
          <w:rFonts w:ascii="Times New Roman" w:cs="Times New Roman" w:eastAsia="Times New Roman" w:hAnsi="Times New Roman"/>
          <w:sz w:val="21"/>
          <w:szCs w:val="21"/>
          <w:color w:val="auto"/>
        </w:rPr>
        <w:t>”), that certain Twelfth Amendment to Lease dated as of May 31, 2013 (the “</w:t>
      </w:r>
      <w:r>
        <w:rPr>
          <w:rFonts w:ascii="Times New Roman" w:cs="Times New Roman" w:eastAsia="Times New Roman" w:hAnsi="Times New Roman"/>
          <w:sz w:val="21"/>
          <w:szCs w:val="21"/>
          <w:u w:val="single" w:color="auto"/>
          <w:color w:val="auto"/>
        </w:rPr>
        <w:t>Twelfth Amendment</w:t>
      </w:r>
      <w:r>
        <w:rPr>
          <w:rFonts w:ascii="Times New Roman" w:cs="Times New Roman" w:eastAsia="Times New Roman" w:hAnsi="Times New Roman"/>
          <w:sz w:val="21"/>
          <w:szCs w:val="21"/>
          <w:color w:val="auto"/>
        </w:rPr>
        <w:t>”), that certain Thirteenth Amendment to Lease dated as of May 31, 2013 (the “</w:t>
      </w:r>
      <w:r>
        <w:rPr>
          <w:rFonts w:ascii="Times New Roman" w:cs="Times New Roman" w:eastAsia="Times New Roman" w:hAnsi="Times New Roman"/>
          <w:sz w:val="21"/>
          <w:szCs w:val="21"/>
          <w:u w:val="single" w:color="auto"/>
          <w:color w:val="auto"/>
        </w:rPr>
        <w:t>Thirteenth Amendment</w:t>
      </w:r>
      <w:r>
        <w:rPr>
          <w:rFonts w:ascii="Times New Roman" w:cs="Times New Roman" w:eastAsia="Times New Roman" w:hAnsi="Times New Roman"/>
          <w:sz w:val="21"/>
          <w:szCs w:val="21"/>
          <w:color w:val="auto"/>
        </w:rPr>
        <w:t>”), that certain Fourteenth Amendment to Lease dated as of October 25, 2013 (the “</w:t>
      </w:r>
      <w:r>
        <w:rPr>
          <w:rFonts w:ascii="Times New Roman" w:cs="Times New Roman" w:eastAsia="Times New Roman" w:hAnsi="Times New Roman"/>
          <w:sz w:val="21"/>
          <w:szCs w:val="21"/>
          <w:u w:val="single" w:color="auto"/>
          <w:color w:val="auto"/>
        </w:rPr>
        <w:t>Fourteenth Amendment</w:t>
      </w:r>
      <w:r>
        <w:rPr>
          <w:rFonts w:ascii="Times New Roman" w:cs="Times New Roman" w:eastAsia="Times New Roman" w:hAnsi="Times New Roman"/>
          <w:sz w:val="21"/>
          <w:szCs w:val="21"/>
          <w:color w:val="auto"/>
        </w:rPr>
        <w:t>”), that certain Fifteenth Amendment to Lease dated as of June 12, 2014 (the “</w:t>
      </w:r>
      <w:r>
        <w:rPr>
          <w:rFonts w:ascii="Times New Roman" w:cs="Times New Roman" w:eastAsia="Times New Roman" w:hAnsi="Times New Roman"/>
          <w:sz w:val="21"/>
          <w:szCs w:val="21"/>
          <w:u w:val="single" w:color="auto"/>
          <w:color w:val="auto"/>
        </w:rPr>
        <w:t>Fifteenth Amendment</w:t>
      </w:r>
      <w:r>
        <w:rPr>
          <w:rFonts w:ascii="Times New Roman" w:cs="Times New Roman" w:eastAsia="Times New Roman" w:hAnsi="Times New Roman"/>
          <w:sz w:val="21"/>
          <w:szCs w:val="21"/>
          <w:color w:val="auto"/>
        </w:rPr>
        <w:t>”) and that certain Sixteenth Amendment to Lease dated as of June 30, 2015 (the “</w:t>
      </w:r>
      <w:r>
        <w:rPr>
          <w:rFonts w:ascii="Times New Roman" w:cs="Times New Roman" w:eastAsia="Times New Roman" w:hAnsi="Times New Roman"/>
          <w:sz w:val="21"/>
          <w:szCs w:val="21"/>
          <w:u w:val="single" w:color="auto"/>
          <w:color w:val="auto"/>
        </w:rPr>
        <w:t>Sixteenth Amendment</w:t>
      </w:r>
      <w:r>
        <w:rPr>
          <w:rFonts w:ascii="Times New Roman" w:cs="Times New Roman" w:eastAsia="Times New Roman" w:hAnsi="Times New Roman"/>
          <w:sz w:val="21"/>
          <w:szCs w:val="21"/>
          <w:color w:val="auto"/>
        </w:rPr>
        <w:t>”) and, collectively with the Original Lease and the First Amendment, Second Amendment, Third Amendment, Fourth Amendment, Fifth Amendment, Sixth Amendment, Seventh Amendment, Eighth Amendment, Ninth Amendment, Tenth Amendment, Eleventh Amendment, Twelfth Amendment, Thirteenth Amendment, Fourteenth Amendment and Fifteenth Amendment and as the same may have been heretofore further amended, amended and restated, supplemented or modified from time to time,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by REGENERON PHARMACEUTICALS, INC., a New York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in favor of BMR-LANDMARK AT EASTVIEW LLC,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All capitalized terms used herein without definition shall have the meanings ascribed to them in the Sixteenth Amendment.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 hereby confirms the following:</w:t>
      </w:r>
    </w:p>
    <w:p>
      <w:pPr>
        <w:spacing w:after="0" w:line="220" w:lineRule="exact"/>
        <w:rPr>
          <w:sz w:val="20"/>
          <w:szCs w:val="20"/>
          <w:color w:val="auto"/>
        </w:rPr>
      </w:pPr>
    </w:p>
    <w:p>
      <w:pPr>
        <w:ind w:left="2120" w:hanging="1464"/>
        <w:spacing w:after="0"/>
        <w:tabs>
          <w:tab w:leader="none" w:pos="212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accepted possession of the [INSERT APPLICABLE PREMISES] on [_______].</w:t>
      </w:r>
    </w:p>
    <w:p>
      <w:pPr>
        <w:spacing w:after="0" w:line="219" w:lineRule="exact"/>
        <w:rPr>
          <w:rFonts w:ascii="Times New Roman" w:cs="Times New Roman" w:eastAsia="Times New Roman" w:hAnsi="Times New Roman"/>
          <w:sz w:val="22"/>
          <w:szCs w:val="22"/>
          <w:color w:val="auto"/>
        </w:rPr>
      </w:pPr>
    </w:p>
    <w:p>
      <w:pPr>
        <w:ind w:left="2120" w:hanging="1464"/>
        <w:spacing w:after="0"/>
        <w:tabs>
          <w:tab w:leader="none" w:pos="212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[INSERT APPLICABLE PREMISES] are in good order, condition and repair.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PREMISES WITH LANDLORD WORK:] The [INSERT APPLICABLE LANDLORD WORK] is substantially complete (as defined in the Sixteenth Amendment).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Lease with respect to the [INSERT APPLICABLE PREMISES] to be performed by Landlord as a condition to the full effectiveness of the Lease have been satisfied.</w:t>
      </w:r>
    </w:p>
    <w:p>
      <w:pPr>
        <w:sectPr>
          <w:pgSz w:w="11900" w:h="16838" w:orient="portrait"/>
          <w:cols w:equalWidth="0" w:num="1">
            <w:col w:w="11420"/>
          </w:cols>
          <w:pgMar w:left="240" w:top="365" w:right="239" w:bottom="1440" w:gutter="0" w:footer="0" w:header="0"/>
        </w:sectPr>
      </w:pPr>
    </w:p>
    <w:bookmarkStart w:id="238" w:name="page239"/>
    <w:bookmarkEnd w:id="238"/>
    <w:p>
      <w:pPr>
        <w:ind w:firstLine="656"/>
        <w:spacing w:after="0" w:line="271" w:lineRule="auto"/>
        <w:tabs>
          <w:tab w:leader="none" w:pos="21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provisions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Sixteenth Amendment, the [INSERT APPLICABLE COMMENCEMENT DATE] is [_______], 20[__].</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21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and the same represents the entire agreement between Landlord and Tenant concerning the Premises[, except [_______]].</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21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pay Rent is presently in effect and all Rent obligations on the part of Tenant under the Lease with respect to the [INSERT APPLICABLE PREMISES] commenced to accrue on [_______], 20[__], with Basic Annual Rent for the [INSERT APPLICABLE PREMISES] payable on the dates and in amounts set forth in the Sixteenth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420"/>
          </w:cols>
          <w:pgMar w:left="240" w:top="369" w:right="239" w:bottom="1440" w:gutter="0" w:footer="0" w:header="0"/>
        </w:sectPr>
      </w:pPr>
    </w:p>
    <w:bookmarkStart w:id="239" w:name="page240"/>
    <w:bookmarkEnd w:id="23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TENANT’S PRO RATA SHARES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00" w:type="dxa"/>
            <w:vAlign w:val="bottom"/>
            <w:tcBorders>
              <w:top w:val="single" w:sz="8" w:color="00000A"/>
              <w:left w:val="single" w:sz="8" w:color="00000A"/>
            </w:tcBorders>
          </w:tcPr>
          <w:p>
            <w:pPr>
              <w:spacing w:after="0"/>
              <w:rPr>
                <w:sz w:val="24"/>
                <w:szCs w:val="24"/>
                <w:color w:val="auto"/>
              </w:rPr>
            </w:pPr>
          </w:p>
        </w:tc>
        <w:tc>
          <w:tcPr>
            <w:tcW w:w="2260" w:type="dxa"/>
            <w:vAlign w:val="bottom"/>
            <w:tcBorders>
              <w:top w:val="single" w:sz="8" w:color="00000A"/>
              <w:right w:val="single" w:sz="8" w:color="00000A"/>
            </w:tcBorders>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Portion of added</w:t>
            </w:r>
          </w:p>
        </w:tc>
        <w:tc>
          <w:tcPr>
            <w:tcW w:w="1960" w:type="dxa"/>
            <w:vAlign w:val="bottom"/>
            <w:tcBorders>
              <w:top w:val="single" w:sz="8" w:color="00000A"/>
              <w:right w:val="single" w:sz="8" w:color="00000A"/>
            </w:tcBorders>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Square Feet of</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 Rata</w:t>
            </w:r>
          </w:p>
        </w:tc>
        <w:tc>
          <w:tcPr>
            <w:tcW w:w="21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 Rata</w:t>
            </w:r>
          </w:p>
        </w:tc>
        <w:tc>
          <w:tcPr>
            <w:tcW w:w="21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Tenant’s Pro Rata</w:t>
            </w:r>
          </w:p>
        </w:tc>
        <w:tc>
          <w:tcPr>
            <w:tcW w:w="0" w:type="dxa"/>
            <w:vAlign w:val="bottom"/>
          </w:tcPr>
          <w:p>
            <w:pPr>
              <w:spacing w:after="0"/>
              <w:rPr>
                <w:sz w:val="1"/>
                <w:szCs w:val="1"/>
                <w:color w:val="auto"/>
              </w:rPr>
            </w:pPr>
          </w:p>
        </w:tc>
      </w:tr>
      <w:tr>
        <w:trPr>
          <w:trHeight w:val="104"/>
        </w:trPr>
        <w:tc>
          <w:tcPr>
            <w:tcW w:w="2760" w:type="dxa"/>
            <w:vAlign w:val="bottom"/>
            <w:tcBorders>
              <w:left w:val="single" w:sz="8" w:color="00000A"/>
              <w:right w:val="single" w:sz="8" w:color="00000A"/>
            </w:tcBorders>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“Premises” Means the</w:t>
            </w:r>
          </w:p>
        </w:tc>
        <w:tc>
          <w:tcPr>
            <w:tcW w:w="1960" w:type="dxa"/>
            <w:vAlign w:val="bottom"/>
            <w:tcBorders>
              <w:right w:val="single" w:sz="8" w:color="00000A"/>
            </w:tcBorders>
            <w:vMerge w:val="continue"/>
          </w:tcPr>
          <w:p>
            <w:pPr>
              <w:spacing w:after="0"/>
              <w:rPr>
                <w:sz w:val="9"/>
                <w:szCs w:val="9"/>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Share of the applicable</w:t>
            </w:r>
          </w:p>
        </w:tc>
        <w:tc>
          <w:tcPr>
            <w:tcW w:w="2160" w:type="dxa"/>
            <w:vAlign w:val="bottom"/>
            <w:tcBorders>
              <w:right w:val="single" w:sz="8" w:color="00000A"/>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 of Existing</w:t>
            </w:r>
          </w:p>
        </w:tc>
        <w:tc>
          <w:tcPr>
            <w:tcW w:w="2160" w:type="dxa"/>
            <w:vAlign w:val="bottom"/>
            <w:tcBorders>
              <w:right w:val="single" w:sz="8" w:color="00000A"/>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Share of the Entire</w:t>
            </w:r>
          </w:p>
        </w:tc>
        <w:tc>
          <w:tcPr>
            <w:tcW w:w="0" w:type="dxa"/>
            <w:vAlign w:val="bottom"/>
          </w:tcPr>
          <w:p>
            <w:pPr>
              <w:spacing w:after="0"/>
              <w:rPr>
                <w:sz w:val="1"/>
                <w:szCs w:val="1"/>
                <w:color w:val="auto"/>
              </w:rPr>
            </w:pPr>
          </w:p>
        </w:tc>
      </w:tr>
      <w:tr>
        <w:trPr>
          <w:trHeight w:val="139"/>
        </w:trPr>
        <w:tc>
          <w:tcPr>
            <w:tcW w:w="2760" w:type="dxa"/>
            <w:vAlign w:val="bottom"/>
            <w:tcBorders>
              <w:left w:val="single" w:sz="8" w:color="00000A"/>
              <w:right w:val="single" w:sz="8" w:color="00000A"/>
            </w:tcBorders>
            <w:gridSpan w:val="3"/>
            <w:vMerge w:val="continue"/>
          </w:tcPr>
          <w:p>
            <w:pPr>
              <w:spacing w:after="0"/>
              <w:rPr>
                <w:sz w:val="12"/>
                <w:szCs w:val="12"/>
                <w:color w:val="auto"/>
              </w:rPr>
            </w:pPr>
          </w:p>
        </w:tc>
        <w:tc>
          <w:tcPr>
            <w:tcW w:w="1960" w:type="dxa"/>
            <w:vAlign w:val="bottom"/>
            <w:tcBorders>
              <w:right w:val="single" w:sz="8" w:color="00000A"/>
            </w:tcBorders>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Rentable Area</w:t>
            </w:r>
          </w:p>
        </w:tc>
        <w:tc>
          <w:tcPr>
            <w:tcW w:w="2400" w:type="dxa"/>
            <w:vAlign w:val="bottom"/>
            <w:tcBorders>
              <w:right w:val="single" w:sz="8" w:color="00000A"/>
            </w:tcBorders>
            <w:vMerge w:val="continue"/>
          </w:tcPr>
          <w:p>
            <w:pPr>
              <w:spacing w:after="0"/>
              <w:rPr>
                <w:sz w:val="12"/>
                <w:szCs w:val="12"/>
                <w:color w:val="auto"/>
              </w:rPr>
            </w:pPr>
          </w:p>
        </w:tc>
        <w:tc>
          <w:tcPr>
            <w:tcW w:w="2160" w:type="dxa"/>
            <w:vAlign w:val="bottom"/>
            <w:tcBorders>
              <w:right w:val="single" w:sz="8" w:color="00000A"/>
            </w:tcBorders>
            <w:vMerge w:val="continue"/>
          </w:tcPr>
          <w:p>
            <w:pPr>
              <w:spacing w:after="0"/>
              <w:rPr>
                <w:sz w:val="12"/>
                <w:szCs w:val="12"/>
                <w:color w:val="auto"/>
              </w:rPr>
            </w:pPr>
          </w:p>
        </w:tc>
        <w:tc>
          <w:tcPr>
            <w:tcW w:w="216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00000A"/>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20" w:type="dxa"/>
            <w:vAlign w:val="bottom"/>
            <w:tcBorders>
              <w:right w:val="single" w:sz="8" w:color="00000A"/>
            </w:tcBorders>
          </w:tcPr>
          <w:p>
            <w:pPr>
              <w:spacing w:after="0"/>
              <w:rPr>
                <w:sz w:val="2"/>
                <w:szCs w:val="2"/>
                <w:color w:val="auto"/>
              </w:rPr>
            </w:pPr>
          </w:p>
        </w:tc>
        <w:tc>
          <w:tcPr>
            <w:tcW w:w="1960" w:type="dxa"/>
            <w:vAlign w:val="bottom"/>
            <w:tcBorders>
              <w:right w:val="single" w:sz="8" w:color="00000A"/>
            </w:tcBorders>
            <w:vMerge w:val="continue"/>
          </w:tcPr>
          <w:p>
            <w:pPr>
              <w:spacing w:after="0"/>
              <w:rPr>
                <w:sz w:val="2"/>
                <w:szCs w:val="2"/>
                <w:color w:val="auto"/>
              </w:rPr>
            </w:pPr>
          </w:p>
        </w:tc>
        <w:tc>
          <w:tcPr>
            <w:tcW w:w="24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Building</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Project (833,204)</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Project (1,490,724)</w:t>
            </w:r>
          </w:p>
        </w:tc>
        <w:tc>
          <w:tcPr>
            <w:tcW w:w="0" w:type="dxa"/>
            <w:vAlign w:val="bottom"/>
          </w:tcPr>
          <w:p>
            <w:pPr>
              <w:spacing w:after="0" w:line="20" w:lineRule="exact"/>
              <w:rPr>
                <w:sz w:val="1"/>
                <w:szCs w:val="1"/>
                <w:color w:val="auto"/>
              </w:rPr>
            </w:pPr>
          </w:p>
        </w:tc>
      </w:tr>
      <w:tr>
        <w:trPr>
          <w:trHeight w:val="120"/>
        </w:trPr>
        <w:tc>
          <w:tcPr>
            <w:tcW w:w="500" w:type="dxa"/>
            <w:vAlign w:val="bottom"/>
            <w:tcBorders>
              <w:left w:val="single" w:sz="8" w:color="00000A"/>
            </w:tcBorders>
          </w:tcPr>
          <w:p>
            <w:pPr>
              <w:spacing w:after="0"/>
              <w:rPr>
                <w:sz w:val="10"/>
                <w:szCs w:val="10"/>
                <w:color w:val="auto"/>
              </w:rPr>
            </w:pPr>
          </w:p>
        </w:tc>
        <w:tc>
          <w:tcPr>
            <w:tcW w:w="2260" w:type="dxa"/>
            <w:vAlign w:val="bottom"/>
            <w:tcBorders>
              <w:right w:val="single" w:sz="8" w:color="00000A"/>
            </w:tcBorders>
            <w:gridSpan w:val="2"/>
            <w:vMerge w:val="restart"/>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Following:</w:t>
            </w:r>
          </w:p>
        </w:tc>
        <w:tc>
          <w:tcPr>
            <w:tcW w:w="1960" w:type="dxa"/>
            <w:vAlign w:val="bottom"/>
            <w:tcBorders>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2160" w:type="dxa"/>
            <w:vAlign w:val="bottom"/>
            <w:tcBorders>
              <w:right w:val="single" w:sz="8" w:color="00000A"/>
            </w:tcBorders>
            <w:vMerge w:val="continue"/>
          </w:tcPr>
          <w:p>
            <w:pPr>
              <w:spacing w:after="0"/>
              <w:rPr>
                <w:sz w:val="10"/>
                <w:szCs w:val="10"/>
                <w:color w:val="auto"/>
              </w:rPr>
            </w:pPr>
          </w:p>
        </w:tc>
        <w:tc>
          <w:tcPr>
            <w:tcW w:w="21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00000A"/>
            </w:tcBorders>
          </w:tcPr>
          <w:p>
            <w:pPr>
              <w:spacing w:after="0"/>
              <w:rPr>
                <w:sz w:val="14"/>
                <w:szCs w:val="14"/>
                <w:color w:val="auto"/>
              </w:rPr>
            </w:pPr>
          </w:p>
        </w:tc>
        <w:tc>
          <w:tcPr>
            <w:tcW w:w="2260" w:type="dxa"/>
            <w:vAlign w:val="bottom"/>
            <w:tcBorders>
              <w:right w:val="single" w:sz="8" w:color="00000A"/>
            </w:tcBorders>
            <w:gridSpan w:val="2"/>
            <w:vMerge w:val="continue"/>
          </w:tcPr>
          <w:p>
            <w:pPr>
              <w:spacing w:after="0"/>
              <w:rPr>
                <w:sz w:val="14"/>
                <w:szCs w:val="14"/>
                <w:color w:val="auto"/>
              </w:rPr>
            </w:pPr>
          </w:p>
        </w:tc>
        <w:tc>
          <w:tcPr>
            <w:tcW w:w="1960" w:type="dxa"/>
            <w:vAlign w:val="bottom"/>
            <w:tcBorders>
              <w:right w:val="single" w:sz="8" w:color="00000A"/>
            </w:tcBorders>
          </w:tcPr>
          <w:p>
            <w:pPr>
              <w:spacing w:after="0"/>
              <w:rPr>
                <w:sz w:val="14"/>
                <w:szCs w:val="14"/>
                <w:color w:val="auto"/>
              </w:rPr>
            </w:pPr>
          </w:p>
        </w:tc>
        <w:tc>
          <w:tcPr>
            <w:tcW w:w="2400" w:type="dxa"/>
            <w:vAlign w:val="bottom"/>
            <w:tcBorders>
              <w:right w:val="single" w:sz="8" w:color="00000A"/>
            </w:tcBorders>
            <w:vMerge w:val="continue"/>
          </w:tcPr>
          <w:p>
            <w:pPr>
              <w:spacing w:after="0"/>
              <w:rPr>
                <w:sz w:val="14"/>
                <w:szCs w:val="14"/>
                <w:color w:val="auto"/>
              </w:rPr>
            </w:pPr>
          </w:p>
        </w:tc>
        <w:tc>
          <w:tcPr>
            <w:tcW w:w="2160" w:type="dxa"/>
            <w:vAlign w:val="bottom"/>
            <w:tcBorders>
              <w:right w:val="single" w:sz="8" w:color="00000A"/>
            </w:tcBorders>
            <w:vMerge w:val="continue"/>
          </w:tcPr>
          <w:p>
            <w:pPr>
              <w:spacing w:after="0"/>
              <w:rPr>
                <w:sz w:val="14"/>
                <w:szCs w:val="14"/>
                <w:color w:val="auto"/>
              </w:rPr>
            </w:pPr>
          </w:p>
        </w:tc>
        <w:tc>
          <w:tcPr>
            <w:tcW w:w="216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500" w:type="dxa"/>
            <w:vAlign w:val="bottom"/>
            <w:tcBorders>
              <w:left w:val="single" w:sz="8" w:color="00000A"/>
              <w:bottom w:val="single" w:sz="8" w:color="00000A"/>
            </w:tcBorders>
          </w:tcPr>
          <w:p>
            <w:pPr>
              <w:spacing w:after="0"/>
              <w:rPr>
                <w:sz w:val="5"/>
                <w:szCs w:val="5"/>
                <w:color w:val="auto"/>
              </w:rPr>
            </w:pPr>
          </w:p>
        </w:tc>
        <w:tc>
          <w:tcPr>
            <w:tcW w:w="840" w:type="dxa"/>
            <w:vAlign w:val="bottom"/>
            <w:tcBorders>
              <w:bottom w:val="single" w:sz="8" w:color="00000A"/>
            </w:tcBorders>
          </w:tcPr>
          <w:p>
            <w:pPr>
              <w:spacing w:after="0"/>
              <w:rPr>
                <w:sz w:val="5"/>
                <w:szCs w:val="5"/>
                <w:color w:val="auto"/>
              </w:rPr>
            </w:pPr>
          </w:p>
        </w:tc>
        <w:tc>
          <w:tcPr>
            <w:tcW w:w="1420" w:type="dxa"/>
            <w:vAlign w:val="bottom"/>
            <w:tcBorders>
              <w:bottom w:val="single" w:sz="8" w:color="00000A"/>
              <w:right w:val="single" w:sz="8" w:color="00000A"/>
            </w:tcBorders>
          </w:tcPr>
          <w:p>
            <w:pPr>
              <w:spacing w:after="0"/>
              <w:rPr>
                <w:sz w:val="5"/>
                <w:szCs w:val="5"/>
                <w:color w:val="auto"/>
              </w:rPr>
            </w:pPr>
          </w:p>
        </w:tc>
        <w:tc>
          <w:tcPr>
            <w:tcW w:w="1960" w:type="dxa"/>
            <w:vAlign w:val="bottom"/>
            <w:tcBorders>
              <w:bottom w:val="single" w:sz="8" w:color="00000A"/>
              <w:right w:val="single" w:sz="8" w:color="00000A"/>
            </w:tcBorders>
          </w:tcPr>
          <w:p>
            <w:pPr>
              <w:spacing w:after="0"/>
              <w:rPr>
                <w:sz w:val="5"/>
                <w:szCs w:val="5"/>
                <w:color w:val="auto"/>
              </w:rPr>
            </w:pPr>
          </w:p>
        </w:tc>
        <w:tc>
          <w:tcPr>
            <w:tcW w:w="2400" w:type="dxa"/>
            <w:vAlign w:val="bottom"/>
            <w:tcBorders>
              <w:bottom w:val="single" w:sz="8" w:color="00000A"/>
              <w:right w:val="single" w:sz="8" w:color="00000A"/>
            </w:tcBorders>
          </w:tcPr>
          <w:p>
            <w:pPr>
              <w:spacing w:after="0"/>
              <w:rPr>
                <w:sz w:val="5"/>
                <w:szCs w:val="5"/>
                <w:color w:val="auto"/>
              </w:rPr>
            </w:pPr>
          </w:p>
        </w:tc>
        <w:tc>
          <w:tcPr>
            <w:tcW w:w="2160" w:type="dxa"/>
            <w:vAlign w:val="bottom"/>
            <w:tcBorders>
              <w:bottom w:val="single" w:sz="8" w:color="00000A"/>
              <w:right w:val="single" w:sz="8" w:color="00000A"/>
            </w:tcBorders>
          </w:tcPr>
          <w:p>
            <w:pPr>
              <w:spacing w:after="0"/>
              <w:rPr>
                <w:sz w:val="5"/>
                <w:szCs w:val="5"/>
                <w:color w:val="auto"/>
              </w:rPr>
            </w:pPr>
          </w:p>
        </w:tc>
        <w:tc>
          <w:tcPr>
            <w:tcW w:w="2160" w:type="dxa"/>
            <w:vAlign w:val="bottom"/>
            <w:tcBorders>
              <w:bottom w:val="single" w:sz="8" w:color="00000A"/>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00000A"/>
            </w:tcBorders>
          </w:tcPr>
          <w:p>
            <w:pPr>
              <w:spacing w:after="0"/>
              <w:rPr>
                <w:sz w:val="24"/>
                <w:szCs w:val="24"/>
                <w:color w:val="auto"/>
              </w:rPr>
            </w:pPr>
          </w:p>
        </w:tc>
        <w:tc>
          <w:tcPr>
            <w:tcW w:w="2260" w:type="dxa"/>
            <w:vAlign w:val="bottom"/>
            <w:tcBorders>
              <w:right w:val="single" w:sz="8" w:color="00000A"/>
            </w:tcBorders>
            <w:gridSpan w:val="2"/>
          </w:tcPr>
          <w:p>
            <w:pPr>
              <w:jc w:val="center"/>
              <w:ind w:right="460"/>
              <w:spacing w:after="0"/>
              <w:rPr>
                <w:sz w:val="20"/>
                <w:szCs w:val="20"/>
                <w:color w:val="auto"/>
              </w:rPr>
            </w:pPr>
            <w:r>
              <w:rPr>
                <w:rFonts w:ascii="Times New Roman" w:cs="Times New Roman" w:eastAsia="Times New Roman" w:hAnsi="Times New Roman"/>
                <w:sz w:val="22"/>
                <w:szCs w:val="22"/>
                <w:color w:val="auto"/>
                <w:w w:val="98"/>
              </w:rPr>
              <w:t>767 Premises</w:t>
            </w:r>
          </w:p>
        </w:tc>
        <w:tc>
          <w:tcPr>
            <w:tcW w:w="19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78,414</w:t>
            </w: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9.411%</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rPr>
              <w:t>5.260%</w:t>
            </w:r>
          </w:p>
        </w:tc>
        <w:tc>
          <w:tcPr>
            <w:tcW w:w="0" w:type="dxa"/>
            <w:vAlign w:val="bottom"/>
          </w:tcPr>
          <w:p>
            <w:pPr>
              <w:spacing w:after="0"/>
              <w:rPr>
                <w:sz w:val="1"/>
                <w:szCs w:val="1"/>
                <w:color w:val="auto"/>
              </w:rPr>
            </w:pPr>
          </w:p>
        </w:tc>
      </w:tr>
      <w:tr>
        <w:trPr>
          <w:trHeight w:val="96"/>
        </w:trPr>
        <w:tc>
          <w:tcPr>
            <w:tcW w:w="500" w:type="dxa"/>
            <w:vAlign w:val="bottom"/>
            <w:tcBorders>
              <w:left w:val="single" w:sz="8" w:color="00000A"/>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1420" w:type="dxa"/>
            <w:vAlign w:val="bottom"/>
            <w:tcBorders>
              <w:bottom w:val="single" w:sz="8" w:color="00000A"/>
              <w:right w:val="single" w:sz="8" w:color="00000A"/>
            </w:tcBorders>
          </w:tcPr>
          <w:p>
            <w:pPr>
              <w:spacing w:after="0"/>
              <w:rPr>
                <w:sz w:val="8"/>
                <w:szCs w:val="8"/>
                <w:color w:val="auto"/>
              </w:rPr>
            </w:pPr>
          </w:p>
        </w:tc>
        <w:tc>
          <w:tcPr>
            <w:tcW w:w="196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760" w:type="dxa"/>
            <w:vAlign w:val="bottom"/>
            <w:tcBorders>
              <w:left w:val="single" w:sz="8" w:color="00000A"/>
              <w:right w:val="single" w:sz="8" w:color="00000A"/>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777-01 North ROFO</w:t>
            </w:r>
          </w:p>
        </w:tc>
        <w:tc>
          <w:tcPr>
            <w:tcW w:w="19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7,409</w:t>
            </w:r>
          </w:p>
        </w:tc>
        <w:tc>
          <w:tcPr>
            <w:tcW w:w="24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2.025%</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0.889%</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0.497%</w:t>
            </w:r>
          </w:p>
        </w:tc>
        <w:tc>
          <w:tcPr>
            <w:tcW w:w="0" w:type="dxa"/>
            <w:vAlign w:val="bottom"/>
          </w:tcPr>
          <w:p>
            <w:pPr>
              <w:spacing w:after="0"/>
              <w:rPr>
                <w:sz w:val="1"/>
                <w:szCs w:val="1"/>
                <w:color w:val="auto"/>
              </w:rPr>
            </w:pPr>
          </w:p>
        </w:tc>
      </w:tr>
      <w:tr>
        <w:trPr>
          <w:trHeight w:val="161"/>
        </w:trPr>
        <w:tc>
          <w:tcPr>
            <w:tcW w:w="500" w:type="dxa"/>
            <w:vAlign w:val="bottom"/>
            <w:tcBorders>
              <w:left w:val="single" w:sz="8" w:color="00000A"/>
            </w:tcBorders>
          </w:tcPr>
          <w:p>
            <w:pPr>
              <w:spacing w:after="0"/>
              <w:rPr>
                <w:sz w:val="13"/>
                <w:szCs w:val="13"/>
                <w:color w:val="auto"/>
              </w:rPr>
            </w:pPr>
          </w:p>
        </w:tc>
        <w:tc>
          <w:tcPr>
            <w:tcW w:w="2260" w:type="dxa"/>
            <w:vAlign w:val="bottom"/>
            <w:tcBorders>
              <w:right w:val="single" w:sz="8" w:color="00000A"/>
            </w:tcBorders>
            <w:gridSpan w:val="2"/>
            <w:vMerge w:val="restart"/>
          </w:tcPr>
          <w:p>
            <w:pPr>
              <w:jc w:val="center"/>
              <w:ind w:right="480"/>
              <w:spacing w:after="0"/>
              <w:rPr>
                <w:sz w:val="20"/>
                <w:szCs w:val="20"/>
                <w:color w:val="auto"/>
              </w:rPr>
            </w:pPr>
            <w:r>
              <w:rPr>
                <w:rFonts w:ascii="Times New Roman" w:cs="Times New Roman" w:eastAsia="Times New Roman" w:hAnsi="Times New Roman"/>
                <w:sz w:val="22"/>
                <w:szCs w:val="22"/>
                <w:color w:val="auto"/>
                <w:w w:val="98"/>
              </w:rPr>
              <w:t>Premises</w:t>
            </w:r>
          </w:p>
        </w:tc>
        <w:tc>
          <w:tcPr>
            <w:tcW w:w="1960" w:type="dxa"/>
            <w:vAlign w:val="bottom"/>
            <w:tcBorders>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00000A"/>
            </w:tcBorders>
          </w:tcPr>
          <w:p>
            <w:pPr>
              <w:spacing w:after="0"/>
              <w:rPr>
                <w:sz w:val="10"/>
                <w:szCs w:val="10"/>
                <w:color w:val="auto"/>
              </w:rPr>
            </w:pPr>
          </w:p>
        </w:tc>
        <w:tc>
          <w:tcPr>
            <w:tcW w:w="2260" w:type="dxa"/>
            <w:vAlign w:val="bottom"/>
            <w:tcBorders>
              <w:right w:val="single" w:sz="8" w:color="00000A"/>
            </w:tcBorders>
            <w:gridSpan w:val="2"/>
            <w:vMerge w:val="continue"/>
          </w:tcPr>
          <w:p>
            <w:pPr>
              <w:spacing w:after="0"/>
              <w:rPr>
                <w:sz w:val="10"/>
                <w:szCs w:val="10"/>
                <w:color w:val="auto"/>
              </w:rPr>
            </w:pPr>
          </w:p>
        </w:tc>
        <w:tc>
          <w:tcPr>
            <w:tcW w:w="1960" w:type="dxa"/>
            <w:vAlign w:val="bottom"/>
            <w:tcBorders>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00" w:type="dxa"/>
            <w:vAlign w:val="bottom"/>
            <w:tcBorders>
              <w:left w:val="single" w:sz="8" w:color="00000A"/>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1420" w:type="dxa"/>
            <w:vAlign w:val="bottom"/>
            <w:tcBorders>
              <w:bottom w:val="single" w:sz="8" w:color="00000A"/>
              <w:right w:val="single" w:sz="8" w:color="00000A"/>
            </w:tcBorders>
          </w:tcPr>
          <w:p>
            <w:pPr>
              <w:spacing w:after="0"/>
              <w:rPr>
                <w:sz w:val="8"/>
                <w:szCs w:val="8"/>
                <w:color w:val="auto"/>
              </w:rPr>
            </w:pPr>
          </w:p>
        </w:tc>
        <w:tc>
          <w:tcPr>
            <w:tcW w:w="196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760" w:type="dxa"/>
            <w:vAlign w:val="bottom"/>
            <w:tcBorders>
              <w:left w:val="single" w:sz="8" w:color="00000A"/>
              <w:right w:val="single" w:sz="8" w:color="00000A"/>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777-02 North ROFO</w:t>
            </w:r>
          </w:p>
        </w:tc>
        <w:tc>
          <w:tcPr>
            <w:tcW w:w="19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10,486</w:t>
            </w:r>
          </w:p>
        </w:tc>
        <w:tc>
          <w:tcPr>
            <w:tcW w:w="24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2.867%</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1.259%</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.703%</w:t>
            </w:r>
          </w:p>
        </w:tc>
        <w:tc>
          <w:tcPr>
            <w:tcW w:w="0" w:type="dxa"/>
            <w:vAlign w:val="bottom"/>
          </w:tcPr>
          <w:p>
            <w:pPr>
              <w:spacing w:after="0"/>
              <w:rPr>
                <w:sz w:val="1"/>
                <w:szCs w:val="1"/>
                <w:color w:val="auto"/>
              </w:rPr>
            </w:pPr>
          </w:p>
        </w:tc>
      </w:tr>
      <w:tr>
        <w:trPr>
          <w:trHeight w:val="161"/>
        </w:trPr>
        <w:tc>
          <w:tcPr>
            <w:tcW w:w="500" w:type="dxa"/>
            <w:vAlign w:val="bottom"/>
            <w:tcBorders>
              <w:left w:val="single" w:sz="8" w:color="00000A"/>
            </w:tcBorders>
          </w:tcPr>
          <w:p>
            <w:pPr>
              <w:spacing w:after="0"/>
              <w:rPr>
                <w:sz w:val="13"/>
                <w:szCs w:val="13"/>
                <w:color w:val="auto"/>
              </w:rPr>
            </w:pPr>
          </w:p>
        </w:tc>
        <w:tc>
          <w:tcPr>
            <w:tcW w:w="2260" w:type="dxa"/>
            <w:vAlign w:val="bottom"/>
            <w:tcBorders>
              <w:right w:val="single" w:sz="8" w:color="00000A"/>
            </w:tcBorders>
            <w:gridSpan w:val="2"/>
            <w:vMerge w:val="restart"/>
          </w:tcPr>
          <w:p>
            <w:pPr>
              <w:jc w:val="center"/>
              <w:ind w:right="480"/>
              <w:spacing w:after="0"/>
              <w:rPr>
                <w:sz w:val="20"/>
                <w:szCs w:val="20"/>
                <w:color w:val="auto"/>
              </w:rPr>
            </w:pPr>
            <w:r>
              <w:rPr>
                <w:rFonts w:ascii="Times New Roman" w:cs="Times New Roman" w:eastAsia="Times New Roman" w:hAnsi="Times New Roman"/>
                <w:sz w:val="22"/>
                <w:szCs w:val="22"/>
                <w:color w:val="auto"/>
                <w:w w:val="98"/>
              </w:rPr>
              <w:t>Premises</w:t>
            </w:r>
          </w:p>
        </w:tc>
        <w:tc>
          <w:tcPr>
            <w:tcW w:w="1960" w:type="dxa"/>
            <w:vAlign w:val="bottom"/>
            <w:tcBorders>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00000A"/>
            </w:tcBorders>
          </w:tcPr>
          <w:p>
            <w:pPr>
              <w:spacing w:after="0"/>
              <w:rPr>
                <w:sz w:val="10"/>
                <w:szCs w:val="10"/>
                <w:color w:val="auto"/>
              </w:rPr>
            </w:pPr>
          </w:p>
        </w:tc>
        <w:tc>
          <w:tcPr>
            <w:tcW w:w="2260" w:type="dxa"/>
            <w:vAlign w:val="bottom"/>
            <w:tcBorders>
              <w:right w:val="single" w:sz="8" w:color="00000A"/>
            </w:tcBorders>
            <w:gridSpan w:val="2"/>
            <w:vMerge w:val="continue"/>
          </w:tcPr>
          <w:p>
            <w:pPr>
              <w:spacing w:after="0"/>
              <w:rPr>
                <w:sz w:val="10"/>
                <w:szCs w:val="10"/>
                <w:color w:val="auto"/>
              </w:rPr>
            </w:pPr>
          </w:p>
        </w:tc>
        <w:tc>
          <w:tcPr>
            <w:tcW w:w="1960" w:type="dxa"/>
            <w:vAlign w:val="bottom"/>
            <w:tcBorders>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00" w:type="dxa"/>
            <w:vAlign w:val="bottom"/>
            <w:tcBorders>
              <w:left w:val="single" w:sz="8" w:color="00000A"/>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1420" w:type="dxa"/>
            <w:vAlign w:val="bottom"/>
            <w:tcBorders>
              <w:bottom w:val="single" w:sz="8" w:color="00000A"/>
              <w:right w:val="single" w:sz="8" w:color="00000A"/>
            </w:tcBorders>
          </w:tcPr>
          <w:p>
            <w:pPr>
              <w:spacing w:after="0"/>
              <w:rPr>
                <w:sz w:val="8"/>
                <w:szCs w:val="8"/>
                <w:color w:val="auto"/>
              </w:rPr>
            </w:pPr>
          </w:p>
        </w:tc>
        <w:tc>
          <w:tcPr>
            <w:tcW w:w="196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760" w:type="dxa"/>
            <w:vAlign w:val="bottom"/>
            <w:tcBorders>
              <w:left w:val="single" w:sz="8" w:color="00000A"/>
              <w:right w:val="single" w:sz="8" w:color="00000A"/>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777 C-Level 777C04</w:t>
            </w:r>
          </w:p>
        </w:tc>
        <w:tc>
          <w:tcPr>
            <w:tcW w:w="19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16,863</w:t>
            </w:r>
          </w:p>
        </w:tc>
        <w:tc>
          <w:tcPr>
            <w:tcW w:w="24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4.610%</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2.024%</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1.131%</w:t>
            </w:r>
          </w:p>
        </w:tc>
        <w:tc>
          <w:tcPr>
            <w:tcW w:w="0" w:type="dxa"/>
            <w:vAlign w:val="bottom"/>
          </w:tcPr>
          <w:p>
            <w:pPr>
              <w:spacing w:after="0"/>
              <w:rPr>
                <w:sz w:val="1"/>
                <w:szCs w:val="1"/>
                <w:color w:val="auto"/>
              </w:rPr>
            </w:pPr>
          </w:p>
        </w:tc>
      </w:tr>
      <w:tr>
        <w:trPr>
          <w:trHeight w:val="161"/>
        </w:trPr>
        <w:tc>
          <w:tcPr>
            <w:tcW w:w="500" w:type="dxa"/>
            <w:vAlign w:val="bottom"/>
            <w:tcBorders>
              <w:left w:val="single" w:sz="8" w:color="00000A"/>
            </w:tcBorders>
          </w:tcPr>
          <w:p>
            <w:pPr>
              <w:spacing w:after="0"/>
              <w:rPr>
                <w:sz w:val="13"/>
                <w:szCs w:val="13"/>
                <w:color w:val="auto"/>
              </w:rPr>
            </w:pPr>
          </w:p>
        </w:tc>
        <w:tc>
          <w:tcPr>
            <w:tcW w:w="2260" w:type="dxa"/>
            <w:vAlign w:val="bottom"/>
            <w:tcBorders>
              <w:right w:val="single" w:sz="8" w:color="00000A"/>
            </w:tcBorders>
            <w:gridSpan w:val="2"/>
            <w:vMerge w:val="restart"/>
          </w:tcPr>
          <w:p>
            <w:pPr>
              <w:jc w:val="center"/>
              <w:ind w:right="480"/>
              <w:spacing w:after="0"/>
              <w:rPr>
                <w:sz w:val="20"/>
                <w:szCs w:val="20"/>
                <w:color w:val="auto"/>
              </w:rPr>
            </w:pPr>
            <w:r>
              <w:rPr>
                <w:rFonts w:ascii="Times New Roman" w:cs="Times New Roman" w:eastAsia="Times New Roman" w:hAnsi="Times New Roman"/>
                <w:sz w:val="22"/>
                <w:szCs w:val="22"/>
                <w:color w:val="auto"/>
                <w:w w:val="98"/>
              </w:rPr>
              <w:t>Premises</w:t>
            </w:r>
          </w:p>
        </w:tc>
        <w:tc>
          <w:tcPr>
            <w:tcW w:w="1960" w:type="dxa"/>
            <w:vAlign w:val="bottom"/>
            <w:tcBorders>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00000A"/>
            </w:tcBorders>
          </w:tcPr>
          <w:p>
            <w:pPr>
              <w:spacing w:after="0"/>
              <w:rPr>
                <w:sz w:val="10"/>
                <w:szCs w:val="10"/>
                <w:color w:val="auto"/>
              </w:rPr>
            </w:pPr>
          </w:p>
        </w:tc>
        <w:tc>
          <w:tcPr>
            <w:tcW w:w="2260" w:type="dxa"/>
            <w:vAlign w:val="bottom"/>
            <w:tcBorders>
              <w:right w:val="single" w:sz="8" w:color="00000A"/>
            </w:tcBorders>
            <w:gridSpan w:val="2"/>
            <w:vMerge w:val="continue"/>
          </w:tcPr>
          <w:p>
            <w:pPr>
              <w:spacing w:after="0"/>
              <w:rPr>
                <w:sz w:val="10"/>
                <w:szCs w:val="10"/>
                <w:color w:val="auto"/>
              </w:rPr>
            </w:pPr>
          </w:p>
        </w:tc>
        <w:tc>
          <w:tcPr>
            <w:tcW w:w="1960" w:type="dxa"/>
            <w:vAlign w:val="bottom"/>
            <w:tcBorders>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00" w:type="dxa"/>
            <w:vAlign w:val="bottom"/>
            <w:tcBorders>
              <w:left w:val="single" w:sz="8" w:color="00000A"/>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1420" w:type="dxa"/>
            <w:vAlign w:val="bottom"/>
            <w:tcBorders>
              <w:bottom w:val="single" w:sz="8" w:color="00000A"/>
              <w:right w:val="single" w:sz="8" w:color="00000A"/>
            </w:tcBorders>
          </w:tcPr>
          <w:p>
            <w:pPr>
              <w:spacing w:after="0"/>
              <w:rPr>
                <w:sz w:val="8"/>
                <w:szCs w:val="8"/>
                <w:color w:val="auto"/>
              </w:rPr>
            </w:pPr>
          </w:p>
        </w:tc>
        <w:tc>
          <w:tcPr>
            <w:tcW w:w="196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760" w:type="dxa"/>
            <w:vAlign w:val="bottom"/>
            <w:tcBorders>
              <w:left w:val="single" w:sz="8" w:color="00000A"/>
              <w:right w:val="single" w:sz="8" w:color="00000A"/>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777-01 Northeast ROFO</w:t>
            </w:r>
          </w:p>
        </w:tc>
        <w:tc>
          <w:tcPr>
            <w:tcW w:w="19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3,033</w:t>
            </w:r>
          </w:p>
        </w:tc>
        <w:tc>
          <w:tcPr>
            <w:tcW w:w="24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0.829%</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0.364%</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0.203%</w:t>
            </w:r>
          </w:p>
        </w:tc>
        <w:tc>
          <w:tcPr>
            <w:tcW w:w="0" w:type="dxa"/>
            <w:vAlign w:val="bottom"/>
          </w:tcPr>
          <w:p>
            <w:pPr>
              <w:spacing w:after="0"/>
              <w:rPr>
                <w:sz w:val="1"/>
                <w:szCs w:val="1"/>
                <w:color w:val="auto"/>
              </w:rPr>
            </w:pPr>
          </w:p>
        </w:tc>
      </w:tr>
      <w:tr>
        <w:trPr>
          <w:trHeight w:val="161"/>
        </w:trPr>
        <w:tc>
          <w:tcPr>
            <w:tcW w:w="500" w:type="dxa"/>
            <w:vAlign w:val="bottom"/>
            <w:tcBorders>
              <w:left w:val="single" w:sz="8" w:color="00000A"/>
            </w:tcBorders>
          </w:tcPr>
          <w:p>
            <w:pPr>
              <w:spacing w:after="0"/>
              <w:rPr>
                <w:sz w:val="13"/>
                <w:szCs w:val="13"/>
                <w:color w:val="auto"/>
              </w:rPr>
            </w:pPr>
          </w:p>
        </w:tc>
        <w:tc>
          <w:tcPr>
            <w:tcW w:w="2260" w:type="dxa"/>
            <w:vAlign w:val="bottom"/>
            <w:tcBorders>
              <w:right w:val="single" w:sz="8" w:color="00000A"/>
            </w:tcBorders>
            <w:gridSpan w:val="2"/>
            <w:vMerge w:val="restart"/>
          </w:tcPr>
          <w:p>
            <w:pPr>
              <w:jc w:val="center"/>
              <w:ind w:right="480"/>
              <w:spacing w:after="0"/>
              <w:rPr>
                <w:sz w:val="20"/>
                <w:szCs w:val="20"/>
                <w:color w:val="auto"/>
              </w:rPr>
            </w:pPr>
            <w:r>
              <w:rPr>
                <w:rFonts w:ascii="Times New Roman" w:cs="Times New Roman" w:eastAsia="Times New Roman" w:hAnsi="Times New Roman"/>
                <w:sz w:val="22"/>
                <w:szCs w:val="22"/>
                <w:color w:val="auto"/>
                <w:w w:val="98"/>
              </w:rPr>
              <w:t>Premises</w:t>
            </w:r>
          </w:p>
        </w:tc>
        <w:tc>
          <w:tcPr>
            <w:tcW w:w="1960" w:type="dxa"/>
            <w:vAlign w:val="bottom"/>
            <w:tcBorders>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00000A"/>
            </w:tcBorders>
          </w:tcPr>
          <w:p>
            <w:pPr>
              <w:spacing w:after="0"/>
              <w:rPr>
                <w:sz w:val="10"/>
                <w:szCs w:val="10"/>
                <w:color w:val="auto"/>
              </w:rPr>
            </w:pPr>
          </w:p>
        </w:tc>
        <w:tc>
          <w:tcPr>
            <w:tcW w:w="2260" w:type="dxa"/>
            <w:vAlign w:val="bottom"/>
            <w:tcBorders>
              <w:right w:val="single" w:sz="8" w:color="00000A"/>
            </w:tcBorders>
            <w:gridSpan w:val="2"/>
            <w:vMerge w:val="continue"/>
          </w:tcPr>
          <w:p>
            <w:pPr>
              <w:spacing w:after="0"/>
              <w:rPr>
                <w:sz w:val="10"/>
                <w:szCs w:val="10"/>
                <w:color w:val="auto"/>
              </w:rPr>
            </w:pPr>
          </w:p>
        </w:tc>
        <w:tc>
          <w:tcPr>
            <w:tcW w:w="1960" w:type="dxa"/>
            <w:vAlign w:val="bottom"/>
            <w:tcBorders>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00" w:type="dxa"/>
            <w:vAlign w:val="bottom"/>
            <w:tcBorders>
              <w:left w:val="single" w:sz="8" w:color="00000A"/>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1420" w:type="dxa"/>
            <w:vAlign w:val="bottom"/>
            <w:tcBorders>
              <w:bottom w:val="single" w:sz="8" w:color="00000A"/>
              <w:right w:val="single" w:sz="8" w:color="00000A"/>
            </w:tcBorders>
          </w:tcPr>
          <w:p>
            <w:pPr>
              <w:spacing w:after="0"/>
              <w:rPr>
                <w:sz w:val="8"/>
                <w:szCs w:val="8"/>
                <w:color w:val="auto"/>
              </w:rPr>
            </w:pPr>
          </w:p>
        </w:tc>
        <w:tc>
          <w:tcPr>
            <w:tcW w:w="196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5" w:right="219" w:bottom="1440" w:gutter="0" w:footer="0" w:header="0"/>
        </w:sectPr>
      </w:pPr>
    </w:p>
    <w:bookmarkStart w:id="240" w:name="page241"/>
    <w:bookmarkEnd w:id="240"/>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VAV WORK, FINTUBE WORK, ABATEMENT WORK</w:t>
      </w:r>
    </w:p>
    <w:p>
      <w:pPr>
        <w:spacing w:after="0" w:line="224" w:lineRule="exact"/>
        <w:rPr>
          <w:sz w:val="20"/>
          <w:szCs w:val="20"/>
          <w:color w:val="auto"/>
        </w:rPr>
      </w:pPr>
    </w:p>
    <w:p>
      <w:pPr>
        <w:ind w:left="328" w:hanging="328"/>
        <w:spacing w:after="0"/>
        <w:tabs>
          <w:tab w:leader="none" w:pos="32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VAV Work</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648" w:right="20" w:hanging="324"/>
        <w:spacing w:after="0" w:line="243"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Incorporation of a VAV HVAC system into the 777-01 North ROFO Premises, the 777-02 North ROFO Premises and the 777-01 Northeast ROFO Premises.</w:t>
      </w:r>
    </w:p>
    <w:p>
      <w:pPr>
        <w:ind w:left="648" w:right="20" w:hanging="324"/>
        <w:spacing w:after="0" w:line="243"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installation of new ductwork from the existing main duct to any new VAV box and from any such VAV box to the applicable diffusers.</w:t>
      </w:r>
    </w:p>
    <w:p>
      <w:pPr>
        <w:jc w:val="both"/>
        <w:ind w:left="648" w:hanging="324"/>
        <w:spacing w:after="0" w:line="243"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installation of VAV boxes at a quantity of one (1) for every one thousand two hundred (1,200) usable square feet of the 777-01 North ROFO Premises, the 777-02 North ROFO Premises and the 777-01 Northeast ROFO Premises, as applicable.</w:t>
      </w:r>
    </w:p>
    <w:p>
      <w:pPr>
        <w:spacing w:after="0" w:line="1" w:lineRule="exact"/>
        <w:rPr>
          <w:rFonts w:ascii="Times New Roman" w:cs="Times New Roman" w:eastAsia="Times New Roman" w:hAnsi="Times New Roman"/>
          <w:sz w:val="22"/>
          <w:szCs w:val="22"/>
          <w:color w:val="auto"/>
        </w:rPr>
      </w:pPr>
    </w:p>
    <w:p>
      <w:pPr>
        <w:jc w:val="both"/>
        <w:ind w:left="648" w:hanging="324"/>
        <w:spacing w:after="0" w:line="246"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installation of two (2) VAV boxes for each conference room, one (1) VAV box for each IDF (the closet for the fiber/phone/data terminations) and one (1) VAV box for each pantry, in each case within the 777-01 North ROFO Premises, the 777-02 North ROFO Premises and the 777-01 Northeast ROFO Premises.</w:t>
      </w:r>
    </w:p>
    <w:p>
      <w:pPr>
        <w:spacing w:after="0" w:line="22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Fintube Work</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648" w:hanging="324"/>
        <w:spacing w:after="0" w:line="243"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Installation of the perimeter hot water fin tube loop including elements and control valves to be controlled by Tenant in the 777-01 North ROFO Premises, the 777-02 North ROFO Premises and the 777-01 Northeast ROFO Premises.</w:t>
      </w:r>
    </w:p>
    <w:p>
      <w:pPr>
        <w:ind w:left="648" w:hanging="324"/>
        <w:spacing w:after="0"/>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Installation of the building management system with respect to such fin tube loop.</w:t>
      </w:r>
    </w:p>
    <w:p>
      <w:pPr>
        <w:spacing w:after="0" w:line="23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Abatement Work</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jc w:val="both"/>
        <w:ind w:left="648" w:hanging="324"/>
        <w:spacing w:after="0" w:line="243"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of a survey of the 777-01 North ROFO Premises, the 777-02 North ROFO Premises and the 777-01 Northeast ROFO Premises to locate any asbestos, vermiculite and other asbestos containing materials located in the 777-01 North ROFO Premises, the 777-02 North ROFO Premises and the 777-01 Northeast ROFO Premises.</w:t>
      </w:r>
    </w:p>
    <w:p>
      <w:pPr>
        <w:spacing w:after="0" w:line="1" w:lineRule="exact"/>
        <w:rPr>
          <w:rFonts w:ascii="Times New Roman" w:cs="Times New Roman" w:eastAsia="Times New Roman" w:hAnsi="Times New Roman"/>
          <w:sz w:val="22"/>
          <w:szCs w:val="22"/>
          <w:color w:val="auto"/>
        </w:rPr>
      </w:pPr>
    </w:p>
    <w:p>
      <w:pPr>
        <w:ind w:left="648" w:hanging="324"/>
        <w:spacing w:after="0" w:line="248" w:lineRule="auto"/>
        <w:tabs>
          <w:tab w:leader="none" w:pos="6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remediation or abatement of any asbestos, vermiculite and other asbestos containing materials located in the 777-01 North ROFO Premises, the 777-02 North ROFO Premises and the 777-01 Northeast ROFO Premises.</w:t>
      </w:r>
    </w:p>
    <w:p>
      <w:pPr>
        <w:sectPr>
          <w:pgSz w:w="11900" w:h="16838" w:orient="portrait"/>
          <w:cols w:equalWidth="0" w:num="1">
            <w:col w:w="11088"/>
          </w:cols>
          <w:pgMar w:left="572" w:top="365" w:right="239" w:bottom="1440" w:gutter="0" w:footer="0" w:header="0"/>
        </w:sectPr>
      </w:pPr>
    </w:p>
    <w:bookmarkStart w:id="241" w:name="page242"/>
    <w:bookmarkEnd w:id="241"/>
    <w:p>
      <w:pPr>
        <w:ind w:left="5060"/>
        <w:spacing w:after="0"/>
        <w:rPr>
          <w:sz w:val="20"/>
          <w:szCs w:val="20"/>
          <w:color w:val="auto"/>
        </w:rPr>
      </w:pPr>
      <w:r>
        <w:rPr>
          <w:rFonts w:ascii="Times New Roman" w:cs="Times New Roman" w:eastAsia="Times New Roman" w:hAnsi="Times New Roman"/>
          <w:sz w:val="22"/>
          <w:szCs w:val="22"/>
          <w:b w:val="1"/>
          <w:bCs w:val="1"/>
          <w:color w:val="auto"/>
        </w:rPr>
        <w:t>EXHIBIT K-1</w:t>
      </w:r>
    </w:p>
    <w:p>
      <w:pPr>
        <w:spacing w:after="0" w:line="2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u w:val="single" w:color="auto"/>
          <w:color w:val="auto"/>
        </w:rPr>
        <w:t>777-01 NORTH ROFO LANDLORD WORK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expressly specified, the work described below applies only to the 777-01 North ROFO Premises.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Initial Landlord Work</w:t>
      </w:r>
    </w:p>
    <w:p>
      <w:pPr>
        <w:spacing w:after="0" w:line="274" w:lineRule="exact"/>
        <w:rPr>
          <w:sz w:val="20"/>
          <w:szCs w:val="20"/>
          <w:color w:val="auto"/>
        </w:rPr>
      </w:pPr>
    </w:p>
    <w:p>
      <w:pPr>
        <w:ind w:left="660" w:hanging="328"/>
        <w:spacing w:after="0"/>
        <w:tabs>
          <w:tab w:leader="none" w:pos="6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identify a location from which Tenant may extend electric service to the 777-01 North ROFO Premises.</w:t>
      </w:r>
    </w:p>
    <w:p>
      <w:pPr>
        <w:spacing w:after="0" w:line="219" w:lineRule="exact"/>
        <w:rPr>
          <w:rFonts w:ascii="Times New Roman" w:cs="Times New Roman" w:eastAsia="Times New Roman" w:hAnsi="Times New Roman"/>
          <w:sz w:val="22"/>
          <w:szCs w:val="22"/>
          <w:color w:val="auto"/>
        </w:rPr>
      </w:pPr>
    </w:p>
    <w:p>
      <w:pPr>
        <w:ind w:left="660" w:hanging="328"/>
        <w:spacing w:after="0" w:line="315" w:lineRule="auto"/>
        <w:tabs>
          <w:tab w:leader="none" w:pos="66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electric service to the 777-01 North ROFO Premises shall be metered by the base building metering system. Electric meters, supplied by Landlord or Landlord’s agent at Tenant’s expense, will be used to separate the power usage dedicated to the 777-01 North ROFO Premises only and will be installed by Landlord or Landlord’s agent at Tenant’s expense.</w:t>
      </w:r>
    </w:p>
    <w:p>
      <w:pPr>
        <w:spacing w:after="0" w:line="116" w:lineRule="exact"/>
        <w:rPr>
          <w:rFonts w:ascii="Times New Roman" w:cs="Times New Roman" w:eastAsia="Times New Roman" w:hAnsi="Times New Roman"/>
          <w:sz w:val="21"/>
          <w:szCs w:val="21"/>
          <w:color w:val="auto"/>
        </w:rPr>
      </w:pPr>
    </w:p>
    <w:p>
      <w:pPr>
        <w:ind w:left="660" w:right="380" w:hanging="328"/>
        <w:spacing w:after="0" w:line="336" w:lineRule="auto"/>
        <w:tabs>
          <w:tab w:leader="none" w:pos="66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will confirm the heating, cooling and that airflow capacity of each AHU unit serving the 777-01 North ROFO Premises is capable of 1.5 CFM/SF via a baseline balancing report and forward the information to Tenant for its use.</w:t>
      </w:r>
    </w:p>
    <w:p>
      <w:pPr>
        <w:spacing w:after="0" w:line="93" w:lineRule="exact"/>
        <w:rPr>
          <w:rFonts w:ascii="Times New Roman" w:cs="Times New Roman" w:eastAsia="Times New Roman" w:hAnsi="Times New Roman"/>
          <w:sz w:val="21"/>
          <w:szCs w:val="21"/>
          <w:color w:val="auto"/>
        </w:rPr>
      </w:pPr>
    </w:p>
    <w:p>
      <w:pPr>
        <w:ind w:left="660" w:right="360" w:hanging="328"/>
        <w:spacing w:after="0" w:line="291" w:lineRule="auto"/>
        <w:tabs>
          <w:tab w:leader="none" w:pos="6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three-inch chilled water risers with isolation valves and capped outlets for Tenant’s point of connection for the 777-01 North ROFO Premises. If supplemental air conditioning systems are required, they shall be provided by Tenant at its sole cost. Landlord shall provide a system that allows for year-round cooling capability for the 777-01 North ROFO Premises.</w:t>
      </w:r>
    </w:p>
    <w:p>
      <w:pPr>
        <w:spacing w:after="0" w:line="137" w:lineRule="exact"/>
        <w:rPr>
          <w:rFonts w:ascii="Times New Roman" w:cs="Times New Roman" w:eastAsia="Times New Roman" w:hAnsi="Times New Roman"/>
          <w:sz w:val="22"/>
          <w:szCs w:val="22"/>
          <w:color w:val="auto"/>
        </w:rPr>
      </w:pPr>
    </w:p>
    <w:p>
      <w:pPr>
        <w:ind w:left="660" w:right="40" w:hanging="328"/>
        <w:spacing w:after="0" w:line="295" w:lineRule="auto"/>
        <w:tabs>
          <w:tab w:leader="none" w:pos="6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a two-and-one half-inch hot water riser to extend down from the heat exchanger in the penthouse to heat the 777-01 North ROFO Premises with isolation valves and capped outlets to Tenant’s point of connection for the 777-01 North ROFO Premises.</w:t>
      </w:r>
    </w:p>
    <w:p>
      <w:pPr>
        <w:spacing w:after="0" w:line="134" w:lineRule="exact"/>
        <w:rPr>
          <w:rFonts w:ascii="Times New Roman" w:cs="Times New Roman" w:eastAsia="Times New Roman" w:hAnsi="Times New Roman"/>
          <w:sz w:val="22"/>
          <w:szCs w:val="22"/>
          <w:color w:val="auto"/>
        </w:rPr>
      </w:pPr>
    </w:p>
    <w:p>
      <w:pPr>
        <w:ind w:left="660" w:right="20" w:hanging="328"/>
        <w:spacing w:after="0" w:line="291" w:lineRule="auto"/>
        <w:tabs>
          <w:tab w:leader="none" w:pos="6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Sprinkler Main: if required based upon the capacity of the existing standpipe, Landlord shall design, permit and construct a fire sprinkler service main, including all controls and valves from the street or building riser to the 777-01 North ROFO Premises. The main line shall be capped inside the 777-01 North ROFO Premises and be sized to accommodate ordinary fire hazard coverage as required by the Town of Mount Pleasant for office occupancy.</w:t>
      </w:r>
    </w:p>
    <w:p>
      <w:pPr>
        <w:sectPr>
          <w:pgSz w:w="11900" w:h="16838" w:orient="portrait"/>
          <w:cols w:equalWidth="0" w:num="1">
            <w:col w:w="11380"/>
          </w:cols>
          <w:pgMar w:left="240" w:top="365" w:right="2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u w:val="single" w:color="auto"/>
          <w:color w:val="auto"/>
        </w:rPr>
        <w:t>Subsequent Landlord Work</w:t>
      </w:r>
    </w:p>
    <w:p>
      <w:pPr>
        <w:spacing w:after="0" w:line="274" w:lineRule="exact"/>
        <w:rPr>
          <w:sz w:val="20"/>
          <w:szCs w:val="20"/>
          <w:color w:val="auto"/>
        </w:rPr>
      </w:pPr>
    </w:p>
    <w:p>
      <w:pPr>
        <w:ind w:left="660" w:right="160" w:hanging="328"/>
        <w:spacing w:after="0" w:line="291"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all existing supply fans serving the 777-01 North ROFO Premises have variable frequency drives (“</w:t>
      </w:r>
      <w:r>
        <w:rPr>
          <w:rFonts w:ascii="Times New Roman" w:cs="Times New Roman" w:eastAsia="Times New Roman" w:hAnsi="Times New Roman"/>
          <w:sz w:val="22"/>
          <w:szCs w:val="22"/>
          <w:u w:val="single" w:color="auto"/>
          <w:color w:val="auto"/>
        </w:rPr>
        <w:t>VFDs</w:t>
      </w:r>
      <w:r>
        <w:rPr>
          <w:rFonts w:ascii="Times New Roman" w:cs="Times New Roman" w:eastAsia="Times New Roman" w:hAnsi="Times New Roman"/>
          <w:sz w:val="22"/>
          <w:szCs w:val="22"/>
          <w:color w:val="auto"/>
        </w:rPr>
        <w:t>”) to modulate supply fan speed (provided that, Tenant, at its sole cost, shall be responsible for the final balancing of the supply fan VFDs such that they align with Tenant’s variable air volume (“</w:t>
      </w:r>
      <w:r>
        <w:rPr>
          <w:rFonts w:ascii="Times New Roman" w:cs="Times New Roman" w:eastAsia="Times New Roman" w:hAnsi="Times New Roman"/>
          <w:sz w:val="22"/>
          <w:szCs w:val="22"/>
          <w:u w:val="single" w:color="auto"/>
          <w:color w:val="auto"/>
        </w:rPr>
        <w:t>VAV</w:t>
      </w:r>
      <w:r>
        <w:rPr>
          <w:rFonts w:ascii="Times New Roman" w:cs="Times New Roman" w:eastAsia="Times New Roman" w:hAnsi="Times New Roman"/>
          <w:sz w:val="22"/>
          <w:szCs w:val="22"/>
          <w:color w:val="auto"/>
        </w:rPr>
        <w:t>”) system serving the 777-01 North ROFO Premises).</w:t>
      </w:r>
    </w:p>
    <w:p>
      <w:pPr>
        <w:spacing w:after="0" w:line="137" w:lineRule="exact"/>
        <w:rPr>
          <w:rFonts w:ascii="Times New Roman" w:cs="Times New Roman" w:eastAsia="Times New Roman" w:hAnsi="Times New Roman"/>
          <w:sz w:val="22"/>
          <w:szCs w:val="22"/>
          <w:color w:val="auto"/>
        </w:rPr>
      </w:pPr>
    </w:p>
    <w:p>
      <w:pPr>
        <w:ind w:left="660" w:right="240" w:hanging="328"/>
        <w:spacing w:after="0" w:line="295"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VFDs shall be provided for each return fan and controlled to interlock with the matched supply fan serving the 777-01 North ROFO Premises (provided that, Tenant, at its sole cost, shall be responsible for the final balancing of the return fan VFDs such that they align with Tenant’s VAV system serving the 777-01 North ROFO Premises).</w:t>
      </w:r>
    </w:p>
    <w:p>
      <w:pPr>
        <w:spacing w:after="0" w:line="134" w:lineRule="exact"/>
        <w:rPr>
          <w:rFonts w:ascii="Times New Roman" w:cs="Times New Roman" w:eastAsia="Times New Roman" w:hAnsi="Times New Roman"/>
          <w:sz w:val="22"/>
          <w:szCs w:val="22"/>
          <w:color w:val="auto"/>
        </w:rPr>
      </w:pPr>
    </w:p>
    <w:p>
      <w:pPr>
        <w:ind w:left="660" w:right="40" w:hanging="328"/>
        <w:spacing w:after="0" w:line="291"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HVAC system serving the 777-01 North ROFO Premises shall be capable of providing HVAC capacity of a minimum of 1.5 cubic feet per minute (“</w:t>
      </w:r>
      <w:r>
        <w:rPr>
          <w:rFonts w:ascii="Times New Roman" w:cs="Times New Roman" w:eastAsia="Times New Roman" w:hAnsi="Times New Roman"/>
          <w:sz w:val="22"/>
          <w:szCs w:val="22"/>
          <w:u w:val="single" w:color="auto"/>
          <w:color w:val="auto"/>
        </w:rPr>
        <w:t>CFM</w:t>
      </w:r>
      <w:r>
        <w:rPr>
          <w:rFonts w:ascii="Times New Roman" w:cs="Times New Roman" w:eastAsia="Times New Roman" w:hAnsi="Times New Roman"/>
          <w:sz w:val="22"/>
          <w:szCs w:val="22"/>
          <w:color w:val="auto"/>
        </w:rPr>
        <w:t>”) per rentable square feet with adequate static pressure from existing air handlers serving the 777-01 North ROFO Premises that are either new or recently replaced. Replacement includes new coils, control valves and coil trim, drain pans and condensate piping and filter racks.</w:t>
      </w:r>
    </w:p>
    <w:p>
      <w:pPr>
        <w:spacing w:after="0" w:line="137" w:lineRule="exact"/>
        <w:rPr>
          <w:rFonts w:ascii="Times New Roman" w:cs="Times New Roman" w:eastAsia="Times New Roman" w:hAnsi="Times New Roman"/>
          <w:sz w:val="22"/>
          <w:szCs w:val="22"/>
          <w:color w:val="auto"/>
        </w:rPr>
      </w:pPr>
    </w:p>
    <w:p>
      <w:pPr>
        <w:ind w:left="660"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Tenant (not Landlord) shall provide control points on AHUs and VAVs serving the 777-01 North ROFO Premises that are JCI compatible and connected to the tenant BMS system and Tenant shall ensure that Landlord has control capabilities into the tenant BMS system.</w:t>
      </w:r>
    </w:p>
    <w:p>
      <w:pPr>
        <w:spacing w:after="0" w:line="134" w:lineRule="exact"/>
        <w:rPr>
          <w:rFonts w:ascii="Times New Roman" w:cs="Times New Roman" w:eastAsia="Times New Roman" w:hAnsi="Times New Roman"/>
          <w:sz w:val="22"/>
          <w:szCs w:val="22"/>
          <w:color w:val="auto"/>
        </w:rPr>
      </w:pPr>
    </w:p>
    <w:p>
      <w:pPr>
        <w:ind w:left="660" w:right="140" w:hanging="328"/>
        <w:spacing w:after="0" w:line="309"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remove any existing duct mounted humidifiers and reheat coils located in the penthouse serving the 777-01 North ROFO Premises.</w:t>
      </w:r>
    </w:p>
    <w:p>
      <w:pPr>
        <w:spacing w:after="0" w:line="118" w:lineRule="exact"/>
        <w:rPr>
          <w:rFonts w:ascii="Times New Roman" w:cs="Times New Roman" w:eastAsia="Times New Roman" w:hAnsi="Times New Roman"/>
          <w:sz w:val="22"/>
          <w:szCs w:val="22"/>
          <w:color w:val="auto"/>
        </w:rPr>
      </w:pPr>
    </w:p>
    <w:p>
      <w:pPr>
        <w:ind w:left="660" w:hanging="328"/>
        <w:spacing w:after="0" w:line="291"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overhead duct connections including fire smoke detectors in ductwork at the demising wall for the 777-01 North ROFO Premises. Landlord will provide main supply/return within the existing MEP shafts, if possible, for the 777-01 North ROFO Premises. Landlord will add a smoke fire damper for the 777-01 North ROFO Premises to be activated with the Building fire system.</w:t>
      </w:r>
    </w:p>
    <w:p>
      <w:pPr>
        <w:spacing w:after="0" w:line="137" w:lineRule="exact"/>
        <w:rPr>
          <w:rFonts w:ascii="Times New Roman" w:cs="Times New Roman" w:eastAsia="Times New Roman" w:hAnsi="Times New Roman"/>
          <w:sz w:val="22"/>
          <w:szCs w:val="22"/>
          <w:color w:val="auto"/>
        </w:rPr>
      </w:pPr>
    </w:p>
    <w:p>
      <w:pPr>
        <w:ind w:left="660" w:right="340" w:hanging="328"/>
        <w:spacing w:after="0" w:line="309"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Ductwork serving the perimeter up-blast grilles from the catwalk level will be abandoned, the plenums removed and the floor penetrations filled with fire-rated construction meeting all applicable code requirements.</w:t>
      </w:r>
    </w:p>
    <w:p>
      <w:pPr>
        <w:spacing w:after="0" w:line="118" w:lineRule="exact"/>
        <w:rPr>
          <w:rFonts w:ascii="Times New Roman" w:cs="Times New Roman" w:eastAsia="Times New Roman" w:hAnsi="Times New Roman"/>
          <w:sz w:val="22"/>
          <w:szCs w:val="22"/>
          <w:color w:val="auto"/>
        </w:rPr>
      </w:pPr>
    </w:p>
    <w:p>
      <w:pPr>
        <w:jc w:val="both"/>
        <w:ind w:left="660" w:right="200" w:hanging="328"/>
        <w:spacing w:after="0" w:line="295" w:lineRule="auto"/>
        <w:tabs>
          <w:tab w:leader="none" w:pos="6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Fill the floor air distribution holes with an acceptable floor fill materials and detail, and modify the existing conditions to adequately close and fire-rate all perimeter slab penetrations including maintaining the asbestos management program for asbestos containing material located on the floor below.</w:t>
      </w:r>
    </w:p>
    <w:p>
      <w:pPr>
        <w:sectPr>
          <w:pgSz w:w="11900" w:h="16838" w:orient="portrait"/>
          <w:cols w:equalWidth="0" w:num="1">
            <w:col w:w="11380"/>
          </w:cols>
          <w:pgMar w:left="240" w:top="369" w:right="2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1"/>
          <w:szCs w:val="21"/>
          <w:color w:val="auto"/>
        </w:rPr>
        <w:t>8.  Abandon existing below-floor air distribution and infill existing slab penetrations with fire rating assembly.</w:t>
      </w:r>
    </w:p>
    <w:p>
      <w:pPr>
        <w:sectPr>
          <w:pgSz w:w="11900" w:h="16838" w:orient="portrait"/>
          <w:cols w:equalWidth="0" w:num="1">
            <w:col w:w="9879"/>
          </w:cols>
          <w:pgMar w:left="580" w:top="382" w:right="1440" w:bottom="1440" w:gutter="0" w:footer="0" w:header="0"/>
        </w:sectPr>
      </w:pPr>
    </w:p>
    <w:bookmarkStart w:id="244" w:name="page245"/>
    <w:bookmarkEnd w:id="244"/>
    <w:p>
      <w:pPr>
        <w:ind w:left="5060"/>
        <w:spacing w:after="0"/>
        <w:rPr>
          <w:sz w:val="20"/>
          <w:szCs w:val="20"/>
          <w:color w:val="auto"/>
        </w:rPr>
      </w:pPr>
      <w:r>
        <w:rPr>
          <w:rFonts w:ascii="Times New Roman" w:cs="Times New Roman" w:eastAsia="Times New Roman" w:hAnsi="Times New Roman"/>
          <w:sz w:val="22"/>
          <w:szCs w:val="22"/>
          <w:b w:val="1"/>
          <w:bCs w:val="1"/>
          <w:color w:val="auto"/>
        </w:rPr>
        <w:t>EXHIBIT K-2</w:t>
      </w:r>
    </w:p>
    <w:p>
      <w:pPr>
        <w:spacing w:after="0" w:line="2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u w:val="single" w:color="auto"/>
          <w:color w:val="auto"/>
        </w:rPr>
        <w:t>777-02 NORTH ROFO LANDLORD WORK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expressly specified, the work described below applies only to the 777-02 North ROFO Premises.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Initial Landlord Work</w:t>
      </w:r>
    </w:p>
    <w:p>
      <w:pPr>
        <w:spacing w:after="0" w:line="274" w:lineRule="exact"/>
        <w:rPr>
          <w:sz w:val="20"/>
          <w:szCs w:val="20"/>
          <w:color w:val="auto"/>
        </w:rPr>
      </w:pPr>
    </w:p>
    <w:p>
      <w:pPr>
        <w:ind w:left="660" w:hanging="328"/>
        <w:spacing w:after="0"/>
        <w:tabs>
          <w:tab w:leader="none" w:pos="66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identify a location from which Tenant may extend electric service to the 777-02 North ROFO Premises.</w:t>
      </w:r>
    </w:p>
    <w:p>
      <w:pPr>
        <w:spacing w:after="0" w:line="219" w:lineRule="exact"/>
        <w:rPr>
          <w:rFonts w:ascii="Times New Roman" w:cs="Times New Roman" w:eastAsia="Times New Roman" w:hAnsi="Times New Roman"/>
          <w:sz w:val="22"/>
          <w:szCs w:val="22"/>
          <w:color w:val="auto"/>
        </w:rPr>
      </w:pPr>
    </w:p>
    <w:p>
      <w:pPr>
        <w:ind w:left="660" w:hanging="328"/>
        <w:spacing w:after="0" w:line="315" w:lineRule="auto"/>
        <w:tabs>
          <w:tab w:leader="none" w:pos="66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electric service to the 777-02 North ROFO Premises shall be metered by the base building metering system. Electric meters, supplied by Landlord or Landlord’s agent at Tenant’s expense, will be used to separate the power usage dedicated to the 777-02 North ROFO Premises only and will be installed by Landlord or Landlord’s agent at Tenant’s expense.</w:t>
      </w:r>
    </w:p>
    <w:p>
      <w:pPr>
        <w:spacing w:after="0" w:line="116" w:lineRule="exact"/>
        <w:rPr>
          <w:rFonts w:ascii="Times New Roman" w:cs="Times New Roman" w:eastAsia="Times New Roman" w:hAnsi="Times New Roman"/>
          <w:sz w:val="21"/>
          <w:szCs w:val="21"/>
          <w:color w:val="auto"/>
        </w:rPr>
      </w:pPr>
    </w:p>
    <w:p>
      <w:pPr>
        <w:ind w:left="660" w:right="380" w:hanging="328"/>
        <w:spacing w:after="0" w:line="336" w:lineRule="auto"/>
        <w:tabs>
          <w:tab w:leader="none" w:pos="66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will confirm the heating, cooling and that airflow capacity of each AHU unit serving the 777-02 North ROFO Premises is capable of 1.5 CFM/SF via a baseline balancing report and forward the information to Tenant for its use.</w:t>
      </w:r>
    </w:p>
    <w:p>
      <w:pPr>
        <w:spacing w:after="0" w:line="93" w:lineRule="exact"/>
        <w:rPr>
          <w:rFonts w:ascii="Times New Roman" w:cs="Times New Roman" w:eastAsia="Times New Roman" w:hAnsi="Times New Roman"/>
          <w:sz w:val="21"/>
          <w:szCs w:val="21"/>
          <w:color w:val="auto"/>
        </w:rPr>
      </w:pPr>
    </w:p>
    <w:p>
      <w:pPr>
        <w:ind w:left="660" w:right="360" w:hanging="328"/>
        <w:spacing w:after="0" w:line="291" w:lineRule="auto"/>
        <w:tabs>
          <w:tab w:leader="none" w:pos="66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three-inch chilled water risers with isolation valves and capped outlets for Tenant’s point of connection for the 777-02 North ROFO Premises. If supplemental air conditioning systems are required, they shall be provided by Tenant at its sole cost. Landlord shall provide a system that allows for year-round cooling capability for the 777-02 North ROFO Premises.</w:t>
      </w:r>
    </w:p>
    <w:p>
      <w:pPr>
        <w:spacing w:after="0" w:line="137" w:lineRule="exact"/>
        <w:rPr>
          <w:rFonts w:ascii="Times New Roman" w:cs="Times New Roman" w:eastAsia="Times New Roman" w:hAnsi="Times New Roman"/>
          <w:sz w:val="22"/>
          <w:szCs w:val="22"/>
          <w:color w:val="auto"/>
        </w:rPr>
      </w:pPr>
    </w:p>
    <w:p>
      <w:pPr>
        <w:ind w:left="660" w:right="40" w:hanging="328"/>
        <w:spacing w:after="0" w:line="295" w:lineRule="auto"/>
        <w:tabs>
          <w:tab w:leader="none" w:pos="66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a two-and-one half-inch hot water riser to extend down from the heat exchanger in the penthouse to heat the 777-02 North ROFO Premises with isolation valves and capped outlets to Tenant’s point of connection for the 777-02 North ROFO Premises.</w:t>
      </w:r>
    </w:p>
    <w:p>
      <w:pPr>
        <w:spacing w:after="0" w:line="134" w:lineRule="exact"/>
        <w:rPr>
          <w:rFonts w:ascii="Times New Roman" w:cs="Times New Roman" w:eastAsia="Times New Roman" w:hAnsi="Times New Roman"/>
          <w:sz w:val="22"/>
          <w:szCs w:val="22"/>
          <w:color w:val="auto"/>
        </w:rPr>
      </w:pPr>
    </w:p>
    <w:p>
      <w:pPr>
        <w:ind w:left="660" w:right="20" w:hanging="328"/>
        <w:spacing w:after="0" w:line="291" w:lineRule="auto"/>
        <w:tabs>
          <w:tab w:leader="none" w:pos="66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Sprinkler Main: if required based upon the capacity of the existing standpipe, Landlord shall design, permit and construct a fire sprinkler service main, including all controls and valves from the street or building riser to the 777-02 North ROFO Premises. The main line shall be capped inside the 777-02 North ROFO Premises and be sized to accommodate ordinary fire hazard coverage as required by the Town of Mount Pleasant for office occupancy.</w:t>
      </w:r>
    </w:p>
    <w:p>
      <w:pPr>
        <w:sectPr>
          <w:pgSz w:w="11900" w:h="16838" w:orient="portrait"/>
          <w:cols w:equalWidth="0" w:num="1">
            <w:col w:w="11380"/>
          </w:cols>
          <w:pgMar w:left="240" w:top="365" w:right="2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u w:val="single" w:color="auto"/>
          <w:color w:val="auto"/>
        </w:rPr>
        <w:t>Subsequent Landlord Work</w:t>
      </w:r>
    </w:p>
    <w:p>
      <w:pPr>
        <w:spacing w:after="0" w:line="274" w:lineRule="exact"/>
        <w:rPr>
          <w:sz w:val="20"/>
          <w:szCs w:val="20"/>
          <w:color w:val="auto"/>
        </w:rPr>
      </w:pPr>
    </w:p>
    <w:p>
      <w:pPr>
        <w:ind w:left="660" w:right="160" w:hanging="328"/>
        <w:spacing w:after="0" w:line="291"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all existing supply fans serving the 777-02 North ROFO Premises have variable frequency drives (“</w:t>
      </w:r>
      <w:r>
        <w:rPr>
          <w:rFonts w:ascii="Times New Roman" w:cs="Times New Roman" w:eastAsia="Times New Roman" w:hAnsi="Times New Roman"/>
          <w:sz w:val="22"/>
          <w:szCs w:val="22"/>
          <w:u w:val="single" w:color="auto"/>
          <w:color w:val="auto"/>
        </w:rPr>
        <w:t>VFDs</w:t>
      </w:r>
      <w:r>
        <w:rPr>
          <w:rFonts w:ascii="Times New Roman" w:cs="Times New Roman" w:eastAsia="Times New Roman" w:hAnsi="Times New Roman"/>
          <w:sz w:val="22"/>
          <w:szCs w:val="22"/>
          <w:color w:val="auto"/>
        </w:rPr>
        <w:t>”) to modulate supply fan speed (provided that, Tenant, at its sole cost, shall be responsible for the final balancing of the supply fan VFDs such that they align with Tenant’s variable air volume (“</w:t>
      </w:r>
      <w:r>
        <w:rPr>
          <w:rFonts w:ascii="Times New Roman" w:cs="Times New Roman" w:eastAsia="Times New Roman" w:hAnsi="Times New Roman"/>
          <w:sz w:val="22"/>
          <w:szCs w:val="22"/>
          <w:u w:val="single" w:color="auto"/>
          <w:color w:val="auto"/>
        </w:rPr>
        <w:t>VAV</w:t>
      </w:r>
      <w:r>
        <w:rPr>
          <w:rFonts w:ascii="Times New Roman" w:cs="Times New Roman" w:eastAsia="Times New Roman" w:hAnsi="Times New Roman"/>
          <w:sz w:val="22"/>
          <w:szCs w:val="22"/>
          <w:color w:val="auto"/>
        </w:rPr>
        <w:t>”) system serving the 777-02 North ROFO Premises).</w:t>
      </w:r>
    </w:p>
    <w:p>
      <w:pPr>
        <w:spacing w:after="0" w:line="137" w:lineRule="exact"/>
        <w:rPr>
          <w:rFonts w:ascii="Times New Roman" w:cs="Times New Roman" w:eastAsia="Times New Roman" w:hAnsi="Times New Roman"/>
          <w:sz w:val="22"/>
          <w:szCs w:val="22"/>
          <w:color w:val="auto"/>
        </w:rPr>
      </w:pPr>
    </w:p>
    <w:p>
      <w:pPr>
        <w:ind w:left="660" w:right="240" w:hanging="328"/>
        <w:spacing w:after="0" w:line="295"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VFDs shall be provided for each return fan and controlled to interlock with the matched supply fan serving the 777-02 North ROFO Premises (provided that, Tenant, at its sole cost, shall be responsible for the final balancing of the return fan VFDs such that they align with Tenant’s VAV system serving the 777-02 North ROFO Premises).</w:t>
      </w:r>
    </w:p>
    <w:p>
      <w:pPr>
        <w:spacing w:after="0" w:line="134" w:lineRule="exact"/>
        <w:rPr>
          <w:rFonts w:ascii="Times New Roman" w:cs="Times New Roman" w:eastAsia="Times New Roman" w:hAnsi="Times New Roman"/>
          <w:sz w:val="22"/>
          <w:szCs w:val="22"/>
          <w:color w:val="auto"/>
        </w:rPr>
      </w:pPr>
    </w:p>
    <w:p>
      <w:pPr>
        <w:ind w:left="660" w:right="40" w:hanging="328"/>
        <w:spacing w:after="0" w:line="291"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HVAC system serving the 777-02 North ROFO Premises shall be capable of providing HVAC capacity of a minimum of 1.5 cubic feet per minute (“</w:t>
      </w:r>
      <w:r>
        <w:rPr>
          <w:rFonts w:ascii="Times New Roman" w:cs="Times New Roman" w:eastAsia="Times New Roman" w:hAnsi="Times New Roman"/>
          <w:sz w:val="22"/>
          <w:szCs w:val="22"/>
          <w:u w:val="single" w:color="auto"/>
          <w:color w:val="auto"/>
        </w:rPr>
        <w:t>CFM</w:t>
      </w:r>
      <w:r>
        <w:rPr>
          <w:rFonts w:ascii="Times New Roman" w:cs="Times New Roman" w:eastAsia="Times New Roman" w:hAnsi="Times New Roman"/>
          <w:sz w:val="22"/>
          <w:szCs w:val="22"/>
          <w:color w:val="auto"/>
        </w:rPr>
        <w:t>”) per rentable square feet with adequate static pressure from existing air handlers serving the 777-02 North ROFO Premises that are either new or recently replaced. Replacement includes new coils, control valves and coil trim, drain pans and condensate piping and filter racks.</w:t>
      </w:r>
    </w:p>
    <w:p>
      <w:pPr>
        <w:spacing w:after="0" w:line="137" w:lineRule="exact"/>
        <w:rPr>
          <w:rFonts w:ascii="Times New Roman" w:cs="Times New Roman" w:eastAsia="Times New Roman" w:hAnsi="Times New Roman"/>
          <w:sz w:val="22"/>
          <w:szCs w:val="22"/>
          <w:color w:val="auto"/>
        </w:rPr>
      </w:pPr>
    </w:p>
    <w:p>
      <w:pPr>
        <w:ind w:left="660"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Tenant (not Landlord) shall provide control points on AHUs and VAVs serving the 777-02 North ROFO Premises that are JCI compatible and connected to the tenant BMS system and Tenant shall ensure that Landlord has control capabilities into the tenant BMS system.</w:t>
      </w:r>
    </w:p>
    <w:p>
      <w:pPr>
        <w:spacing w:after="0" w:line="134" w:lineRule="exact"/>
        <w:rPr>
          <w:rFonts w:ascii="Times New Roman" w:cs="Times New Roman" w:eastAsia="Times New Roman" w:hAnsi="Times New Roman"/>
          <w:sz w:val="22"/>
          <w:szCs w:val="22"/>
          <w:color w:val="auto"/>
        </w:rPr>
      </w:pPr>
    </w:p>
    <w:p>
      <w:pPr>
        <w:ind w:left="660" w:right="140" w:hanging="328"/>
        <w:spacing w:after="0" w:line="309"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remove any existing duct mounted humidifiers and reheat coils located in the penthouse serving the 777-02 North ROFO Premises.</w:t>
      </w:r>
    </w:p>
    <w:p>
      <w:pPr>
        <w:spacing w:after="0" w:line="118" w:lineRule="exact"/>
        <w:rPr>
          <w:rFonts w:ascii="Times New Roman" w:cs="Times New Roman" w:eastAsia="Times New Roman" w:hAnsi="Times New Roman"/>
          <w:sz w:val="22"/>
          <w:szCs w:val="22"/>
          <w:color w:val="auto"/>
        </w:rPr>
      </w:pPr>
    </w:p>
    <w:p>
      <w:pPr>
        <w:ind w:left="660" w:hanging="328"/>
        <w:spacing w:after="0" w:line="291"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overhead duct connections including fire smoke detectors in ductwork at the demising wall for the 777-02 North ROFO Premises. Landlord will provide main supply/return within the existing MEP shafts, if possible, for the 777-02 North ROFO Premises. Landlord will add a smoke fire damper for the 777-02 North ROFO Premises to be activated with the Building fire system.</w:t>
      </w:r>
    </w:p>
    <w:p>
      <w:pPr>
        <w:spacing w:after="0" w:line="137" w:lineRule="exact"/>
        <w:rPr>
          <w:rFonts w:ascii="Times New Roman" w:cs="Times New Roman" w:eastAsia="Times New Roman" w:hAnsi="Times New Roman"/>
          <w:sz w:val="22"/>
          <w:szCs w:val="22"/>
          <w:color w:val="auto"/>
        </w:rPr>
      </w:pPr>
    </w:p>
    <w:p>
      <w:pPr>
        <w:ind w:left="660" w:right="340" w:hanging="328"/>
        <w:spacing w:after="0" w:line="309"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Ductwork serving the perimeter up-blast grilles from the catwalk level will be abandoned, the plenums removed and the floor penetrations filled with fire-rated construction meeting all applicable code requirements.</w:t>
      </w:r>
    </w:p>
    <w:p>
      <w:pPr>
        <w:spacing w:after="0" w:line="118" w:lineRule="exact"/>
        <w:rPr>
          <w:rFonts w:ascii="Times New Roman" w:cs="Times New Roman" w:eastAsia="Times New Roman" w:hAnsi="Times New Roman"/>
          <w:sz w:val="22"/>
          <w:szCs w:val="22"/>
          <w:color w:val="auto"/>
        </w:rPr>
      </w:pPr>
    </w:p>
    <w:p>
      <w:pPr>
        <w:jc w:val="both"/>
        <w:ind w:left="660" w:right="200" w:hanging="328"/>
        <w:spacing w:after="0" w:line="295" w:lineRule="auto"/>
        <w:tabs>
          <w:tab w:leader="none" w:pos="6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Fill the floor air distribution holes with an acceptable floor fill materials and detail, and modify the existing conditions to adequately close and fire-rate all perimeter slab penetrations including maintaining the asbestos management program for asbestos containing material located on the floor below.</w:t>
      </w:r>
    </w:p>
    <w:p>
      <w:pPr>
        <w:sectPr>
          <w:pgSz w:w="11900" w:h="16838" w:orient="portrait"/>
          <w:cols w:equalWidth="0" w:num="1">
            <w:col w:w="11380"/>
          </w:cols>
          <w:pgMar w:left="240" w:top="369" w:right="2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1"/>
          <w:szCs w:val="21"/>
          <w:color w:val="auto"/>
        </w:rPr>
        <w:t>8.  Abandon existing below-floor air distribution and infill existing slab penetrations with fire rating assembly.</w:t>
      </w:r>
    </w:p>
    <w:p>
      <w:pPr>
        <w:sectPr>
          <w:pgSz w:w="11900" w:h="16838" w:orient="portrait"/>
          <w:cols w:equalWidth="0" w:num="1">
            <w:col w:w="9879"/>
          </w:cols>
          <w:pgMar w:left="580" w:top="382" w:right="1440" w:bottom="1440" w:gutter="0" w:footer="0" w:header="0"/>
        </w:sectPr>
      </w:pPr>
    </w:p>
    <w:bookmarkStart w:id="247" w:name="page248"/>
    <w:bookmarkEnd w:id="247"/>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K-3</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777-01 NORTHEAST ROFO LANDLORD WORK</w:t>
      </w:r>
    </w:p>
    <w:p>
      <w:pPr>
        <w:spacing w:after="0" w:line="2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 xml:space="preserve">Unless otherwise expressly specified, the work described below applies only to the 777-01 Northeast ROFO Premises. The portion of the 777-01 Northeast ROFO Landlord Work described under “Subsequent Landlord Work” is subject to </w:t>
      </w:r>
      <w:r>
        <w:rPr>
          <w:rFonts w:ascii="Times New Roman" w:cs="Times New Roman" w:eastAsia="Times New Roman" w:hAnsi="Times New Roman"/>
          <w:sz w:val="22"/>
          <w:szCs w:val="22"/>
          <w:u w:val="single" w:color="auto"/>
          <w:color w:val="auto"/>
        </w:rPr>
        <w:t>Section 10.1(c)(iii)</w:t>
      </w:r>
      <w:r>
        <w:rPr>
          <w:rFonts w:ascii="Times New Roman" w:cs="Times New Roman" w:eastAsia="Times New Roman" w:hAnsi="Times New Roman"/>
          <w:sz w:val="22"/>
          <w:szCs w:val="22"/>
          <w:color w:val="auto"/>
        </w:rPr>
        <w:t xml:space="preserve"> of the Sixteenth Amendment.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Initial Landlord Work</w:t>
      </w:r>
    </w:p>
    <w:p>
      <w:pPr>
        <w:spacing w:after="0" w:line="274" w:lineRule="exact"/>
        <w:rPr>
          <w:sz w:val="20"/>
          <w:szCs w:val="20"/>
          <w:color w:val="auto"/>
        </w:rPr>
      </w:pPr>
    </w:p>
    <w:p>
      <w:pPr>
        <w:ind w:left="660" w:hanging="328"/>
        <w:spacing w:after="0"/>
        <w:tabs>
          <w:tab w:leader="none" w:pos="66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identify a location from which Tenant may extend electric service to the 777-01 Northeast ROFO Premises.</w:t>
      </w:r>
    </w:p>
    <w:p>
      <w:pPr>
        <w:spacing w:after="0" w:line="231" w:lineRule="exact"/>
        <w:rPr>
          <w:rFonts w:ascii="Times New Roman" w:cs="Times New Roman" w:eastAsia="Times New Roman" w:hAnsi="Times New Roman"/>
          <w:sz w:val="21"/>
          <w:szCs w:val="21"/>
          <w:color w:val="auto"/>
        </w:rPr>
      </w:pPr>
    </w:p>
    <w:p>
      <w:pPr>
        <w:ind w:left="660" w:right="200" w:hanging="328"/>
        <w:spacing w:after="0" w:line="291" w:lineRule="auto"/>
        <w:tabs>
          <w:tab w:leader="none" w:pos="6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electric service to the 777-01 Northeast ROFO Premises shall be metered by the base building metering system. Electric meters, supplied by Landlord or Landlord’s agent at Tenant’s expense, will be used to separate the power usage dedicated to the 777-01 Northeast ROFO Premises only and will be installed by Landlord or Landlord’s agent at Tenant’s expense.</w:t>
      </w:r>
    </w:p>
    <w:p>
      <w:pPr>
        <w:spacing w:after="0" w:line="137" w:lineRule="exact"/>
        <w:rPr>
          <w:rFonts w:ascii="Times New Roman" w:cs="Times New Roman" w:eastAsia="Times New Roman" w:hAnsi="Times New Roman"/>
          <w:sz w:val="22"/>
          <w:szCs w:val="22"/>
          <w:color w:val="auto"/>
        </w:rPr>
      </w:pPr>
    </w:p>
    <w:p>
      <w:pPr>
        <w:ind w:left="660" w:hanging="328"/>
        <w:spacing w:after="0" w:line="336" w:lineRule="auto"/>
        <w:tabs>
          <w:tab w:leader="none" w:pos="66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will confirm the heating, cooling and that airflow capacity of each AHU unit serving the 777-01 Northeast ROFO Premises is capable of 1.5 CFM/SF via a baseline balancing report and forward the information to Tenant for its use.</w:t>
      </w:r>
    </w:p>
    <w:p>
      <w:pPr>
        <w:spacing w:after="0" w:line="93" w:lineRule="exact"/>
        <w:rPr>
          <w:rFonts w:ascii="Times New Roman" w:cs="Times New Roman" w:eastAsia="Times New Roman" w:hAnsi="Times New Roman"/>
          <w:sz w:val="21"/>
          <w:szCs w:val="21"/>
          <w:color w:val="auto"/>
        </w:rPr>
      </w:pPr>
    </w:p>
    <w:p>
      <w:pPr>
        <w:ind w:left="660" w:right="160" w:hanging="328"/>
        <w:spacing w:after="0" w:line="291" w:lineRule="auto"/>
        <w:tabs>
          <w:tab w:leader="none" w:pos="6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three-inch chilled water risers with isolation valves and capped outlets for Tenant’s point of connection for the 777-01 Northeast ROFO Premises. If supplemental air conditioning systems are required, they shall be provided by Tenant at its sole cost. Landlord shall provide a system that allows for year-round cooling capability for the 777-01 Northeast ROFO Premises.</w:t>
      </w:r>
    </w:p>
    <w:p>
      <w:pPr>
        <w:spacing w:after="0" w:line="137" w:lineRule="exact"/>
        <w:rPr>
          <w:rFonts w:ascii="Times New Roman" w:cs="Times New Roman" w:eastAsia="Times New Roman" w:hAnsi="Times New Roman"/>
          <w:sz w:val="22"/>
          <w:szCs w:val="22"/>
          <w:color w:val="auto"/>
        </w:rPr>
      </w:pPr>
    </w:p>
    <w:p>
      <w:pPr>
        <w:jc w:val="both"/>
        <w:ind w:left="660" w:right="120" w:hanging="328"/>
        <w:spacing w:after="0" w:line="295" w:lineRule="auto"/>
        <w:tabs>
          <w:tab w:leader="none" w:pos="6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a two-and-one half-inch hot water riser to extend down from the heat exchanger in the penthouse to heat the 777-01 Northeast ROFO Premises with isolation valves and capped outlets to Tenant’s point of connection for the 777-01 Northeast ROFO Premises.</w:t>
      </w:r>
    </w:p>
    <w:p>
      <w:pPr>
        <w:spacing w:after="0" w:line="134" w:lineRule="exact"/>
        <w:rPr>
          <w:rFonts w:ascii="Times New Roman" w:cs="Times New Roman" w:eastAsia="Times New Roman" w:hAnsi="Times New Roman"/>
          <w:sz w:val="22"/>
          <w:szCs w:val="22"/>
          <w:color w:val="auto"/>
        </w:rPr>
      </w:pPr>
    </w:p>
    <w:p>
      <w:pPr>
        <w:ind w:left="660" w:right="180" w:hanging="328"/>
        <w:spacing w:after="0" w:line="291" w:lineRule="auto"/>
        <w:tabs>
          <w:tab w:leader="none" w:pos="6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Sprinkler Main: if required based upon the capacity of the existing standpipe, Landlord shall design, permit and construct a fire sprinkler service main, including all controls and valves from the street or building riser to the 777-01 Northeast ROFO Premises. The main line shall be capped inside the 777-01 Northeast ROFO Premises and be sized to accommodate ordinary fire hazard coverage as required by the Town of Mount Pleasant for office occupancy.</w:t>
      </w:r>
    </w:p>
    <w:p>
      <w:pPr>
        <w:sectPr>
          <w:pgSz w:w="11900" w:h="16838" w:orient="portrait"/>
          <w:cols w:equalWidth="0" w:num="1">
            <w:col w:w="11340"/>
          </w:cols>
          <w:pgMar w:left="240" w:top="784"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u w:val="single" w:color="auto"/>
          <w:color w:val="auto"/>
        </w:rPr>
        <w:t>Subsequent Landlord Work</w:t>
      </w:r>
    </w:p>
    <w:p>
      <w:pPr>
        <w:spacing w:after="0" w:line="274" w:lineRule="exact"/>
        <w:rPr>
          <w:sz w:val="20"/>
          <w:szCs w:val="20"/>
          <w:color w:val="auto"/>
        </w:rPr>
      </w:pPr>
    </w:p>
    <w:p>
      <w:pPr>
        <w:ind w:left="660" w:right="60" w:hanging="328"/>
        <w:spacing w:after="0" w:line="291"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all existing supply fans serving the 777-01 Northeast ROFO Premises have variable frequency drives (“</w:t>
      </w:r>
      <w:r>
        <w:rPr>
          <w:rFonts w:ascii="Times New Roman" w:cs="Times New Roman" w:eastAsia="Times New Roman" w:hAnsi="Times New Roman"/>
          <w:sz w:val="22"/>
          <w:szCs w:val="22"/>
          <w:u w:val="single" w:color="auto"/>
          <w:color w:val="auto"/>
        </w:rPr>
        <w:t>VFDs</w:t>
      </w:r>
      <w:r>
        <w:rPr>
          <w:rFonts w:ascii="Times New Roman" w:cs="Times New Roman" w:eastAsia="Times New Roman" w:hAnsi="Times New Roman"/>
          <w:sz w:val="22"/>
          <w:szCs w:val="22"/>
          <w:color w:val="auto"/>
        </w:rPr>
        <w:t>”) to modulate supply fan speed (provided that, Tenant, at its sole cost, shall be responsible for the final balancing of the supply fan VFDs such that they align with Tenant’s variable air volume (“</w:t>
      </w:r>
      <w:r>
        <w:rPr>
          <w:rFonts w:ascii="Times New Roman" w:cs="Times New Roman" w:eastAsia="Times New Roman" w:hAnsi="Times New Roman"/>
          <w:sz w:val="22"/>
          <w:szCs w:val="22"/>
          <w:u w:val="single" w:color="auto"/>
          <w:color w:val="auto"/>
        </w:rPr>
        <w:t>VAV</w:t>
      </w:r>
      <w:r>
        <w:rPr>
          <w:rFonts w:ascii="Times New Roman" w:cs="Times New Roman" w:eastAsia="Times New Roman" w:hAnsi="Times New Roman"/>
          <w:sz w:val="22"/>
          <w:szCs w:val="22"/>
          <w:color w:val="auto"/>
        </w:rPr>
        <w:t>”) system serving the 777-01 Northeast ROFO Premises).</w:t>
      </w:r>
    </w:p>
    <w:p>
      <w:pPr>
        <w:spacing w:after="0" w:line="137" w:lineRule="exact"/>
        <w:rPr>
          <w:rFonts w:ascii="Times New Roman" w:cs="Times New Roman" w:eastAsia="Times New Roman" w:hAnsi="Times New Roman"/>
          <w:sz w:val="22"/>
          <w:szCs w:val="22"/>
          <w:color w:val="auto"/>
        </w:rPr>
      </w:pPr>
    </w:p>
    <w:p>
      <w:pPr>
        <w:ind w:left="660" w:right="240" w:hanging="328"/>
        <w:spacing w:after="0" w:line="295"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VFDs shall be provided for each return fan and controlled to interlock with the matched supply fan serving the 777-01 Northeast ROFO Premises (provided that, Tenant, at its sole cost, shall be responsible for the final balancing of the return fan VFDs such that they align with Tenant’s VAV system serving the 777-01 Northeast ROFO Premises).</w:t>
      </w:r>
    </w:p>
    <w:p>
      <w:pPr>
        <w:spacing w:after="0" w:line="134" w:lineRule="exact"/>
        <w:rPr>
          <w:rFonts w:ascii="Times New Roman" w:cs="Times New Roman" w:eastAsia="Times New Roman" w:hAnsi="Times New Roman"/>
          <w:sz w:val="22"/>
          <w:szCs w:val="22"/>
          <w:color w:val="auto"/>
        </w:rPr>
      </w:pPr>
    </w:p>
    <w:p>
      <w:pPr>
        <w:ind w:left="660" w:right="120" w:hanging="328"/>
        <w:spacing w:after="0" w:line="291"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HVAC system serving the 777-01 Northeast ROFO Premises shall be capable of providing HVAC capacity of a minimum of 1.5 cubic feet per minute (“</w:t>
      </w:r>
      <w:r>
        <w:rPr>
          <w:rFonts w:ascii="Times New Roman" w:cs="Times New Roman" w:eastAsia="Times New Roman" w:hAnsi="Times New Roman"/>
          <w:sz w:val="22"/>
          <w:szCs w:val="22"/>
          <w:u w:val="single" w:color="auto"/>
          <w:color w:val="auto"/>
        </w:rPr>
        <w:t>CFM</w:t>
      </w:r>
      <w:r>
        <w:rPr>
          <w:rFonts w:ascii="Times New Roman" w:cs="Times New Roman" w:eastAsia="Times New Roman" w:hAnsi="Times New Roman"/>
          <w:sz w:val="22"/>
          <w:szCs w:val="22"/>
          <w:color w:val="auto"/>
        </w:rPr>
        <w:t>”) per rentable square feet with adequate static pressure from existing air handlers serving the 777-01 Northeast ROFO Premises that are either new or recently replaced. Replacement includes new coils, control valves and coil trim, drain pans and condensate piping and filter racks.</w:t>
      </w:r>
    </w:p>
    <w:p>
      <w:pPr>
        <w:spacing w:after="0" w:line="137" w:lineRule="exact"/>
        <w:rPr>
          <w:rFonts w:ascii="Times New Roman" w:cs="Times New Roman" w:eastAsia="Times New Roman" w:hAnsi="Times New Roman"/>
          <w:sz w:val="22"/>
          <w:szCs w:val="22"/>
          <w:color w:val="auto"/>
        </w:rPr>
      </w:pPr>
    </w:p>
    <w:p>
      <w:pPr>
        <w:jc w:val="both"/>
        <w:ind w:left="66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Tenant (not Landlord) shall provide control points on AHUs and VAVs serving the 777-01 Northeast ROFO Premises that are JCI compatible and connected to the tenant BMS system and Tenant shall ensure that Landlord has control capabilities into the tenant BMS system.</w:t>
      </w:r>
    </w:p>
    <w:p>
      <w:pPr>
        <w:spacing w:after="0" w:line="134" w:lineRule="exact"/>
        <w:rPr>
          <w:rFonts w:ascii="Times New Roman" w:cs="Times New Roman" w:eastAsia="Times New Roman" w:hAnsi="Times New Roman"/>
          <w:sz w:val="22"/>
          <w:szCs w:val="22"/>
          <w:color w:val="auto"/>
        </w:rPr>
      </w:pPr>
    </w:p>
    <w:p>
      <w:pPr>
        <w:ind w:left="660" w:right="160" w:hanging="328"/>
        <w:spacing w:after="0" w:line="309"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remove any existing duct mounted humidifiers and reheat coils located in the penthouse serving the 777-01 Northeast ROFO Premises.</w:t>
      </w:r>
    </w:p>
    <w:p>
      <w:pPr>
        <w:spacing w:after="0" w:line="118" w:lineRule="exact"/>
        <w:rPr>
          <w:rFonts w:ascii="Times New Roman" w:cs="Times New Roman" w:eastAsia="Times New Roman" w:hAnsi="Times New Roman"/>
          <w:sz w:val="22"/>
          <w:szCs w:val="22"/>
          <w:color w:val="auto"/>
        </w:rPr>
      </w:pPr>
    </w:p>
    <w:p>
      <w:pPr>
        <w:ind w:left="660" w:right="160" w:hanging="328"/>
        <w:spacing w:after="0" w:line="291"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overhead duct connections including fire smoke detectors in ductwork at the demising wall for the 777-01 Northeast ROFO Premises. Landlord will provide main supply/return within the existing MEP shafts, if possible, for the 777-01 Northeast ROFO Premises. Landlord will add a smoke fire damper for the 777-01 Northeast ROFO Premises to be activated with the Building fire system.</w:t>
      </w:r>
    </w:p>
    <w:p>
      <w:pPr>
        <w:spacing w:after="0" w:line="137" w:lineRule="exact"/>
        <w:rPr>
          <w:rFonts w:ascii="Times New Roman" w:cs="Times New Roman" w:eastAsia="Times New Roman" w:hAnsi="Times New Roman"/>
          <w:sz w:val="22"/>
          <w:szCs w:val="22"/>
          <w:color w:val="auto"/>
        </w:rPr>
      </w:pPr>
    </w:p>
    <w:p>
      <w:pPr>
        <w:ind w:left="660" w:right="360" w:hanging="328"/>
        <w:spacing w:after="0" w:line="309" w:lineRule="auto"/>
        <w:tabs>
          <w:tab w:leader="none" w:pos="6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Ductwork serving the perimeter up-blast grilles from the catwalk level will be abandoned, the plenums removed and the floor penetrations filled with fire-rated construction meeting all applicable code requirements.</w:t>
      </w:r>
    </w:p>
    <w:p>
      <w:pPr>
        <w:sectPr>
          <w:pgSz w:w="11900" w:h="16838" w:orient="portrait"/>
          <w:cols w:equalWidth="0" w:num="1">
            <w:col w:w="11400"/>
          </w:cols>
          <w:pgMar w:left="240" w:top="1355" w:right="259" w:bottom="1440" w:gutter="0" w:footer="0" w:header="0"/>
        </w:sectPr>
      </w:pPr>
    </w:p>
    <w:bookmarkStart w:id="249" w:name="page250"/>
    <w:bookmarkEnd w:id="249"/>
    <w:p>
      <w:pPr>
        <w:jc w:val="both"/>
        <w:ind w:left="328" w:hanging="328"/>
        <w:spacing w:after="0" w:line="295" w:lineRule="auto"/>
        <w:tabs>
          <w:tab w:leader="none" w:pos="32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Fill the floor air distribution holes with an acceptable floor fill materials and detail, and modify the existing conditions to adequately close and fire-rate all perimeter slab penetrations including maintaining the asbestos management program for asbestos containing material located on the floor below.</w:t>
      </w:r>
    </w:p>
    <w:p>
      <w:pPr>
        <w:spacing w:after="0" w:line="13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 existing below-floor air distribution and infill existing slab penetrations with fire rating assembly.</w:t>
      </w:r>
    </w:p>
    <w:p>
      <w:pPr>
        <w:sectPr>
          <w:pgSz w:w="11900" w:h="16838" w:orient="portrait"/>
          <w:cols w:equalWidth="0" w:num="1">
            <w:col w:w="10848"/>
          </w:cols>
          <w:pgMar w:left="572" w:top="382" w:right="47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777 C-LEVEL 777C04 LANDLORD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777-SL1 SURRENDER PREMISES DEMISING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365" w:right="1440" w:bottom="1440" w:gutter="0" w:footer="0" w:header="0"/>
        </w:sectPr>
      </w:pPr>
    </w:p>
    <w:bookmarkStart w:id="252" w:name="page253"/>
    <w:bookmarkEnd w:id="25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INTENTIONALLY OMITTED</w:t>
      </w:r>
    </w:p>
    <w:p>
      <w:pPr>
        <w:sectPr>
          <w:pgSz w:w="11900" w:h="16838" w:orient="portrait"/>
          <w:cols w:equalWidth="0" w:num="1">
            <w:col w:w="9019"/>
          </w:cols>
          <w:pgMar w:left="1440" w:top="365" w:right="1440" w:bottom="1440" w:gutter="0" w:footer="0" w:header="0"/>
        </w:sectPr>
      </w:pPr>
    </w:p>
    <w:bookmarkStart w:id="253" w:name="page254"/>
    <w:bookmarkEnd w:id="25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INTENTIONALLY OMITTED</w:t>
      </w:r>
    </w:p>
    <w:p>
      <w:pPr>
        <w:sectPr>
          <w:pgSz w:w="11900" w:h="16838" w:orient="portrait"/>
          <w:cols w:equalWidth="0" w:num="1">
            <w:col w:w="9019"/>
          </w:cols>
          <w:pgMar w:left="1440" w:top="365" w:right="14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P</w:t>
      </w:r>
    </w:p>
    <w:p>
      <w:pPr>
        <w:spacing w:after="0" w:line="2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Tenant shall with respect to any full calendar year(s) have the right to elect to arrange or provide Tenant’s own internal security services, internal janitorial services, and/or internal maintenance and repair services, as Tenant elects (the “</w:t>
      </w:r>
      <w:r>
        <w:rPr>
          <w:rFonts w:ascii="Times New Roman" w:cs="Times New Roman" w:eastAsia="Times New Roman" w:hAnsi="Times New Roman"/>
          <w:sz w:val="22"/>
          <w:szCs w:val="22"/>
          <w:u w:val="single" w:color="auto"/>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at Tenant’s option for the 735 Building, the 745 Building, the 755 Building and/or the 767 Building (but only to the extent Tenant leases such elected Building(s) in their entirety) (such elected Building(s), the “</w:t>
      </w:r>
      <w:r>
        <w:rPr>
          <w:rFonts w:ascii="Times New Roman" w:cs="Times New Roman" w:eastAsia="Times New Roman" w:hAnsi="Times New Roman"/>
          <w:sz w:val="22"/>
          <w:szCs w:val="22"/>
          <w:u w:val="single" w:color="auto"/>
          <w:color w:val="auto"/>
        </w:rPr>
        <w:t>Excluded Services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gives Landlord notice by November 1 of any calendar year, effective as of January 1 of the next calendar year, of such election (an “</w:t>
      </w:r>
      <w:r>
        <w:rPr>
          <w:rFonts w:ascii="Times New Roman" w:cs="Times New Roman" w:eastAsia="Times New Roman" w:hAnsi="Times New Roman"/>
          <w:sz w:val="22"/>
          <w:szCs w:val="22"/>
          <w:u w:val="single" w:color="auto"/>
          <w:color w:val="auto"/>
        </w:rPr>
        <w:t>Excluded Services Notice</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Tenant may not give an Excluded Services Notice for internal maintenance and repair services, except to the extent that such internal maintenance and repair services only affect areas within the Excluded Services Premises and do not affect (a) any structural portions of the Buildings, including the exterior walls, roof or foundation of the Buildings or (b) the exterior of the Buildings.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Starting on the first January 1 that occurs at least two months after Landlord receives any Excluded Services Notice (an “</w:t>
      </w:r>
      <w:r>
        <w:rPr>
          <w:rFonts w:ascii="Times New Roman" w:cs="Times New Roman" w:eastAsia="Times New Roman" w:hAnsi="Times New Roman"/>
          <w:sz w:val="22"/>
          <w:szCs w:val="22"/>
          <w:u w:val="single" w:color="auto"/>
          <w:color w:val="auto"/>
        </w:rPr>
        <w:t>Excluded Services Date</w:t>
      </w:r>
      <w:r>
        <w:rPr>
          <w:rFonts w:ascii="Times New Roman" w:cs="Times New Roman" w:eastAsia="Times New Roman" w:hAnsi="Times New Roman"/>
          <w:sz w:val="22"/>
          <w:szCs w:val="22"/>
          <w:color w:val="auto"/>
        </w:rPr>
        <w:t>”), Landlord shall: (e) have no obligation to provide any Excluded Services in the Excluded Services Premises; and (f) for purposes of this Lease, exclude the cost of such Excluded Services from the corresponding CAM Pools for the Excluded Services Premises.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In the event Tenant elects to assume any Excluded Services, Tenant shall (m) at Tenant’s sole cost and expense, procure and maintain contracts, with copies of the same and of any related records furnished promptly to Landlord after execution thereof, in customary form and substance for, and with contractors specializing and experienced in, the repair and maintenance of the equipment and improvements related to such Excluded Services and (n) be responsible for any and all termination and/or severance costs incurred by Landlord under its then-existing service contracts for the Excluded Services in order to transfer such repair and maintenance obligations to Tenant;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if such contracts are assignable with respect to services relating only to the Excluded Services Premises, then Landlord will reasonably cooperate (at Tenant’s sole cost and expense) to assign such contracts from Landlord to Tenant, if Tenant so elects. Notwithstanding the foregoing, in the event Landlord determines (in its reasonable discretion) that Tenant is not repairing and maintaining the improvements or equipment in accordance with Tenant’s obligations under this Exhibit and </w:t>
      </w:r>
      <w:r>
        <w:rPr>
          <w:rFonts w:ascii="Times New Roman" w:cs="Times New Roman" w:eastAsia="Times New Roman" w:hAnsi="Times New Roman"/>
          <w:sz w:val="21"/>
          <w:szCs w:val="21"/>
          <w:u w:val="single" w:color="auto"/>
          <w:color w:val="auto"/>
        </w:rPr>
        <w:t>Section 19.2</w:t>
      </w:r>
      <w:r>
        <w:rPr>
          <w:rFonts w:ascii="Times New Roman" w:cs="Times New Roman" w:eastAsia="Times New Roman" w:hAnsi="Times New Roman"/>
          <w:sz w:val="21"/>
          <w:szCs w:val="21"/>
          <w:color w:val="auto"/>
        </w:rPr>
        <w:t xml:space="preserve"> of the Lease, Landlord may provide Tenant with a written notice specifying which equipment or improvements Tenant is not maintaining and repairing pursuant to this Exhibit and </w:t>
      </w:r>
      <w:r>
        <w:rPr>
          <w:rFonts w:ascii="Times New Roman" w:cs="Times New Roman" w:eastAsia="Times New Roman" w:hAnsi="Times New Roman"/>
          <w:sz w:val="21"/>
          <w:szCs w:val="21"/>
          <w:u w:val="single" w:color="auto"/>
          <w:color w:val="auto"/>
        </w:rPr>
        <w:t>Section 19.2</w:t>
      </w:r>
      <w:r>
        <w:rPr>
          <w:rFonts w:ascii="Times New Roman" w:cs="Times New Roman" w:eastAsia="Times New Roman" w:hAnsi="Times New Roman"/>
          <w:sz w:val="21"/>
          <w:szCs w:val="21"/>
          <w:color w:val="auto"/>
        </w:rPr>
        <w:t xml:space="preserve"> of the Lease. Tenant shall have thirty (30) days upon receipt of such notice to cure all failures set forth in such notice. In the event Tenant does not cure such failures within such thirty (30) day period, Landlord may (but shall not be obligated to), upon written notice to Tenant, revoke Tenant’s right to repair and maintain the equipment or improvements listed in such notice and take on such repair and maintenance obligations (including procurement of any such service contracts) in the manner set forth in </w:t>
      </w:r>
      <w:r>
        <w:rPr>
          <w:rFonts w:ascii="Times New Roman" w:cs="Times New Roman" w:eastAsia="Times New Roman" w:hAnsi="Times New Roman"/>
          <w:sz w:val="21"/>
          <w:szCs w:val="21"/>
          <w:u w:val="single" w:color="auto"/>
          <w:color w:val="auto"/>
        </w:rPr>
        <w:t>Section 19.1</w:t>
      </w:r>
      <w:r>
        <w:rPr>
          <w:rFonts w:ascii="Times New Roman" w:cs="Times New Roman" w:eastAsia="Times New Roman" w:hAnsi="Times New Roman"/>
          <w:sz w:val="21"/>
          <w:szCs w:val="21"/>
          <w:color w:val="auto"/>
        </w:rPr>
        <w:t xml:space="preserve"> of the Lease and, in such event, all costs associated with such repair and maintenance (including procurement of any such service</w:t>
      </w:r>
    </w:p>
    <w:p>
      <w:pPr>
        <w:sectPr>
          <w:pgSz w:w="11900" w:h="16838" w:orient="portrait"/>
          <w:cols w:equalWidth="0" w:num="1">
            <w:col w:w="11420"/>
          </w:cols>
          <w:pgMar w:left="240" w:top="365" w:right="239" w:bottom="1440" w:gutter="0" w:footer="0" w:header="0"/>
        </w:sectPr>
      </w:pPr>
    </w:p>
    <w:bookmarkStart w:id="255" w:name="page256"/>
    <w:bookmarkEnd w:id="255"/>
    <w:p>
      <w:pPr>
        <w:jc w:val="both"/>
        <w:spacing w:after="0" w:line="252" w:lineRule="auto"/>
        <w:rPr>
          <w:sz w:val="20"/>
          <w:szCs w:val="20"/>
          <w:color w:val="auto"/>
        </w:rPr>
      </w:pPr>
      <w:r>
        <w:rPr>
          <w:rFonts w:ascii="Times New Roman" w:cs="Times New Roman" w:eastAsia="Times New Roman" w:hAnsi="Times New Roman"/>
          <w:sz w:val="22"/>
          <w:szCs w:val="22"/>
          <w:color w:val="auto"/>
        </w:rPr>
        <w:t>contracts) shall constitute Operating Expenses and shall be included in the appropriate CAM Pool. Notwithstanding anything to the contrary in the Lease, Landlord shall have no liability, and Tenant shall have no right or remedy, on account of any interruption or impairment in HVAC services or any other services provided by the equipment in which Tenant elects (and therefore is responsible) to maintain and repair pursuant to an Excluded Services Notice.</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Tenant may at any time (by giving at least two (2) months’ prior written notice, effective on the next January 1 after the date of such notice) revoke any Excluded Services Notice. After any such revocation, Tenant may not give another Excluded Services Notice for a year. Any Excluded Services Notice (or its revocation) may relate to any one or a combination of the following: (w) all internal security; (x) all janitorial; (y) all internal maintenance and repair services; or (z) all of items (w), (x) and (y).</w:t>
      </w:r>
    </w:p>
    <w:p>
      <w:pPr>
        <w:sectPr>
          <w:pgSz w:w="11900" w:h="16838" w:orient="portrait"/>
          <w:cols w:equalWidth="0" w:num="1">
            <w:col w:w="11420"/>
          </w:cols>
          <w:pgMar w:left="240" w:top="369" w:right="2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MT. PLEASANT LEASE</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FIRST AMENDMENT TO MT. PLEASANT LEASE (this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is entered into as of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2015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BMR-LANDMARK AT EASTVIEW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REGENERON PHARMACEUTICALS, INC., a New York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50" w:lineRule="auto"/>
        <w:tabs>
          <w:tab w:leader="none" w:pos="1507"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are parties to that certain Mt. Pleasant Lease dated as of April 3, 2013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Existing Mt.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Pleasant Lease</w:t>
      </w:r>
      <w:r>
        <w:rPr>
          <w:rFonts w:ascii="Times New Roman" w:cs="Times New Roman" w:eastAsia="Times New Roman" w:hAnsi="Times New Roman"/>
          <w:sz w:val="22"/>
          <w:szCs w:val="22"/>
          <w:color w:val="auto"/>
        </w:rPr>
        <w:t>”), whereby Tenant leases certain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from Landlord in the Mt. Pleasant Project (as defined in the Existing Mt. Pleasant Lease) known as Building 8 and Building 9 in Tarrytown, New York (collectively, the “</w:t>
      </w: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49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concurrently herewith, Landlord and Tenant have entered into that certain Sixteenth Amendment to Lease (the “</w:t>
      </w:r>
      <w:r>
        <w:rPr>
          <w:rFonts w:ascii="Times New Roman" w:cs="Times New Roman" w:eastAsia="Times New Roman" w:hAnsi="Times New Roman"/>
          <w:sz w:val="22"/>
          <w:szCs w:val="22"/>
          <w:u w:val="single" w:color="auto"/>
          <w:color w:val="auto"/>
        </w:rPr>
        <w:t>Sixteenth Amendment</w:t>
      </w:r>
      <w:r>
        <w:rPr>
          <w:rFonts w:ascii="Times New Roman" w:cs="Times New Roman" w:eastAsia="Times New Roman" w:hAnsi="Times New Roman"/>
          <w:sz w:val="22"/>
          <w:szCs w:val="22"/>
          <w:color w:val="auto"/>
        </w:rPr>
        <w:t>”) dated as of the Execution Date, which amends that certain Lease dated as of December 21, 2006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49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Existing Mt. Pleasant Lease only in the respects and on the conditions hereinafter 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jc w:val="both"/>
        <w:ind w:firstLine="8"/>
        <w:spacing w:after="0" w:line="257" w:lineRule="auto"/>
        <w:tabs>
          <w:tab w:leader="none" w:pos="81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First Amendment, capitalized terms shall have the meanings ascribed to them in the Existing Mt. Pleasant Lease unless otherwise defined herein. The Existing Mt. Pleasant Lease, as amended by this First Amendment, is referred to collectively herein as the “</w:t>
      </w:r>
      <w:r>
        <w:rPr>
          <w:rFonts w:ascii="Times New Roman" w:cs="Times New Roman" w:eastAsia="Times New Roman" w:hAnsi="Times New Roman"/>
          <w:sz w:val="22"/>
          <w:szCs w:val="22"/>
          <w:u w:val="single" w:color="auto"/>
          <w:color w:val="auto"/>
        </w:rPr>
        <w:t>Mt. Pleasant Lease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Commencement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2.1. Notwithstanding anything to the contrary in the Existing Mt. Pleasant Lease, the Building 8 Term Commencement Date and the Term Commencement Date are hereby established to be October 13, 2014. Tenant accepted possession of Building 8 on the Building 8 Term Commencement Date for construction of the Tenant Improvements. As of the Building 8 Term</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BioMed Realty form dated 2/26/14</w:t>
      </w:r>
    </w:p>
    <w:p>
      <w:pPr>
        <w:sectPr>
          <w:pgSz w:w="11900" w:h="16838" w:orient="portrait"/>
          <w:cols w:equalWidth="0" w:num="1">
            <w:col w:w="11420"/>
          </w:cols>
          <w:pgMar w:left="240" w:top="360"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Commencement Date, the TI Ready Work required to be constructed by Landlord with respect to Building 8 was completed.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2.2. Notwithstanding anything to the contrary in the Existing Mt. Pleasant Lease, the Building 9 Term Commencement Date is hereby established to be October 13, 2014. Tenant accepted possession of Building 9 on the Building 9 Term Commencement Date for construction of the Tenant Improvements. As of the Building 9 Term Commencement Date, the TI Ready Work required to be constructed by Landlord with respect to Building 9 was completed.</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2.3. As of the Execution Date, there has not been any Landlord Delay for purposes of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of the Existing Mt. Pleasant Lease. In addition, for purposes of determining the Building 8 Term Commencement Date, the Building 9 Term Commencement Date, the Building 8 Rent Commencement Date, and the Building 9 Rent Commencement Date, it shall be deemed that there has been no Landlord Delay and no Tenant Delay prior to the Execution Date.</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 xml:space="preserve">Sections 5.1(b)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5.1(c) </w:t>
      </w:r>
      <w:r>
        <w:rPr>
          <w:rFonts w:ascii="Times New Roman" w:cs="Times New Roman" w:eastAsia="Times New Roman" w:hAnsi="Times New Roman"/>
          <w:sz w:val="21"/>
          <w:szCs w:val="21"/>
          <w:color w:val="auto"/>
        </w:rPr>
        <w:t>are hereby deleted in their entirety, and in each case, replaced with “Intentionally omitted.”</w:t>
      </w:r>
    </w:p>
    <w:p>
      <w:pPr>
        <w:spacing w:after="0" w:line="233" w:lineRule="exact"/>
        <w:rPr>
          <w:sz w:val="20"/>
          <w:szCs w:val="20"/>
          <w:color w:val="auto"/>
        </w:rPr>
      </w:pPr>
    </w:p>
    <w:p>
      <w:pPr>
        <w:ind w:firstLine="8"/>
        <w:spacing w:after="0" w:line="271" w:lineRule="auto"/>
        <w:tabs>
          <w:tab w:leader="none" w:pos="81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Expiration Date</w:t>
      </w:r>
      <w:r>
        <w:rPr>
          <w:rFonts w:ascii="Times New Roman" w:cs="Times New Roman" w:eastAsia="Times New Roman" w:hAnsi="Times New Roman"/>
          <w:sz w:val="22"/>
          <w:szCs w:val="22"/>
          <w:color w:val="auto"/>
        </w:rPr>
        <w:t>. Section 2.9 of the Existing Mt. Pleasant Lease is hereby deleted in its entirety and replaced with the following:</w:t>
      </w:r>
    </w:p>
    <w:p>
      <w:pPr>
        <w:spacing w:after="0" w:line="158"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Term Expiration Date</w:t>
      </w:r>
      <w:r>
        <w:rPr>
          <w:rFonts w:ascii="Times New Roman" w:cs="Times New Roman" w:eastAsia="Times New Roman" w:hAnsi="Times New Roman"/>
          <w:sz w:val="22"/>
          <w:szCs w:val="22"/>
          <w:color w:val="auto"/>
        </w:rPr>
        <w:t xml:space="preserve">:” July 31, 2029 (subject to extension pursuant to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Tenant shall have options to extend this Lease as provided in </w:t>
      </w:r>
      <w:r>
        <w:rPr>
          <w:rFonts w:ascii="Times New Roman" w:cs="Times New Roman" w:eastAsia="Times New Roman" w:hAnsi="Times New Roman"/>
          <w:sz w:val="22"/>
          <w:szCs w:val="22"/>
          <w:u w:val="single" w:color="auto"/>
          <w:color w:val="auto"/>
        </w:rPr>
        <w:t>Article 41</w:t>
      </w:r>
      <w:r>
        <w:rPr>
          <w:rFonts w:ascii="Times New Roman" w:cs="Times New Roman" w:eastAsia="Times New Roman" w:hAnsi="Times New Roman"/>
          <w:sz w:val="22"/>
          <w:szCs w:val="22"/>
          <w:color w:val="auto"/>
        </w:rPr>
        <w:t xml:space="preserve">. For the sake of clarity, if the Term Expiration Date is extended pursuant to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the Term Expiration Date shall be extended for the entire Premises.”</w:t>
      </w:r>
    </w:p>
    <w:p>
      <w:pPr>
        <w:spacing w:after="0" w:line="180" w:lineRule="exact"/>
        <w:rPr>
          <w:sz w:val="20"/>
          <w:szCs w:val="20"/>
          <w:color w:val="auto"/>
        </w:rPr>
      </w:pPr>
    </w:p>
    <w:p>
      <w:pPr>
        <w:jc w:val="both"/>
        <w:ind w:firstLine="8"/>
        <w:spacing w:after="0" w:line="257" w:lineRule="auto"/>
        <w:tabs>
          <w:tab w:leader="none" w:pos="81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Cafeteria</w:t>
      </w:r>
      <w:r>
        <w:rPr>
          <w:rFonts w:ascii="Times New Roman" w:cs="Times New Roman" w:eastAsia="Times New Roman" w:hAnsi="Times New Roman"/>
          <w:sz w:val="22"/>
          <w:szCs w:val="22"/>
          <w:color w:val="auto"/>
        </w:rPr>
        <w:t xml:space="preserve">. Notwithstanding anything to the contrary in the Existing Mt. Pleasant Lease, Landlord’s obligation in </w:t>
      </w:r>
      <w:r>
        <w:rPr>
          <w:rFonts w:ascii="Times New Roman" w:cs="Times New Roman" w:eastAsia="Times New Roman" w:hAnsi="Times New Roman"/>
          <w:sz w:val="22"/>
          <w:szCs w:val="22"/>
          <w:u w:val="single" w:color="auto"/>
          <w:color w:val="auto"/>
        </w:rPr>
        <w:t>Article 61</w:t>
      </w:r>
      <w:r>
        <w:rPr>
          <w:rFonts w:ascii="Times New Roman" w:cs="Times New Roman" w:eastAsia="Times New Roman" w:hAnsi="Times New Roman"/>
          <w:sz w:val="22"/>
          <w:szCs w:val="22"/>
          <w:color w:val="auto"/>
        </w:rPr>
        <w:t xml:space="preserve"> of the Existing Mt. Pleasant Lease to operate an additional cafeteria shall not commence until the date that is three (3) weeks after the 777-SL1 Surrender Effective Date (as defined in the Sixteenth Amendment).</w:t>
      </w:r>
    </w:p>
    <w:p>
      <w:pPr>
        <w:spacing w:after="0" w:line="173" w:lineRule="exact"/>
        <w:rPr>
          <w:rFonts w:ascii="Times New Roman" w:cs="Times New Roman" w:eastAsia="Times New Roman" w:hAnsi="Times New Roman"/>
          <w:sz w:val="22"/>
          <w:szCs w:val="22"/>
          <w:color w:val="auto"/>
        </w:rPr>
      </w:pPr>
    </w:p>
    <w:p>
      <w:pPr>
        <w:jc w:val="both"/>
        <w:ind w:firstLine="8"/>
        <w:spacing w:after="0" w:line="259" w:lineRule="auto"/>
        <w:tabs>
          <w:tab w:leader="none" w:pos="81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Powerhouse</w:t>
      </w:r>
      <w:r>
        <w:rPr>
          <w:rFonts w:ascii="Times New Roman" w:cs="Times New Roman" w:eastAsia="Times New Roman" w:hAnsi="Times New Roman"/>
          <w:sz w:val="21"/>
          <w:szCs w:val="21"/>
          <w:color w:val="auto"/>
        </w:rPr>
        <w:t>. Landlord is currently in the process of upgrading the electric infrastructure of the Entire Project (the “</w:t>
      </w:r>
      <w:r>
        <w:rPr>
          <w:rFonts w:ascii="Times New Roman" w:cs="Times New Roman" w:eastAsia="Times New Roman" w:hAnsi="Times New Roman"/>
          <w:sz w:val="21"/>
          <w:szCs w:val="21"/>
          <w:u w:val="single" w:color="auto"/>
          <w:color w:val="auto"/>
        </w:rPr>
        <w:t>Powerhouse Upgrade</w:t>
      </w:r>
      <w:r>
        <w:rPr>
          <w:rFonts w:ascii="Times New Roman" w:cs="Times New Roman" w:eastAsia="Times New Roman" w:hAnsi="Times New Roman"/>
          <w:sz w:val="21"/>
          <w:szCs w:val="21"/>
          <w:color w:val="auto"/>
        </w:rPr>
        <w:t xml:space="preserve">”). A portion of the Powerhouse Upgrade includes additional electric infrastructure such that, upon completion, the electrical infrastructure that supports electrical power provided to Building 8 and Building 9 will be capable of supporting the amount of electrical power described in in the “Electrical Power Supply” line of Tenant’s load letter dated as of April 1, 2014 (and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Load Letter</w:t>
      </w:r>
      <w:r>
        <w:rPr>
          <w:rFonts w:ascii="Times New Roman" w:cs="Times New Roman" w:eastAsia="Times New Roman" w:hAnsi="Times New Roman"/>
          <w:sz w:val="21"/>
          <w:szCs w:val="21"/>
          <w:color w:val="auto"/>
        </w:rPr>
        <w:t>”) in connection with the Mt. Pleasant Lease (the “</w:t>
      </w:r>
      <w:r>
        <w:rPr>
          <w:rFonts w:ascii="Times New Roman" w:cs="Times New Roman" w:eastAsia="Times New Roman" w:hAnsi="Times New Roman"/>
          <w:sz w:val="21"/>
          <w:szCs w:val="21"/>
          <w:u w:val="single" w:color="auto"/>
          <w:color w:val="auto"/>
        </w:rPr>
        <w:t>Mt. Pleasant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Infrastructure</w:t>
      </w:r>
      <w:r>
        <w:rPr>
          <w:rFonts w:ascii="Times New Roman" w:cs="Times New Roman" w:eastAsia="Times New Roman" w:hAnsi="Times New Roman"/>
          <w:sz w:val="21"/>
          <w:szCs w:val="21"/>
          <w:color w:val="auto"/>
        </w:rPr>
        <w:t>”). When the Powerhouse Upgrade (or any portion thereof) is placed in-service, Tenant acknowledges that it is responsible for Tenant’s proportionate share (allocated in accordance with the final sentence of this Section) of the costs of the Powerhouse Upgrade (or such portion placed in-service) (in accordance with, and subject to, the Operating Expense provisions of the Mt. Pleasant Lease) allocated (as reasonably determined by Landlord) to the Entire Project and the Mt. Pleasant Project regardless of whether the Powerhouse Upgrade (or any portion thereof) has been placed in-service prior to the Building 8 Operating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258" w:name="page259"/>
    <w:bookmarkEnd w:id="258"/>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Expense Commencement Date or the Building 9 Operating Expense Commencement Date. In furtherance of the foregoing, in the event the in-service date of the Powerhouse Upgrade (or any portion thereof) is prior to the Building 8 Operating Expense Commencement Date or the Building 9 Operating Expense Commencement Date, then the Building 8 Operating Expense Commencement Date and/or the Building 9 Operating Expense Commencement Date, as applicable and only with respect to Operating Expenses in connection with the Powerhouse Upgrade, shall be deemed to be the in-service date of the Powerhouse Upgrade (or the applicable portion thereof). Tenant acknowledges that for purposes of determining the costs described above, the Powerhouse Upgrade will benefit the Buildings and is not subject to any of the Operating Expense carve outs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8.1(d)(a)</w:t>
      </w:r>
      <w:r>
        <w:rPr>
          <w:rFonts w:ascii="Times New Roman" w:cs="Times New Roman" w:eastAsia="Times New Roman" w:hAnsi="Times New Roman"/>
          <w:sz w:val="22"/>
          <w:szCs w:val="22"/>
          <w:color w:val="auto"/>
        </w:rPr>
        <w:t xml:space="preserve"> of the Existing Mt. Pleasant Lease. Further, Tenant acknowledges that the costs of the Powerhouse Upgrade will be allocated across the Entire Project (including the Mt. Pleasant Project) in accordance with each building’s kVA capacity.</w:t>
      </w:r>
    </w:p>
    <w:p>
      <w:pPr>
        <w:spacing w:after="0" w:line="192" w:lineRule="exact"/>
        <w:rPr>
          <w:sz w:val="20"/>
          <w:szCs w:val="20"/>
          <w:color w:val="auto"/>
        </w:rPr>
      </w:pPr>
    </w:p>
    <w:p>
      <w:pPr>
        <w:jc w:val="both"/>
        <w:ind w:firstLine="8"/>
        <w:spacing w:after="0" w:line="246" w:lineRule="auto"/>
        <w:tabs>
          <w:tab w:leader="none" w:pos="81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from 767 Tenant Work</w:t>
      </w:r>
      <w:r>
        <w:rPr>
          <w:rFonts w:ascii="Times New Roman" w:cs="Times New Roman" w:eastAsia="Times New Roman" w:hAnsi="Times New Roman"/>
          <w:sz w:val="22"/>
          <w:szCs w:val="22"/>
          <w:color w:val="auto"/>
        </w:rPr>
        <w:t>. For purposes of clarity, and notwithstanding anything to the contrary in the Existing Mt. Pleasant Lease, any delay in Landlord’s prosecution of the Landlord Work, including the Final Landlord Work, caused by the 767 Tenant Work (as defined in the Sixteenth Amendment) or any other work performed by or on behalf of Tenant in connection with the 767 Premises (as defined in the Sixteenth Amendment) shall constitute a Tenant Delay to the extent that such circumstance continues for a period of two (2) business days after Landlord delivers notice to Tenant of such Tenant Delay and to the extent such circumstance actually delays Substantial Completion of the Landlord Work or Substantial Completion of the Final Landlord Work, as applicable, beyond the date when such Substantial Completion would have otherwise occurred. If Landlord and Tenant cannot agree on whether or to what extent Tenant Delay applies, then the written determination of the Neutral Architect shall govern, whose determination shall be final and binding upon the parties.</w:t>
      </w:r>
    </w:p>
    <w:p>
      <w:pPr>
        <w:spacing w:after="0" w:line="182" w:lineRule="exact"/>
        <w:rPr>
          <w:rFonts w:ascii="Times New Roman" w:cs="Times New Roman" w:eastAsia="Times New Roman" w:hAnsi="Times New Roman"/>
          <w:sz w:val="22"/>
          <w:szCs w:val="22"/>
          <w:color w:val="auto"/>
        </w:rPr>
      </w:pPr>
    </w:p>
    <w:p>
      <w:pPr>
        <w:jc w:val="both"/>
        <w:ind w:firstLine="8"/>
        <w:spacing w:after="0" w:line="237" w:lineRule="auto"/>
        <w:tabs>
          <w:tab w:leader="none" w:pos="81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Services</w:t>
      </w:r>
      <w:r>
        <w:rPr>
          <w:rFonts w:ascii="Times New Roman" w:cs="Times New Roman" w:eastAsia="Times New Roman" w:hAnsi="Times New Roman"/>
          <w:sz w:val="22"/>
          <w:szCs w:val="22"/>
          <w:color w:val="auto"/>
        </w:rPr>
        <w:t>.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paragraph of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in the Mt. Pleasant Lease is deleted in its entirety and replaced with the following: “Tenant may not give an Excluded Services Notice for internal maintenance and repair services, except to the extent that such internal maintenance and repair services only affect areas within Building 8 and Building 9 and do not affect (a) any structural portions of the Buildings, including the exterior walls, roof or foundation of the Buildings or (b) the exterior of the Buildings.”</w:t>
      </w:r>
    </w:p>
    <w:p>
      <w:pPr>
        <w:spacing w:after="0" w:line="190" w:lineRule="exact"/>
        <w:rPr>
          <w:rFonts w:ascii="Times New Roman" w:cs="Times New Roman" w:eastAsia="Times New Roman" w:hAnsi="Times New Roman"/>
          <w:sz w:val="22"/>
          <w:szCs w:val="22"/>
          <w:color w:val="auto"/>
        </w:rPr>
      </w:pPr>
    </w:p>
    <w:p>
      <w:pPr>
        <w:jc w:val="both"/>
        <w:ind w:firstLine="8"/>
        <w:spacing w:after="0" w:line="260" w:lineRule="auto"/>
        <w:tabs>
          <w:tab w:leader="none" w:pos="81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Broker</w:t>
      </w:r>
      <w:r>
        <w:rPr>
          <w:rFonts w:ascii="Times New Roman" w:cs="Times New Roman" w:eastAsia="Times New Roman" w:hAnsi="Times New Roman"/>
          <w:sz w:val="21"/>
          <w:szCs w:val="21"/>
          <w:color w:val="auto"/>
        </w:rPr>
        <w:t>. Tenant represents and warrants that it has not dealt with any broker or agent in the negotiation for or the obtaining of this First Amendment, other than Savills Studley, Inc. (“</w:t>
      </w:r>
      <w:r>
        <w:rPr>
          <w:rFonts w:ascii="Times New Roman" w:cs="Times New Roman" w:eastAsia="Times New Roman" w:hAnsi="Times New Roman"/>
          <w:sz w:val="21"/>
          <w:szCs w:val="21"/>
          <w:u w:val="single" w:color="auto"/>
          <w:color w:val="auto"/>
        </w:rPr>
        <w:t>Tenant’s Broker</w:t>
      </w:r>
      <w:r>
        <w:rPr>
          <w:rFonts w:ascii="Times New Roman" w:cs="Times New Roman" w:eastAsia="Times New Roman" w:hAnsi="Times New Roman"/>
          <w:sz w:val="21"/>
          <w:szCs w:val="21"/>
          <w:color w:val="auto"/>
        </w:rPr>
        <w:t>”), and agrees to reimburse, indemnify, save, defend and hold harmless Landlord for, from and against any and all cost or liability for compensation claimed by any such broker or agent, including Tenant’s Broker, employed or engaged by it or claiming to have been employed or engaged by it. Landlord represents and warrants that it has not dealt with any broker or agent in the negotiation for or the obtaining of this First Amendment, other than Matthew McDevitt and Transwestern (collectively, “</w:t>
      </w:r>
      <w:r>
        <w:rPr>
          <w:rFonts w:ascii="Times New Roman" w:cs="Times New Roman" w:eastAsia="Times New Roman" w:hAnsi="Times New Roman"/>
          <w:sz w:val="21"/>
          <w:szCs w:val="21"/>
          <w:u w:val="single" w:color="auto"/>
          <w:color w:val="auto"/>
        </w:rPr>
        <w:t>Landlord’s Broker</w:t>
      </w:r>
      <w:r>
        <w:rPr>
          <w:rFonts w:ascii="Times New Roman" w:cs="Times New Roman" w:eastAsia="Times New Roman" w:hAnsi="Times New Roman"/>
          <w:sz w:val="21"/>
          <w:szCs w:val="21"/>
          <w:color w:val="auto"/>
        </w:rPr>
        <w:t>” and together with Tenant’s Broker, the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and agrees to reimburse, indemnify, save, defend and hold harmless Tenant for, from and against any and all cost or liability for compensation claimed by any such broker or agent employed or engaged by it or claiming to have been employed or engaged by it.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259" w:name="page260"/>
    <w:bookmarkEnd w:id="259"/>
    <w:p>
      <w:pPr>
        <w:jc w:val="both"/>
        <w:ind w:firstLine="8"/>
        <w:spacing w:after="0" w:line="252" w:lineRule="auto"/>
        <w:tabs>
          <w:tab w:leader="none" w:pos="81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Existing Mt. Pleasant Lease and no event has occurred that, with the passage of time or the giving of notice (or both) would constitute a default by either Landlord or Tenant under the Existing Mt. Pleasant Lease.</w:t>
      </w:r>
    </w:p>
    <w:p>
      <w:pPr>
        <w:spacing w:after="0" w:line="179" w:lineRule="exact"/>
        <w:rPr>
          <w:rFonts w:ascii="Times New Roman" w:cs="Times New Roman" w:eastAsia="Times New Roman" w:hAnsi="Times New Roman"/>
          <w:sz w:val="22"/>
          <w:szCs w:val="22"/>
          <w:color w:val="auto"/>
        </w:rPr>
      </w:pPr>
    </w:p>
    <w:p>
      <w:pPr>
        <w:ind w:firstLine="8"/>
        <w:spacing w:after="0" w:line="271" w:lineRule="auto"/>
        <w:tabs>
          <w:tab w:leader="none" w:pos="91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Mt. Pleasant Lease should be sent to:</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Vice President of Facilities.</w:t>
      </w:r>
    </w:p>
    <w:p>
      <w:pPr>
        <w:spacing w:after="0" w:line="236" w:lineRule="exact"/>
        <w:rPr>
          <w:sz w:val="20"/>
          <w:szCs w:val="20"/>
          <w:color w:val="auto"/>
        </w:rPr>
      </w:pPr>
    </w:p>
    <w:p>
      <w:pPr>
        <w:jc w:val="both"/>
        <w:ind w:firstLine="8"/>
        <w:spacing w:after="0" w:line="249" w:lineRule="auto"/>
        <w:tabs>
          <w:tab w:leader="none" w:pos="91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First Amendment, the Existing Mt. Pleasant Lease and all the covenants, agreements, terms, provisions and conditions thereof shall remain in full force and effect and are hereby ratified and affirmed. In the event of any conflict between the terms contained in this First Amendment and the Existing Mt. Pleasant Lease, the terms herein contained shall supersede and control the obligations and liabilities of the parties. From and after the date hereof, the term “Lease,” as used in the Existing Mt. Pleasant Lease, shall mean the Existing Mt. Pleasant Lease, as amended by this First Amendment.</w:t>
      </w:r>
    </w:p>
    <w:p>
      <w:pPr>
        <w:spacing w:after="0" w:line="180" w:lineRule="exact"/>
        <w:rPr>
          <w:rFonts w:ascii="Times New Roman" w:cs="Times New Roman" w:eastAsia="Times New Roman" w:hAnsi="Times New Roman"/>
          <w:sz w:val="22"/>
          <w:szCs w:val="22"/>
          <w:color w:val="auto"/>
        </w:rPr>
      </w:pPr>
    </w:p>
    <w:p>
      <w:pPr>
        <w:jc w:val="both"/>
        <w:ind w:firstLine="8"/>
        <w:spacing w:after="0" w:line="275" w:lineRule="auto"/>
        <w:tabs>
          <w:tab w:leader="none" w:pos="918"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Each of the covenants, conditions and agreements contained in this First Amendment shall inure to the benefit of and shall apply to and be binding upon the parties hereto and their respective permitted successors and assigns. Nothing in this section shall in any way alter the provisions of the Mt. Pleasant Lease restricting assignment or subletting.</w:t>
      </w:r>
    </w:p>
    <w:p>
      <w:pPr>
        <w:spacing w:after="0" w:line="155" w:lineRule="exact"/>
        <w:rPr>
          <w:rFonts w:ascii="Times New Roman" w:cs="Times New Roman" w:eastAsia="Times New Roman" w:hAnsi="Times New Roman"/>
          <w:sz w:val="21"/>
          <w:szCs w:val="21"/>
          <w:color w:val="auto"/>
        </w:rPr>
      </w:pPr>
    </w:p>
    <w:p>
      <w:pPr>
        <w:jc w:val="both"/>
        <w:ind w:firstLine="8"/>
        <w:spacing w:after="0" w:line="249" w:lineRule="auto"/>
        <w:tabs>
          <w:tab w:leader="none" w:pos="91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First Amendment becomes effective only upon execution and delivery hereof by Landlord and Tenant. The captions of the paragraphs and subparagraphs in this First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0" w:lineRule="exact"/>
        <w:rPr>
          <w:rFonts w:ascii="Times New Roman" w:cs="Times New Roman" w:eastAsia="Times New Roman" w:hAnsi="Times New Roman"/>
          <w:sz w:val="22"/>
          <w:szCs w:val="22"/>
          <w:color w:val="auto"/>
        </w:rPr>
      </w:pPr>
    </w:p>
    <w:p>
      <w:pPr>
        <w:jc w:val="both"/>
        <w:ind w:firstLine="8"/>
        <w:spacing w:after="0" w:line="257" w:lineRule="auto"/>
        <w:tabs>
          <w:tab w:leader="none" w:pos="91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Tenant represents, warrants and covenants to Landlord that the individual signing this First Amendment on behalf of Tenant has the power, authority and legal capacity to sign this First Amendment on behalf of and to bind Tenant. Landlord represents, warrants and covenants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260" w:name="page261"/>
    <w:bookmarkEnd w:id="260"/>
    <w:p>
      <w:pPr>
        <w:spacing w:after="0" w:line="271" w:lineRule="auto"/>
        <w:rPr>
          <w:sz w:val="20"/>
          <w:szCs w:val="20"/>
          <w:color w:val="auto"/>
        </w:rPr>
      </w:pPr>
      <w:r>
        <w:rPr>
          <w:rFonts w:ascii="Times New Roman" w:cs="Times New Roman" w:eastAsia="Times New Roman" w:hAnsi="Times New Roman"/>
          <w:sz w:val="22"/>
          <w:szCs w:val="22"/>
          <w:color w:val="auto"/>
        </w:rPr>
        <w:t>Tenant that the individual signing this First Amendment on behalf of Landlord has the power, authority and legal capacity to sign this First Amendment on behalf of and to bind Landlord.</w:t>
      </w:r>
    </w:p>
    <w:p>
      <w:pPr>
        <w:spacing w:after="0" w:line="158" w:lineRule="exact"/>
        <w:rPr>
          <w:sz w:val="20"/>
          <w:szCs w:val="20"/>
          <w:color w:val="auto"/>
        </w:rPr>
      </w:pPr>
    </w:p>
    <w:p>
      <w:pPr>
        <w:jc w:val="both"/>
        <w:ind w:firstLine="8"/>
        <w:spacing w:after="0" w:line="257" w:lineRule="auto"/>
        <w:tabs>
          <w:tab w:leader="none" w:pos="91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and PDF Signatures</w:t>
      </w:r>
      <w:r>
        <w:rPr>
          <w:rFonts w:ascii="Times New Roman" w:cs="Times New Roman" w:eastAsia="Times New Roman" w:hAnsi="Times New Roman"/>
          <w:sz w:val="22"/>
          <w:szCs w:val="22"/>
          <w:color w:val="auto"/>
        </w:rPr>
        <w:t>. This First Amendment may be executed in one or more counterparts, each of which, when taken together, shall constitute one and the same document. A facsimile or portable document format (PDF) signature on this First Amendment shall be equivalent to, and have the same force and effect as, an original signature.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261" w:name="page262"/>
    <w:bookmarkEnd w:id="26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executed this First Amendment as of the date and year first above written.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BMR-LANDMARK AT EASTVIEW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VP, Real Estate Legal</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E. Landry</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E. Landry</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SVP - Finance &amp; CFO</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9" w:right="2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TENANT’S LOAD LETTER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365" w:right="1440"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111111"/>
        </w:rPr>
        <w:t>April 1, 2014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111111"/>
        </w:rPr>
        <w:t>Ms. Tiffany Phipps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111111"/>
        </w:rPr>
        <w:t>BioMed Realty Trust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11111"/>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11111"/>
        </w:rPr>
        <w:t>Tarrytown, NY 10591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111111"/>
        </w:rPr>
        <w:t>RE: Bldg.8&amp;9 Loads and Pipe Sizes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111111"/>
        </w:rPr>
        <w:t>Dear Tiffany</w:t>
      </w:r>
      <w:r>
        <w:rPr>
          <w:rFonts w:ascii="Arial" w:cs="Arial" w:eastAsia="Arial" w:hAnsi="Arial"/>
          <w:sz w:val="16"/>
          <w:szCs w:val="16"/>
          <w:color w:val="3F3F3F"/>
        </w:rPr>
        <w: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111111"/>
        </w:rPr>
        <w:t>Our MEP firm has reviewed Regeneron’s operational parameters and determined the following:</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111111"/>
        </w:rPr>
        <w:t>Following is a summary of the MEP site utility loads for Buildings 8 &amp; 9</w:t>
      </w:r>
      <w:r>
        <w:rPr>
          <w:rFonts w:ascii="Arial" w:cs="Arial" w:eastAsia="Arial" w:hAnsi="Arial"/>
          <w:sz w:val="16"/>
          <w:szCs w:val="16"/>
          <w:color w:val="3F3F3F"/>
        </w:rPr>
        <w:t>.</w:t>
      </w:r>
    </w:p>
    <w:p>
      <w:pPr>
        <w:spacing w:after="0" w:line="100" w:lineRule="exact"/>
        <w:rPr>
          <w:sz w:val="20"/>
          <w:szCs w:val="20"/>
          <w:color w:val="auto"/>
        </w:rPr>
      </w:pPr>
    </w:p>
    <w:p>
      <w:pPr>
        <w:ind w:left="180" w:right="740"/>
        <w:spacing w:after="0" w:line="309" w:lineRule="auto"/>
        <w:rPr>
          <w:sz w:val="20"/>
          <w:szCs w:val="20"/>
          <w:color w:val="auto"/>
        </w:rPr>
      </w:pPr>
      <w:r>
        <w:rPr>
          <w:rFonts w:ascii="Arial" w:cs="Arial" w:eastAsia="Arial" w:hAnsi="Arial"/>
          <w:sz w:val="16"/>
          <w:szCs w:val="16"/>
          <w:b w:val="1"/>
          <w:bCs w:val="1"/>
          <w:i w:val="1"/>
          <w:iCs w:val="1"/>
          <w:color w:val="111111"/>
        </w:rPr>
        <w:t xml:space="preserve">Note: </w:t>
      </w:r>
      <w:r>
        <w:rPr>
          <w:rFonts w:ascii="Arial" w:cs="Arial" w:eastAsia="Arial" w:hAnsi="Arial"/>
          <w:sz w:val="16"/>
          <w:szCs w:val="16"/>
          <w:color w:val="111111"/>
        </w:rPr>
        <w:t>These loads are based upon</w:t>
      </w:r>
      <w:r>
        <w:rPr>
          <w:rFonts w:ascii="Arial" w:cs="Arial" w:eastAsia="Arial" w:hAnsi="Arial"/>
          <w:sz w:val="16"/>
          <w:szCs w:val="16"/>
          <w:b w:val="1"/>
          <w:bCs w:val="1"/>
          <w:i w:val="1"/>
          <w:iCs w:val="1"/>
          <w:color w:val="111111"/>
        </w:rPr>
        <w:t xml:space="preserve"> </w:t>
      </w:r>
      <w:r>
        <w:rPr>
          <w:rFonts w:ascii="Arial" w:cs="Arial" w:eastAsia="Arial" w:hAnsi="Arial"/>
          <w:sz w:val="16"/>
          <w:szCs w:val="16"/>
          <w:color w:val="262626"/>
        </w:rPr>
        <w:t>the</w:t>
      </w:r>
      <w:r>
        <w:rPr>
          <w:rFonts w:ascii="Arial" w:cs="Arial" w:eastAsia="Arial" w:hAnsi="Arial"/>
          <w:sz w:val="16"/>
          <w:szCs w:val="16"/>
          <w:b w:val="1"/>
          <w:bCs w:val="1"/>
          <w:i w:val="1"/>
          <w:iCs w:val="1"/>
          <w:color w:val="111111"/>
        </w:rPr>
        <w:t xml:space="preserve"> </w:t>
      </w:r>
      <w:r>
        <w:rPr>
          <w:rFonts w:ascii="Arial" w:cs="Arial" w:eastAsia="Arial" w:hAnsi="Arial"/>
          <w:sz w:val="16"/>
          <w:szCs w:val="16"/>
          <w:color w:val="111111"/>
        </w:rPr>
        <w:t>programming efforts to date and are subject to more refinemen</w:t>
      </w:r>
      <w:r>
        <w:rPr>
          <w:rFonts w:ascii="Arial" w:cs="Arial" w:eastAsia="Arial" w:hAnsi="Arial"/>
          <w:sz w:val="16"/>
          <w:szCs w:val="16"/>
          <w:color w:val="3F3F3F"/>
        </w:rPr>
        <w:t>t</w:t>
      </w:r>
      <w:r>
        <w:rPr>
          <w:rFonts w:ascii="Arial" w:cs="Arial" w:eastAsia="Arial" w:hAnsi="Arial"/>
          <w:sz w:val="16"/>
          <w:szCs w:val="16"/>
          <w:b w:val="1"/>
          <w:bCs w:val="1"/>
          <w:i w:val="1"/>
          <w:iCs w:val="1"/>
          <w:color w:val="111111"/>
        </w:rPr>
        <w:t xml:space="preserve"> </w:t>
      </w:r>
      <w:r>
        <w:rPr>
          <w:rFonts w:ascii="Arial" w:cs="Arial" w:eastAsia="Arial" w:hAnsi="Arial"/>
          <w:sz w:val="16"/>
          <w:szCs w:val="16"/>
          <w:color w:val="111111"/>
        </w:rPr>
        <w:t>as the project moves through more detailed</w:t>
      </w:r>
      <w:r>
        <w:rPr>
          <w:rFonts w:ascii="Arial" w:cs="Arial" w:eastAsia="Arial" w:hAnsi="Arial"/>
          <w:sz w:val="16"/>
          <w:szCs w:val="16"/>
          <w:b w:val="1"/>
          <w:bCs w:val="1"/>
          <w:i w:val="1"/>
          <w:iCs w:val="1"/>
          <w:color w:val="111111"/>
        </w:rPr>
        <w:t xml:space="preserve"> </w:t>
      </w:r>
      <w:r>
        <w:rPr>
          <w:rFonts w:ascii="Arial" w:cs="Arial" w:eastAsia="Arial" w:hAnsi="Arial"/>
          <w:sz w:val="16"/>
          <w:szCs w:val="16"/>
          <w:color w:val="111111"/>
        </w:rPr>
        <w:t xml:space="preserve">engineering calculations and project </w:t>
      </w:r>
      <w:r>
        <w:rPr>
          <w:rFonts w:ascii="Arial" w:cs="Arial" w:eastAsia="Arial" w:hAnsi="Arial"/>
          <w:sz w:val="16"/>
          <w:szCs w:val="16"/>
          <w:color w:val="262626"/>
        </w:rPr>
        <w:t>evolvement.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111111"/>
        </w:rPr>
        <w:t>Building 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4B4B4B"/>
            </w:tcBorders>
          </w:tcPr>
          <w:p>
            <w:pPr>
              <w:spacing w:after="0"/>
              <w:rPr>
                <w:sz w:val="21"/>
                <w:szCs w:val="21"/>
                <w:color w:val="auto"/>
              </w:rPr>
            </w:pPr>
          </w:p>
        </w:tc>
        <w:tc>
          <w:tcPr>
            <w:tcW w:w="4800" w:type="dxa"/>
            <w:vAlign w:val="bottom"/>
            <w:tcBorders>
              <w:top w:val="single" w:sz="8" w:color="4B4F4F"/>
              <w:bottom w:val="single" w:sz="8" w:color="4B4F4F"/>
              <w:right w:val="single" w:sz="8" w:color="484848"/>
            </w:tcBorders>
          </w:tcPr>
          <w:p>
            <w:pPr>
              <w:ind w:left="20"/>
              <w:spacing w:after="0"/>
              <w:rPr>
                <w:sz w:val="20"/>
                <w:szCs w:val="20"/>
                <w:color w:val="auto"/>
              </w:rPr>
            </w:pPr>
            <w:r>
              <w:rPr>
                <w:rFonts w:ascii="Arial" w:cs="Arial" w:eastAsia="Arial" w:hAnsi="Arial"/>
                <w:sz w:val="16"/>
                <w:szCs w:val="16"/>
                <w:color w:val="3F3F3F"/>
              </w:rPr>
              <w:t xml:space="preserve">ElectricalPower </w:t>
            </w:r>
            <w:r>
              <w:rPr>
                <w:rFonts w:ascii="Arial" w:cs="Arial" w:eastAsia="Arial" w:hAnsi="Arial"/>
                <w:sz w:val="16"/>
                <w:szCs w:val="16"/>
                <w:color w:val="505252"/>
              </w:rPr>
              <w:t>SUQQ!y</w:t>
            </w:r>
          </w:p>
        </w:tc>
        <w:tc>
          <w:tcPr>
            <w:tcW w:w="400" w:type="dxa"/>
            <w:vAlign w:val="bottom"/>
            <w:tcBorders>
              <w:top w:val="single" w:sz="8" w:color="4B4F4F"/>
              <w:bottom w:val="single" w:sz="8" w:color="4B4F4F"/>
            </w:tcBorders>
          </w:tcPr>
          <w:p>
            <w:pPr>
              <w:ind w:left="20"/>
              <w:spacing w:after="0"/>
              <w:rPr>
                <w:sz w:val="20"/>
                <w:szCs w:val="20"/>
                <w:color w:val="auto"/>
              </w:rPr>
            </w:pPr>
            <w:r>
              <w:rPr>
                <w:rFonts w:ascii="Arial" w:cs="Arial" w:eastAsia="Arial" w:hAnsi="Arial"/>
                <w:sz w:val="16"/>
                <w:szCs w:val="16"/>
                <w:color w:val="3F3F3F"/>
              </w:rPr>
              <w:t>1500</w:t>
            </w:r>
          </w:p>
        </w:tc>
        <w:tc>
          <w:tcPr>
            <w:tcW w:w="1980" w:type="dxa"/>
            <w:vAlign w:val="bottom"/>
            <w:tcBorders>
              <w:top w:val="single" w:sz="8" w:color="4B4F4F"/>
              <w:bottom w:val="single" w:sz="8" w:color="4B4F4F"/>
            </w:tcBorders>
          </w:tcPr>
          <w:p>
            <w:pPr>
              <w:ind w:left="20"/>
              <w:spacing w:after="0"/>
              <w:rPr>
                <w:sz w:val="20"/>
                <w:szCs w:val="20"/>
                <w:color w:val="auto"/>
              </w:rPr>
            </w:pPr>
            <w:r>
              <w:rPr>
                <w:rFonts w:ascii="Arial" w:cs="Arial" w:eastAsia="Arial" w:hAnsi="Arial"/>
                <w:sz w:val="16"/>
                <w:szCs w:val="16"/>
                <w:color w:val="3F3F3F"/>
              </w:rPr>
              <w:t>KVA**</w:t>
            </w:r>
          </w:p>
        </w:tc>
        <w:tc>
          <w:tcPr>
            <w:tcW w:w="120" w:type="dxa"/>
            <w:vAlign w:val="bottom"/>
            <w:tcBorders>
              <w:top w:val="single" w:sz="8" w:color="4B4F4F"/>
              <w:bottom w:val="single" w:sz="8" w:color="4B4F4F"/>
              <w:right w:val="single" w:sz="8" w:color="4B4F4F"/>
            </w:tcBorders>
          </w:tcPr>
          <w:p>
            <w:pPr>
              <w:spacing w:after="0"/>
              <w:rPr>
                <w:sz w:val="21"/>
                <w:szCs w:val="21"/>
                <w:color w:val="auto"/>
              </w:rPr>
            </w:pPr>
          </w:p>
        </w:tc>
        <w:tc>
          <w:tcPr>
            <w:tcW w:w="4100" w:type="dxa"/>
            <w:vAlign w:val="bottom"/>
            <w:tcBorders>
              <w:top w:val="single" w:sz="8" w:color="4B4F4F"/>
              <w:bottom w:val="single" w:sz="8" w:color="4B4F4F"/>
              <w:right w:val="single" w:sz="8" w:color="484B4B"/>
            </w:tcBorders>
          </w:tcPr>
          <w:p>
            <w:pPr>
              <w:ind w:left="20"/>
              <w:spacing w:after="0"/>
              <w:rPr>
                <w:sz w:val="20"/>
                <w:szCs w:val="20"/>
                <w:color w:val="auto"/>
              </w:rPr>
            </w:pPr>
            <w:r>
              <w:rPr>
                <w:rFonts w:ascii="Arial" w:cs="Arial" w:eastAsia="Arial" w:hAnsi="Arial"/>
                <w:sz w:val="16"/>
                <w:szCs w:val="16"/>
                <w:color w:val="3F3F3F"/>
              </w:rPr>
              <w:t>Demand Load</w:t>
            </w:r>
          </w:p>
        </w:tc>
      </w:tr>
      <w:tr>
        <w:trPr>
          <w:trHeight w:val="228"/>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Chilled Water_{no heat recovery)</w:t>
            </w:r>
          </w:p>
        </w:tc>
        <w:tc>
          <w:tcPr>
            <w:tcW w:w="2380" w:type="dxa"/>
            <w:vAlign w:val="bottom"/>
            <w:gridSpan w:val="2"/>
          </w:tcPr>
          <w:p>
            <w:pPr>
              <w:ind w:left="20"/>
              <w:spacing w:after="0"/>
              <w:rPr>
                <w:sz w:val="20"/>
                <w:szCs w:val="20"/>
                <w:color w:val="auto"/>
              </w:rPr>
            </w:pPr>
            <w:r>
              <w:rPr>
                <w:rFonts w:ascii="Arial" w:cs="Arial" w:eastAsia="Arial" w:hAnsi="Arial"/>
                <w:sz w:val="16"/>
                <w:szCs w:val="16"/>
                <w:color w:val="3F3F3F"/>
              </w:rPr>
              <w:t>675 Tons</w:t>
            </w:r>
          </w:p>
        </w:tc>
        <w:tc>
          <w:tcPr>
            <w:tcW w:w="120" w:type="dxa"/>
            <w:vAlign w:val="bottom"/>
            <w:tcBorders>
              <w:right w:val="single" w:sz="8" w:color="4B4F4F"/>
            </w:tcBorders>
          </w:tcPr>
          <w:p>
            <w:pPr>
              <w:spacing w:after="0"/>
              <w:rPr>
                <w:sz w:val="19"/>
                <w:szCs w:val="19"/>
                <w:color w:val="auto"/>
              </w:rPr>
            </w:pPr>
          </w:p>
        </w:tc>
        <w:tc>
          <w:tcPr>
            <w:tcW w:w="4100" w:type="dxa"/>
            <w:vAlign w:val="bottom"/>
            <w:tcBorders>
              <w:right w:val="single" w:sz="8" w:color="484B4B"/>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F5454"/>
              <w:right w:val="single" w:sz="8" w:color="484848"/>
            </w:tcBorders>
          </w:tcPr>
          <w:p>
            <w:pPr>
              <w:spacing w:after="0"/>
              <w:rPr>
                <w:sz w:val="3"/>
                <w:szCs w:val="3"/>
                <w:color w:val="auto"/>
              </w:rPr>
            </w:pPr>
          </w:p>
        </w:tc>
        <w:tc>
          <w:tcPr>
            <w:tcW w:w="2380" w:type="dxa"/>
            <w:vAlign w:val="bottom"/>
            <w:tcBorders>
              <w:bottom w:val="single" w:sz="8" w:color="4F5454"/>
            </w:tcBorders>
            <w:gridSpan w:val="2"/>
          </w:tcPr>
          <w:p>
            <w:pPr>
              <w:spacing w:after="0"/>
              <w:rPr>
                <w:sz w:val="3"/>
                <w:szCs w:val="3"/>
                <w:color w:val="auto"/>
              </w:rPr>
            </w:pPr>
          </w:p>
        </w:tc>
        <w:tc>
          <w:tcPr>
            <w:tcW w:w="120" w:type="dxa"/>
            <w:vAlign w:val="bottom"/>
            <w:tcBorders>
              <w:bottom w:val="single" w:sz="8" w:color="4F5454"/>
              <w:right w:val="single" w:sz="8" w:color="4B4F4F"/>
            </w:tcBorders>
          </w:tcPr>
          <w:p>
            <w:pPr>
              <w:spacing w:after="0"/>
              <w:rPr>
                <w:sz w:val="3"/>
                <w:szCs w:val="3"/>
                <w:color w:val="auto"/>
              </w:rPr>
            </w:pPr>
          </w:p>
        </w:tc>
        <w:tc>
          <w:tcPr>
            <w:tcW w:w="4100" w:type="dxa"/>
            <w:vAlign w:val="bottom"/>
            <w:tcBorders>
              <w:bottom w:val="single" w:sz="8" w:color="4F5454"/>
              <w:right w:val="single" w:sz="8" w:color="484B4B"/>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Chilled Water</w:t>
            </w:r>
            <w:r>
              <w:rPr>
                <w:rFonts w:ascii="Arial" w:cs="Arial" w:eastAsia="Arial" w:hAnsi="Arial"/>
                <w:sz w:val="16"/>
                <w:szCs w:val="16"/>
                <w:color w:val="505252"/>
              </w:rPr>
              <w:t>lwith</w:t>
            </w:r>
            <w:r>
              <w:rPr>
                <w:rFonts w:ascii="Arial" w:cs="Arial" w:eastAsia="Arial" w:hAnsi="Arial"/>
                <w:sz w:val="16"/>
                <w:szCs w:val="16"/>
                <w:color w:val="3F3F3F"/>
              </w:rPr>
              <w:t xml:space="preserve"> heat </w:t>
            </w:r>
            <w:r>
              <w:rPr>
                <w:rFonts w:ascii="Arial" w:cs="Arial" w:eastAsia="Arial" w:hAnsi="Arial"/>
                <w:sz w:val="16"/>
                <w:szCs w:val="16"/>
                <w:color w:val="505252"/>
              </w:rPr>
              <w:t>recovery)</w:t>
            </w:r>
          </w:p>
        </w:tc>
        <w:tc>
          <w:tcPr>
            <w:tcW w:w="2380" w:type="dxa"/>
            <w:vAlign w:val="bottom"/>
            <w:gridSpan w:val="2"/>
          </w:tcPr>
          <w:p>
            <w:pPr>
              <w:ind w:left="20"/>
              <w:spacing w:after="0"/>
              <w:rPr>
                <w:sz w:val="20"/>
                <w:szCs w:val="20"/>
                <w:color w:val="auto"/>
              </w:rPr>
            </w:pPr>
            <w:r>
              <w:rPr>
                <w:rFonts w:ascii="Arial" w:cs="Arial" w:eastAsia="Arial" w:hAnsi="Arial"/>
                <w:sz w:val="16"/>
                <w:szCs w:val="16"/>
                <w:color w:val="3F3F3F"/>
              </w:rPr>
              <w:t>642Tons</w:t>
            </w:r>
          </w:p>
        </w:tc>
        <w:tc>
          <w:tcPr>
            <w:tcW w:w="120" w:type="dxa"/>
            <w:vAlign w:val="bottom"/>
            <w:tcBorders>
              <w:right w:val="single" w:sz="8" w:color="4B4F4F"/>
            </w:tcBorders>
          </w:tcPr>
          <w:p>
            <w:pPr>
              <w:spacing w:after="0"/>
              <w:rPr>
                <w:sz w:val="19"/>
                <w:szCs w:val="19"/>
                <w:color w:val="auto"/>
              </w:rPr>
            </w:pPr>
          </w:p>
        </w:tc>
        <w:tc>
          <w:tcPr>
            <w:tcW w:w="4100" w:type="dxa"/>
            <w:vAlign w:val="bottom"/>
            <w:tcBorders>
              <w:right w:val="single" w:sz="8" w:color="484B4B"/>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F4F4F"/>
              <w:right w:val="single" w:sz="8" w:color="484848"/>
            </w:tcBorders>
          </w:tcPr>
          <w:p>
            <w:pPr>
              <w:spacing w:after="0"/>
              <w:rPr>
                <w:sz w:val="3"/>
                <w:szCs w:val="3"/>
                <w:color w:val="auto"/>
              </w:rPr>
            </w:pPr>
          </w:p>
        </w:tc>
        <w:tc>
          <w:tcPr>
            <w:tcW w:w="2380" w:type="dxa"/>
            <w:vAlign w:val="bottom"/>
            <w:tcBorders>
              <w:bottom w:val="single" w:sz="8" w:color="4F4F4F"/>
            </w:tcBorders>
            <w:gridSpan w:val="2"/>
          </w:tcPr>
          <w:p>
            <w:pPr>
              <w:spacing w:after="0"/>
              <w:rPr>
                <w:sz w:val="3"/>
                <w:szCs w:val="3"/>
                <w:color w:val="auto"/>
              </w:rPr>
            </w:pPr>
          </w:p>
        </w:tc>
        <w:tc>
          <w:tcPr>
            <w:tcW w:w="120" w:type="dxa"/>
            <w:vAlign w:val="bottom"/>
            <w:tcBorders>
              <w:bottom w:val="single" w:sz="8" w:color="4F4F4F"/>
              <w:right w:val="single" w:sz="8" w:color="4B4F4F"/>
            </w:tcBorders>
          </w:tcPr>
          <w:p>
            <w:pPr>
              <w:spacing w:after="0"/>
              <w:rPr>
                <w:sz w:val="3"/>
                <w:szCs w:val="3"/>
                <w:color w:val="auto"/>
              </w:rPr>
            </w:pPr>
          </w:p>
        </w:tc>
        <w:tc>
          <w:tcPr>
            <w:tcW w:w="4100" w:type="dxa"/>
            <w:vAlign w:val="bottom"/>
            <w:tcBorders>
              <w:bottom w:val="single" w:sz="8" w:color="4F4F4F"/>
              <w:right w:val="single" w:sz="8" w:color="484B4B"/>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Wastewater</w:t>
            </w:r>
          </w:p>
        </w:tc>
        <w:tc>
          <w:tcPr>
            <w:tcW w:w="2380" w:type="dxa"/>
            <w:vAlign w:val="bottom"/>
            <w:gridSpan w:val="2"/>
          </w:tcPr>
          <w:p>
            <w:pPr>
              <w:ind w:left="20"/>
              <w:spacing w:after="0"/>
              <w:rPr>
                <w:sz w:val="20"/>
                <w:szCs w:val="20"/>
                <w:color w:val="auto"/>
              </w:rPr>
            </w:pPr>
            <w:r>
              <w:rPr>
                <w:rFonts w:ascii="Arial" w:cs="Arial" w:eastAsia="Arial" w:hAnsi="Arial"/>
                <w:sz w:val="16"/>
                <w:szCs w:val="16"/>
                <w:color w:val="505252"/>
              </w:rPr>
              <w:t xml:space="preserve">7500 </w:t>
            </w:r>
            <w:r>
              <w:rPr>
                <w:rFonts w:ascii="Arial" w:cs="Arial" w:eastAsia="Arial" w:hAnsi="Arial"/>
                <w:sz w:val="16"/>
                <w:szCs w:val="16"/>
                <w:color w:val="3F3F3F"/>
              </w:rPr>
              <w:t>GPO</w:t>
            </w:r>
          </w:p>
        </w:tc>
        <w:tc>
          <w:tcPr>
            <w:tcW w:w="120" w:type="dxa"/>
            <w:vAlign w:val="bottom"/>
            <w:tcBorders>
              <w:right w:val="single" w:sz="8" w:color="4B4F4F"/>
            </w:tcBorders>
          </w:tcPr>
          <w:p>
            <w:pPr>
              <w:spacing w:after="0"/>
              <w:rPr>
                <w:sz w:val="19"/>
                <w:szCs w:val="19"/>
                <w:color w:val="auto"/>
              </w:rPr>
            </w:pPr>
          </w:p>
        </w:tc>
        <w:tc>
          <w:tcPr>
            <w:tcW w:w="4100" w:type="dxa"/>
            <w:vAlign w:val="bottom"/>
            <w:tcBorders>
              <w:right w:val="single" w:sz="8" w:color="484B4B"/>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B4B4B"/>
              <w:right w:val="single" w:sz="8" w:color="484848"/>
            </w:tcBorders>
          </w:tcPr>
          <w:p>
            <w:pPr>
              <w:spacing w:after="0"/>
              <w:rPr>
                <w:sz w:val="3"/>
                <w:szCs w:val="3"/>
                <w:color w:val="auto"/>
              </w:rPr>
            </w:pPr>
          </w:p>
        </w:tc>
        <w:tc>
          <w:tcPr>
            <w:tcW w:w="2380" w:type="dxa"/>
            <w:vAlign w:val="bottom"/>
            <w:tcBorders>
              <w:bottom w:val="single" w:sz="8" w:color="4B4B4B"/>
            </w:tcBorders>
            <w:gridSpan w:val="2"/>
          </w:tcPr>
          <w:p>
            <w:pPr>
              <w:spacing w:after="0"/>
              <w:rPr>
                <w:sz w:val="3"/>
                <w:szCs w:val="3"/>
                <w:color w:val="auto"/>
              </w:rPr>
            </w:pPr>
          </w:p>
        </w:tc>
        <w:tc>
          <w:tcPr>
            <w:tcW w:w="120" w:type="dxa"/>
            <w:vAlign w:val="bottom"/>
            <w:tcBorders>
              <w:bottom w:val="single" w:sz="8" w:color="4B4B4B"/>
              <w:right w:val="single" w:sz="8" w:color="4B4F4F"/>
            </w:tcBorders>
          </w:tcPr>
          <w:p>
            <w:pPr>
              <w:spacing w:after="0"/>
              <w:rPr>
                <w:sz w:val="3"/>
                <w:szCs w:val="3"/>
                <w:color w:val="auto"/>
              </w:rPr>
            </w:pPr>
          </w:p>
        </w:tc>
        <w:tc>
          <w:tcPr>
            <w:tcW w:w="4100" w:type="dxa"/>
            <w:vAlign w:val="bottom"/>
            <w:tcBorders>
              <w:bottom w:val="single" w:sz="8" w:color="4B4B4B"/>
              <w:right w:val="single" w:sz="8" w:color="484B4B"/>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Water</w:t>
            </w:r>
          </w:p>
        </w:tc>
        <w:tc>
          <w:tcPr>
            <w:tcW w:w="2380" w:type="dxa"/>
            <w:vAlign w:val="bottom"/>
            <w:gridSpan w:val="2"/>
          </w:tcPr>
          <w:p>
            <w:pPr>
              <w:ind w:left="20"/>
              <w:spacing w:after="0"/>
              <w:rPr>
                <w:sz w:val="20"/>
                <w:szCs w:val="20"/>
                <w:color w:val="auto"/>
              </w:rPr>
            </w:pPr>
            <w:r>
              <w:rPr>
                <w:rFonts w:ascii="Arial" w:cs="Arial" w:eastAsia="Arial" w:hAnsi="Arial"/>
                <w:sz w:val="16"/>
                <w:szCs w:val="16"/>
                <w:color w:val="505252"/>
              </w:rPr>
              <w:t xml:space="preserve">7500 </w:t>
            </w:r>
            <w:r>
              <w:rPr>
                <w:rFonts w:ascii="Arial" w:cs="Arial" w:eastAsia="Arial" w:hAnsi="Arial"/>
                <w:sz w:val="16"/>
                <w:szCs w:val="16"/>
                <w:color w:val="3F3F3F"/>
              </w:rPr>
              <w:t>GPO</w:t>
            </w:r>
          </w:p>
        </w:tc>
        <w:tc>
          <w:tcPr>
            <w:tcW w:w="120" w:type="dxa"/>
            <w:vAlign w:val="bottom"/>
            <w:tcBorders>
              <w:right w:val="single" w:sz="8" w:color="4B4F4F"/>
            </w:tcBorders>
          </w:tcPr>
          <w:p>
            <w:pPr>
              <w:spacing w:after="0"/>
              <w:rPr>
                <w:sz w:val="19"/>
                <w:szCs w:val="19"/>
                <w:color w:val="auto"/>
              </w:rPr>
            </w:pPr>
          </w:p>
        </w:tc>
        <w:tc>
          <w:tcPr>
            <w:tcW w:w="4100" w:type="dxa"/>
            <w:vAlign w:val="bottom"/>
            <w:tcBorders>
              <w:right w:val="single" w:sz="8" w:color="484B4B"/>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B4B4B"/>
              <w:right w:val="single" w:sz="8" w:color="484848"/>
            </w:tcBorders>
          </w:tcPr>
          <w:p>
            <w:pPr>
              <w:spacing w:after="0"/>
              <w:rPr>
                <w:sz w:val="3"/>
                <w:szCs w:val="3"/>
                <w:color w:val="auto"/>
              </w:rPr>
            </w:pPr>
          </w:p>
        </w:tc>
        <w:tc>
          <w:tcPr>
            <w:tcW w:w="2380" w:type="dxa"/>
            <w:vAlign w:val="bottom"/>
            <w:tcBorders>
              <w:bottom w:val="single" w:sz="8" w:color="4B4B4B"/>
            </w:tcBorders>
            <w:gridSpan w:val="2"/>
          </w:tcPr>
          <w:p>
            <w:pPr>
              <w:spacing w:after="0"/>
              <w:rPr>
                <w:sz w:val="3"/>
                <w:szCs w:val="3"/>
                <w:color w:val="auto"/>
              </w:rPr>
            </w:pPr>
          </w:p>
        </w:tc>
        <w:tc>
          <w:tcPr>
            <w:tcW w:w="120" w:type="dxa"/>
            <w:vAlign w:val="bottom"/>
            <w:tcBorders>
              <w:bottom w:val="single" w:sz="8" w:color="4B4B4B"/>
              <w:right w:val="single" w:sz="8" w:color="4B4F4F"/>
            </w:tcBorders>
          </w:tcPr>
          <w:p>
            <w:pPr>
              <w:spacing w:after="0"/>
              <w:rPr>
                <w:sz w:val="3"/>
                <w:szCs w:val="3"/>
                <w:color w:val="auto"/>
              </w:rPr>
            </w:pPr>
          </w:p>
        </w:tc>
        <w:tc>
          <w:tcPr>
            <w:tcW w:w="4100" w:type="dxa"/>
            <w:vAlign w:val="bottom"/>
            <w:tcBorders>
              <w:bottom w:val="single" w:sz="8" w:color="4B4B4B"/>
              <w:right w:val="single" w:sz="8" w:color="484B4B"/>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Natural Gas</w:t>
            </w:r>
          </w:p>
        </w:tc>
        <w:tc>
          <w:tcPr>
            <w:tcW w:w="2380" w:type="dxa"/>
            <w:vAlign w:val="bottom"/>
            <w:gridSpan w:val="2"/>
          </w:tcPr>
          <w:p>
            <w:pPr>
              <w:ind w:left="20"/>
              <w:spacing w:after="0"/>
              <w:rPr>
                <w:sz w:val="20"/>
                <w:szCs w:val="20"/>
                <w:color w:val="auto"/>
              </w:rPr>
            </w:pPr>
            <w:r>
              <w:rPr>
                <w:rFonts w:ascii="Arial" w:cs="Arial" w:eastAsia="Arial" w:hAnsi="Arial"/>
                <w:sz w:val="16"/>
                <w:szCs w:val="16"/>
                <w:color w:val="3F3F3F"/>
              </w:rPr>
              <w:t>7,200,000 Btuh</w:t>
            </w:r>
          </w:p>
        </w:tc>
        <w:tc>
          <w:tcPr>
            <w:tcW w:w="120" w:type="dxa"/>
            <w:vAlign w:val="bottom"/>
            <w:tcBorders>
              <w:right w:val="single" w:sz="8" w:color="4B4F4F"/>
            </w:tcBorders>
          </w:tcPr>
          <w:p>
            <w:pPr>
              <w:spacing w:after="0"/>
              <w:rPr>
                <w:sz w:val="19"/>
                <w:szCs w:val="19"/>
                <w:color w:val="auto"/>
              </w:rPr>
            </w:pPr>
          </w:p>
        </w:tc>
        <w:tc>
          <w:tcPr>
            <w:tcW w:w="4100" w:type="dxa"/>
            <w:vAlign w:val="bottom"/>
            <w:tcBorders>
              <w:right w:val="single" w:sz="8" w:color="484B4B"/>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B4F54"/>
              <w:right w:val="single" w:sz="8" w:color="484848"/>
            </w:tcBorders>
          </w:tcPr>
          <w:p>
            <w:pPr>
              <w:spacing w:after="0"/>
              <w:rPr>
                <w:sz w:val="3"/>
                <w:szCs w:val="3"/>
                <w:color w:val="auto"/>
              </w:rPr>
            </w:pPr>
          </w:p>
        </w:tc>
        <w:tc>
          <w:tcPr>
            <w:tcW w:w="400" w:type="dxa"/>
            <w:vAlign w:val="bottom"/>
            <w:tcBorders>
              <w:bottom w:val="single" w:sz="8" w:color="4B4F54"/>
            </w:tcBorders>
          </w:tcPr>
          <w:p>
            <w:pPr>
              <w:spacing w:after="0"/>
              <w:rPr>
                <w:sz w:val="3"/>
                <w:szCs w:val="3"/>
                <w:color w:val="auto"/>
              </w:rPr>
            </w:pPr>
          </w:p>
        </w:tc>
        <w:tc>
          <w:tcPr>
            <w:tcW w:w="1980" w:type="dxa"/>
            <w:vAlign w:val="bottom"/>
            <w:tcBorders>
              <w:bottom w:val="single" w:sz="8" w:color="4B4F54"/>
            </w:tcBorders>
          </w:tcPr>
          <w:p>
            <w:pPr>
              <w:spacing w:after="0"/>
              <w:rPr>
                <w:sz w:val="3"/>
                <w:szCs w:val="3"/>
                <w:color w:val="auto"/>
              </w:rPr>
            </w:pPr>
          </w:p>
        </w:tc>
        <w:tc>
          <w:tcPr>
            <w:tcW w:w="120" w:type="dxa"/>
            <w:vAlign w:val="bottom"/>
            <w:tcBorders>
              <w:bottom w:val="single" w:sz="8" w:color="4B4F54"/>
              <w:right w:val="single" w:sz="8" w:color="4B4F4F"/>
            </w:tcBorders>
          </w:tcPr>
          <w:p>
            <w:pPr>
              <w:spacing w:after="0"/>
              <w:rPr>
                <w:sz w:val="3"/>
                <w:szCs w:val="3"/>
                <w:color w:val="auto"/>
              </w:rPr>
            </w:pPr>
          </w:p>
        </w:tc>
        <w:tc>
          <w:tcPr>
            <w:tcW w:w="4100" w:type="dxa"/>
            <w:vAlign w:val="bottom"/>
            <w:tcBorders>
              <w:bottom w:val="single" w:sz="8" w:color="4B4F54"/>
              <w:right w:val="single" w:sz="8" w:color="484B4B"/>
            </w:tcBorders>
          </w:tcPr>
          <w:p>
            <w:pPr>
              <w:spacing w:after="0"/>
              <w:rPr>
                <w:sz w:val="3"/>
                <w:szCs w:val="3"/>
                <w:color w:val="auto"/>
              </w:rPr>
            </w:pPr>
          </w:p>
        </w:tc>
      </w:tr>
      <w:tr>
        <w:trPr>
          <w:trHeight w:val="370"/>
        </w:trPr>
        <w:tc>
          <w:tcPr>
            <w:tcW w:w="4840" w:type="dxa"/>
            <w:vAlign w:val="bottom"/>
            <w:gridSpan w:val="2"/>
          </w:tcPr>
          <w:p>
            <w:pPr>
              <w:spacing w:after="0"/>
              <w:rPr>
                <w:sz w:val="20"/>
                <w:szCs w:val="20"/>
                <w:color w:val="auto"/>
              </w:rPr>
            </w:pPr>
            <w:r>
              <w:rPr>
                <w:rFonts w:ascii="Arial" w:cs="Arial" w:eastAsia="Arial" w:hAnsi="Arial"/>
                <w:sz w:val="16"/>
                <w:szCs w:val="16"/>
                <w:color w:val="111111"/>
              </w:rPr>
              <w:t>Building 9</w:t>
            </w: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24"/>
        </w:trPr>
        <w:tc>
          <w:tcPr>
            <w:tcW w:w="40" w:type="dxa"/>
            <w:vAlign w:val="bottom"/>
          </w:tcPr>
          <w:p>
            <w:pPr>
              <w:spacing w:after="0"/>
              <w:rPr>
                <w:sz w:val="10"/>
                <w:szCs w:val="10"/>
                <w:color w:val="auto"/>
              </w:rPr>
            </w:pPr>
          </w:p>
        </w:tc>
        <w:tc>
          <w:tcPr>
            <w:tcW w:w="4800" w:type="dxa"/>
            <w:vAlign w:val="bottom"/>
            <w:tcBorders>
              <w:bottom w:val="single" w:sz="8" w:color="4B4B4B"/>
            </w:tcBorders>
          </w:tcPr>
          <w:p>
            <w:pPr>
              <w:spacing w:after="0"/>
              <w:rPr>
                <w:sz w:val="10"/>
                <w:szCs w:val="10"/>
                <w:color w:val="auto"/>
              </w:rPr>
            </w:pPr>
          </w:p>
        </w:tc>
        <w:tc>
          <w:tcPr>
            <w:tcW w:w="400" w:type="dxa"/>
            <w:vAlign w:val="bottom"/>
            <w:tcBorders>
              <w:bottom w:val="single" w:sz="8" w:color="4B4B4B"/>
            </w:tcBorders>
          </w:tcPr>
          <w:p>
            <w:pPr>
              <w:spacing w:after="0"/>
              <w:rPr>
                <w:sz w:val="10"/>
                <w:szCs w:val="10"/>
                <w:color w:val="auto"/>
              </w:rPr>
            </w:pPr>
          </w:p>
        </w:tc>
        <w:tc>
          <w:tcPr>
            <w:tcW w:w="1980" w:type="dxa"/>
            <w:vAlign w:val="bottom"/>
            <w:tcBorders>
              <w:bottom w:val="single" w:sz="8" w:color="4B4B4B"/>
            </w:tcBorders>
          </w:tcPr>
          <w:p>
            <w:pPr>
              <w:spacing w:after="0"/>
              <w:rPr>
                <w:sz w:val="10"/>
                <w:szCs w:val="10"/>
                <w:color w:val="auto"/>
              </w:rPr>
            </w:pPr>
          </w:p>
        </w:tc>
        <w:tc>
          <w:tcPr>
            <w:tcW w:w="4220" w:type="dxa"/>
            <w:vAlign w:val="bottom"/>
            <w:tcBorders>
              <w:bottom w:val="single" w:sz="8" w:color="4B4B4B"/>
            </w:tcBorders>
            <w:gridSpan w:val="2"/>
          </w:tcPr>
          <w:p>
            <w:pPr>
              <w:spacing w:after="0"/>
              <w:rPr>
                <w:sz w:val="10"/>
                <w:szCs w:val="10"/>
                <w:color w:val="auto"/>
              </w:rPr>
            </w:pPr>
          </w:p>
        </w:tc>
      </w:tr>
      <w:tr>
        <w:trPr>
          <w:trHeight w:val="230"/>
        </w:trPr>
        <w:tc>
          <w:tcPr>
            <w:tcW w:w="40" w:type="dxa"/>
            <w:vAlign w:val="bottom"/>
            <w:tcBorders>
              <w:right w:val="single" w:sz="8" w:color="4B4B4B"/>
            </w:tcBorders>
          </w:tcPr>
          <w:p>
            <w:pPr>
              <w:spacing w:after="0"/>
              <w:rPr>
                <w:sz w:val="20"/>
                <w:szCs w:val="20"/>
                <w:color w:val="auto"/>
              </w:rPr>
            </w:pPr>
          </w:p>
        </w:tc>
        <w:tc>
          <w:tcPr>
            <w:tcW w:w="4800" w:type="dxa"/>
            <w:vAlign w:val="bottom"/>
            <w:tcBorders>
              <w:bottom w:val="single" w:sz="8" w:color="4B4B4B"/>
              <w:right w:val="single" w:sz="8" w:color="484848"/>
            </w:tcBorders>
          </w:tcPr>
          <w:p>
            <w:pPr>
              <w:ind w:left="20"/>
              <w:spacing w:after="0"/>
              <w:rPr>
                <w:sz w:val="20"/>
                <w:szCs w:val="20"/>
                <w:color w:val="auto"/>
              </w:rPr>
            </w:pPr>
            <w:r>
              <w:rPr>
                <w:rFonts w:ascii="Arial" w:cs="Arial" w:eastAsia="Arial" w:hAnsi="Arial"/>
                <w:sz w:val="16"/>
                <w:szCs w:val="16"/>
                <w:color w:val="3F3F3F"/>
              </w:rPr>
              <w:t xml:space="preserve">ElectricalPower </w:t>
            </w:r>
            <w:r>
              <w:rPr>
                <w:rFonts w:ascii="Arial" w:cs="Arial" w:eastAsia="Arial" w:hAnsi="Arial"/>
                <w:sz w:val="16"/>
                <w:szCs w:val="16"/>
                <w:color w:val="505252"/>
              </w:rPr>
              <w:t>Su_Qply**</w:t>
            </w:r>
          </w:p>
        </w:tc>
        <w:tc>
          <w:tcPr>
            <w:tcW w:w="400" w:type="dxa"/>
            <w:vAlign w:val="bottom"/>
            <w:tcBorders>
              <w:bottom w:val="single" w:sz="8" w:color="4B4B4B"/>
            </w:tcBorders>
          </w:tcPr>
          <w:p>
            <w:pPr>
              <w:ind w:left="20"/>
              <w:spacing w:after="0"/>
              <w:rPr>
                <w:sz w:val="20"/>
                <w:szCs w:val="20"/>
                <w:color w:val="auto"/>
              </w:rPr>
            </w:pPr>
            <w:r>
              <w:rPr>
                <w:rFonts w:ascii="Arial" w:cs="Arial" w:eastAsia="Arial" w:hAnsi="Arial"/>
                <w:sz w:val="16"/>
                <w:szCs w:val="16"/>
                <w:color w:val="3F3F3F"/>
              </w:rPr>
              <w:t>4300</w:t>
            </w:r>
          </w:p>
        </w:tc>
        <w:tc>
          <w:tcPr>
            <w:tcW w:w="1980" w:type="dxa"/>
            <w:vAlign w:val="bottom"/>
            <w:tcBorders>
              <w:bottom w:val="single" w:sz="8" w:color="4B4B4B"/>
              <w:right w:val="single" w:sz="8" w:color="4B4B4B"/>
            </w:tcBorders>
          </w:tcPr>
          <w:p>
            <w:pPr>
              <w:ind w:left="20"/>
              <w:spacing w:after="0"/>
              <w:rPr>
                <w:sz w:val="20"/>
                <w:szCs w:val="20"/>
                <w:color w:val="auto"/>
              </w:rPr>
            </w:pPr>
            <w:r>
              <w:rPr>
                <w:rFonts w:ascii="Arial" w:cs="Arial" w:eastAsia="Arial" w:hAnsi="Arial"/>
                <w:sz w:val="16"/>
                <w:szCs w:val="16"/>
                <w:color w:val="3F3F3F"/>
              </w:rPr>
              <w:t>KVA**</w:t>
            </w:r>
          </w:p>
        </w:tc>
        <w:tc>
          <w:tcPr>
            <w:tcW w:w="4220" w:type="dxa"/>
            <w:vAlign w:val="bottom"/>
            <w:tcBorders>
              <w:bottom w:val="single" w:sz="8" w:color="4B4B4B"/>
              <w:right w:val="single" w:sz="8" w:color="4F4F4F"/>
            </w:tcBorders>
            <w:gridSpan w:val="2"/>
          </w:tcPr>
          <w:p>
            <w:pPr>
              <w:ind w:left="20"/>
              <w:spacing w:after="0"/>
              <w:rPr>
                <w:sz w:val="20"/>
                <w:szCs w:val="20"/>
                <w:color w:val="auto"/>
              </w:rPr>
            </w:pPr>
            <w:r>
              <w:rPr>
                <w:rFonts w:ascii="Arial" w:cs="Arial" w:eastAsia="Arial" w:hAnsi="Arial"/>
                <w:sz w:val="16"/>
                <w:szCs w:val="16"/>
                <w:color w:val="3F3F3F"/>
              </w:rPr>
              <w:t xml:space="preserve">Demand Load </w:t>
            </w:r>
            <w:r>
              <w:rPr>
                <w:rFonts w:ascii="Arial" w:cs="Arial" w:eastAsia="Arial" w:hAnsi="Arial"/>
                <w:sz w:val="16"/>
                <w:szCs w:val="16"/>
                <w:color w:val="505252"/>
              </w:rPr>
              <w:t>with (3)</w:t>
            </w:r>
            <w:r>
              <w:rPr>
                <w:rFonts w:ascii="Arial" w:cs="Arial" w:eastAsia="Arial" w:hAnsi="Arial"/>
                <w:sz w:val="16"/>
                <w:szCs w:val="16"/>
                <w:color w:val="3F3F3F"/>
              </w:rPr>
              <w:t xml:space="preserve"> air-cooled </w:t>
            </w:r>
            <w:r>
              <w:rPr>
                <w:rFonts w:ascii="Arial" w:cs="Arial" w:eastAsia="Arial" w:hAnsi="Arial"/>
                <w:sz w:val="16"/>
                <w:szCs w:val="16"/>
                <w:color w:val="505252"/>
              </w:rPr>
              <w:t>chillers</w:t>
            </w:r>
          </w:p>
        </w:tc>
      </w:tr>
      <w:tr>
        <w:trPr>
          <w:trHeight w:val="228"/>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Chilled Water_{no heat recovery)</w:t>
            </w:r>
          </w:p>
        </w:tc>
        <w:tc>
          <w:tcPr>
            <w:tcW w:w="400" w:type="dxa"/>
            <w:vAlign w:val="bottom"/>
          </w:tcPr>
          <w:p>
            <w:pPr>
              <w:ind w:left="20"/>
              <w:spacing w:after="0"/>
              <w:rPr>
                <w:sz w:val="20"/>
                <w:szCs w:val="20"/>
                <w:color w:val="auto"/>
              </w:rPr>
            </w:pPr>
            <w:r>
              <w:rPr>
                <w:rFonts w:ascii="Arial" w:cs="Arial" w:eastAsia="Arial" w:hAnsi="Arial"/>
                <w:sz w:val="16"/>
                <w:szCs w:val="16"/>
                <w:color w:val="505252"/>
              </w:rPr>
              <w:t>2250</w:t>
            </w:r>
          </w:p>
        </w:tc>
        <w:tc>
          <w:tcPr>
            <w:tcW w:w="1980" w:type="dxa"/>
            <w:vAlign w:val="bottom"/>
            <w:tcBorders>
              <w:right w:val="single" w:sz="8" w:color="4B4B4B"/>
            </w:tcBorders>
          </w:tcPr>
          <w:p>
            <w:pPr>
              <w:ind w:left="20"/>
              <w:spacing w:after="0"/>
              <w:rPr>
                <w:sz w:val="20"/>
                <w:szCs w:val="20"/>
                <w:color w:val="auto"/>
              </w:rPr>
            </w:pPr>
            <w:r>
              <w:rPr>
                <w:rFonts w:ascii="Arial" w:cs="Arial" w:eastAsia="Arial" w:hAnsi="Arial"/>
                <w:sz w:val="16"/>
                <w:szCs w:val="16"/>
                <w:color w:val="3F3F3F"/>
              </w:rPr>
              <w:t>Tons</w:t>
            </w:r>
          </w:p>
        </w:tc>
        <w:tc>
          <w:tcPr>
            <w:tcW w:w="120" w:type="dxa"/>
            <w:vAlign w:val="bottom"/>
          </w:tcPr>
          <w:p>
            <w:pPr>
              <w:spacing w:after="0"/>
              <w:rPr>
                <w:sz w:val="19"/>
                <w:szCs w:val="19"/>
                <w:color w:val="auto"/>
              </w:rPr>
            </w:pPr>
          </w:p>
        </w:tc>
        <w:tc>
          <w:tcPr>
            <w:tcW w:w="4100" w:type="dxa"/>
            <w:vAlign w:val="bottom"/>
            <w:tcBorders>
              <w:right w:val="single" w:sz="8" w:color="4F4F4F"/>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84848"/>
              <w:right w:val="single" w:sz="8" w:color="484848"/>
            </w:tcBorders>
          </w:tcPr>
          <w:p>
            <w:pPr>
              <w:spacing w:after="0"/>
              <w:rPr>
                <w:sz w:val="3"/>
                <w:szCs w:val="3"/>
                <w:color w:val="auto"/>
              </w:rPr>
            </w:pPr>
          </w:p>
        </w:tc>
        <w:tc>
          <w:tcPr>
            <w:tcW w:w="400" w:type="dxa"/>
            <w:vAlign w:val="bottom"/>
            <w:tcBorders>
              <w:bottom w:val="single" w:sz="8" w:color="484848"/>
            </w:tcBorders>
          </w:tcPr>
          <w:p>
            <w:pPr>
              <w:spacing w:after="0"/>
              <w:rPr>
                <w:sz w:val="3"/>
                <w:szCs w:val="3"/>
                <w:color w:val="auto"/>
              </w:rPr>
            </w:pPr>
          </w:p>
        </w:tc>
        <w:tc>
          <w:tcPr>
            <w:tcW w:w="1980" w:type="dxa"/>
            <w:vAlign w:val="bottom"/>
            <w:tcBorders>
              <w:bottom w:val="single" w:sz="8" w:color="484848"/>
              <w:right w:val="single" w:sz="8" w:color="4B4B4B"/>
            </w:tcBorders>
          </w:tcPr>
          <w:p>
            <w:pPr>
              <w:spacing w:after="0"/>
              <w:rPr>
                <w:sz w:val="3"/>
                <w:szCs w:val="3"/>
                <w:color w:val="auto"/>
              </w:rPr>
            </w:pPr>
          </w:p>
        </w:tc>
        <w:tc>
          <w:tcPr>
            <w:tcW w:w="120" w:type="dxa"/>
            <w:vAlign w:val="bottom"/>
            <w:tcBorders>
              <w:bottom w:val="single" w:sz="8" w:color="484848"/>
            </w:tcBorders>
          </w:tcPr>
          <w:p>
            <w:pPr>
              <w:spacing w:after="0"/>
              <w:rPr>
                <w:sz w:val="3"/>
                <w:szCs w:val="3"/>
                <w:color w:val="auto"/>
              </w:rPr>
            </w:pPr>
          </w:p>
        </w:tc>
        <w:tc>
          <w:tcPr>
            <w:tcW w:w="4100" w:type="dxa"/>
            <w:vAlign w:val="bottom"/>
            <w:tcBorders>
              <w:bottom w:val="single" w:sz="8" w:color="484848"/>
              <w:right w:val="single" w:sz="8" w:color="4F4F4F"/>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Chilled Waterlwith heat recovery)</w:t>
            </w:r>
          </w:p>
        </w:tc>
        <w:tc>
          <w:tcPr>
            <w:tcW w:w="400" w:type="dxa"/>
            <w:vAlign w:val="bottom"/>
          </w:tcPr>
          <w:p>
            <w:pPr>
              <w:ind w:left="20"/>
              <w:spacing w:after="0"/>
              <w:rPr>
                <w:sz w:val="20"/>
                <w:szCs w:val="20"/>
                <w:color w:val="auto"/>
              </w:rPr>
            </w:pPr>
            <w:r>
              <w:rPr>
                <w:rFonts w:ascii="Arial" w:cs="Arial" w:eastAsia="Arial" w:hAnsi="Arial"/>
                <w:sz w:val="16"/>
                <w:szCs w:val="16"/>
                <w:color w:val="3F3F3F"/>
              </w:rPr>
              <w:t>1900</w:t>
            </w:r>
          </w:p>
        </w:tc>
        <w:tc>
          <w:tcPr>
            <w:tcW w:w="1980" w:type="dxa"/>
            <w:vAlign w:val="bottom"/>
            <w:tcBorders>
              <w:right w:val="single" w:sz="8" w:color="4B4B4B"/>
            </w:tcBorders>
          </w:tcPr>
          <w:p>
            <w:pPr>
              <w:ind w:left="20"/>
              <w:spacing w:after="0"/>
              <w:rPr>
                <w:sz w:val="20"/>
                <w:szCs w:val="20"/>
                <w:color w:val="auto"/>
              </w:rPr>
            </w:pPr>
            <w:r>
              <w:rPr>
                <w:rFonts w:ascii="Arial" w:cs="Arial" w:eastAsia="Arial" w:hAnsi="Arial"/>
                <w:sz w:val="16"/>
                <w:szCs w:val="16"/>
                <w:color w:val="3F3F3F"/>
              </w:rPr>
              <w:t>Tons</w:t>
            </w:r>
          </w:p>
        </w:tc>
        <w:tc>
          <w:tcPr>
            <w:tcW w:w="120" w:type="dxa"/>
            <w:vAlign w:val="bottom"/>
          </w:tcPr>
          <w:p>
            <w:pPr>
              <w:spacing w:after="0"/>
              <w:rPr>
                <w:sz w:val="19"/>
                <w:szCs w:val="19"/>
                <w:color w:val="auto"/>
              </w:rPr>
            </w:pPr>
          </w:p>
        </w:tc>
        <w:tc>
          <w:tcPr>
            <w:tcW w:w="4100" w:type="dxa"/>
            <w:vAlign w:val="bottom"/>
            <w:tcBorders>
              <w:right w:val="single" w:sz="8" w:color="4F4F4F"/>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84B4B"/>
              <w:right w:val="single" w:sz="8" w:color="484848"/>
            </w:tcBorders>
          </w:tcPr>
          <w:p>
            <w:pPr>
              <w:spacing w:after="0"/>
              <w:rPr>
                <w:sz w:val="3"/>
                <w:szCs w:val="3"/>
                <w:color w:val="auto"/>
              </w:rPr>
            </w:pPr>
          </w:p>
        </w:tc>
        <w:tc>
          <w:tcPr>
            <w:tcW w:w="2380" w:type="dxa"/>
            <w:vAlign w:val="bottom"/>
            <w:tcBorders>
              <w:bottom w:val="single" w:sz="8" w:color="484B4B"/>
              <w:right w:val="single" w:sz="8" w:color="4B4B4B"/>
            </w:tcBorders>
            <w:gridSpan w:val="2"/>
          </w:tcPr>
          <w:p>
            <w:pPr>
              <w:spacing w:after="0"/>
              <w:rPr>
                <w:sz w:val="3"/>
                <w:szCs w:val="3"/>
                <w:color w:val="auto"/>
              </w:rPr>
            </w:pPr>
          </w:p>
        </w:tc>
        <w:tc>
          <w:tcPr>
            <w:tcW w:w="120" w:type="dxa"/>
            <w:vAlign w:val="bottom"/>
            <w:tcBorders>
              <w:bottom w:val="single" w:sz="8" w:color="484B4B"/>
            </w:tcBorders>
          </w:tcPr>
          <w:p>
            <w:pPr>
              <w:spacing w:after="0"/>
              <w:rPr>
                <w:sz w:val="3"/>
                <w:szCs w:val="3"/>
                <w:color w:val="auto"/>
              </w:rPr>
            </w:pPr>
          </w:p>
        </w:tc>
        <w:tc>
          <w:tcPr>
            <w:tcW w:w="4100" w:type="dxa"/>
            <w:vAlign w:val="bottom"/>
            <w:tcBorders>
              <w:bottom w:val="single" w:sz="8" w:color="484B4B"/>
              <w:right w:val="single" w:sz="8" w:color="4F4F4F"/>
            </w:tcBorders>
          </w:tcPr>
          <w:p>
            <w:pPr>
              <w:spacing w:after="0"/>
              <w:rPr>
                <w:sz w:val="3"/>
                <w:szCs w:val="3"/>
                <w:color w:val="auto"/>
              </w:rPr>
            </w:pPr>
          </w:p>
        </w:tc>
      </w:tr>
      <w:tr>
        <w:trPr>
          <w:trHeight w:val="221"/>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Wastewater</w:t>
            </w:r>
          </w:p>
        </w:tc>
        <w:tc>
          <w:tcPr>
            <w:tcW w:w="2380" w:type="dxa"/>
            <w:vAlign w:val="bottom"/>
            <w:tcBorders>
              <w:right w:val="single" w:sz="8" w:color="4B4B4B"/>
            </w:tcBorders>
            <w:gridSpan w:val="2"/>
          </w:tcPr>
          <w:p>
            <w:pPr>
              <w:ind w:left="20"/>
              <w:spacing w:after="0"/>
              <w:rPr>
                <w:sz w:val="20"/>
                <w:szCs w:val="20"/>
                <w:color w:val="auto"/>
              </w:rPr>
            </w:pPr>
            <w:r>
              <w:rPr>
                <w:rFonts w:ascii="Arial" w:cs="Arial" w:eastAsia="Arial" w:hAnsi="Arial"/>
                <w:sz w:val="16"/>
                <w:szCs w:val="16"/>
                <w:color w:val="505252"/>
              </w:rPr>
              <w:t xml:space="preserve">28,000 </w:t>
            </w:r>
            <w:r>
              <w:rPr>
                <w:rFonts w:ascii="Arial" w:cs="Arial" w:eastAsia="Arial" w:hAnsi="Arial"/>
                <w:sz w:val="16"/>
                <w:szCs w:val="16"/>
                <w:color w:val="3F3F3F"/>
              </w:rPr>
              <w:t>GPO</w:t>
            </w:r>
          </w:p>
        </w:tc>
        <w:tc>
          <w:tcPr>
            <w:tcW w:w="120" w:type="dxa"/>
            <w:vAlign w:val="bottom"/>
          </w:tcPr>
          <w:p>
            <w:pPr>
              <w:spacing w:after="0"/>
              <w:rPr>
                <w:sz w:val="19"/>
                <w:szCs w:val="19"/>
                <w:color w:val="auto"/>
              </w:rPr>
            </w:pPr>
          </w:p>
        </w:tc>
        <w:tc>
          <w:tcPr>
            <w:tcW w:w="4100" w:type="dxa"/>
            <w:vAlign w:val="bottom"/>
            <w:tcBorders>
              <w:right w:val="single" w:sz="8" w:color="4F4F4F"/>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84848"/>
              <w:right w:val="single" w:sz="8" w:color="484848"/>
            </w:tcBorders>
          </w:tcPr>
          <w:p>
            <w:pPr>
              <w:spacing w:after="0"/>
              <w:rPr>
                <w:sz w:val="3"/>
                <w:szCs w:val="3"/>
                <w:color w:val="auto"/>
              </w:rPr>
            </w:pPr>
          </w:p>
        </w:tc>
        <w:tc>
          <w:tcPr>
            <w:tcW w:w="2380" w:type="dxa"/>
            <w:vAlign w:val="bottom"/>
            <w:tcBorders>
              <w:bottom w:val="single" w:sz="8" w:color="484848"/>
              <w:right w:val="single" w:sz="8" w:color="4B4B4B"/>
            </w:tcBorders>
            <w:gridSpan w:val="2"/>
          </w:tcPr>
          <w:p>
            <w:pPr>
              <w:spacing w:after="0"/>
              <w:rPr>
                <w:sz w:val="3"/>
                <w:szCs w:val="3"/>
                <w:color w:val="auto"/>
              </w:rPr>
            </w:pPr>
          </w:p>
        </w:tc>
        <w:tc>
          <w:tcPr>
            <w:tcW w:w="4220" w:type="dxa"/>
            <w:vAlign w:val="bottom"/>
            <w:tcBorders>
              <w:bottom w:val="single" w:sz="8" w:color="484848"/>
              <w:right w:val="single" w:sz="8" w:color="4F4F4F"/>
            </w:tcBorders>
            <w:gridSpan w:val="2"/>
          </w:tcPr>
          <w:p>
            <w:pPr>
              <w:spacing w:after="0"/>
              <w:rPr>
                <w:sz w:val="3"/>
                <w:szCs w:val="3"/>
                <w:color w:val="auto"/>
              </w:rPr>
            </w:pPr>
          </w:p>
        </w:tc>
      </w:tr>
      <w:tr>
        <w:trPr>
          <w:trHeight w:val="230"/>
        </w:trPr>
        <w:tc>
          <w:tcPr>
            <w:tcW w:w="40" w:type="dxa"/>
            <w:vAlign w:val="bottom"/>
            <w:tcBorders>
              <w:right w:val="single" w:sz="8" w:color="4B4B4B"/>
            </w:tcBorders>
          </w:tcPr>
          <w:p>
            <w:pPr>
              <w:spacing w:after="0"/>
              <w:rPr>
                <w:sz w:val="20"/>
                <w:szCs w:val="20"/>
                <w:color w:val="auto"/>
              </w:rPr>
            </w:pPr>
          </w:p>
        </w:tc>
        <w:tc>
          <w:tcPr>
            <w:tcW w:w="4800" w:type="dxa"/>
            <w:vAlign w:val="bottom"/>
            <w:tcBorders>
              <w:bottom w:val="single" w:sz="8" w:color="484848"/>
              <w:right w:val="single" w:sz="8" w:color="484848"/>
            </w:tcBorders>
          </w:tcPr>
          <w:p>
            <w:pPr>
              <w:ind w:left="20"/>
              <w:spacing w:after="0"/>
              <w:rPr>
                <w:sz w:val="20"/>
                <w:szCs w:val="20"/>
                <w:color w:val="auto"/>
              </w:rPr>
            </w:pPr>
            <w:r>
              <w:rPr>
                <w:rFonts w:ascii="Arial" w:cs="Arial" w:eastAsia="Arial" w:hAnsi="Arial"/>
                <w:sz w:val="16"/>
                <w:szCs w:val="16"/>
                <w:color w:val="3F3F3F"/>
              </w:rPr>
              <w:t>Water</w:t>
            </w:r>
          </w:p>
        </w:tc>
        <w:tc>
          <w:tcPr>
            <w:tcW w:w="2380" w:type="dxa"/>
            <w:vAlign w:val="bottom"/>
            <w:tcBorders>
              <w:bottom w:val="single" w:sz="8" w:color="484848"/>
              <w:right w:val="single" w:sz="8" w:color="4B4B4B"/>
            </w:tcBorders>
            <w:gridSpan w:val="2"/>
          </w:tcPr>
          <w:p>
            <w:pPr>
              <w:ind w:left="20"/>
              <w:spacing w:after="0"/>
              <w:rPr>
                <w:sz w:val="20"/>
                <w:szCs w:val="20"/>
                <w:color w:val="auto"/>
              </w:rPr>
            </w:pPr>
            <w:r>
              <w:rPr>
                <w:rFonts w:ascii="Arial" w:cs="Arial" w:eastAsia="Arial" w:hAnsi="Arial"/>
                <w:sz w:val="16"/>
                <w:szCs w:val="16"/>
                <w:color w:val="3F3F3F"/>
              </w:rPr>
              <w:t>40,000 GPD</w:t>
            </w:r>
          </w:p>
        </w:tc>
        <w:tc>
          <w:tcPr>
            <w:tcW w:w="4220" w:type="dxa"/>
            <w:vAlign w:val="bottom"/>
            <w:tcBorders>
              <w:bottom w:val="single" w:sz="8" w:color="484848"/>
              <w:right w:val="single" w:sz="8" w:color="4F4F4F"/>
            </w:tcBorders>
            <w:gridSpan w:val="2"/>
          </w:tcPr>
          <w:p>
            <w:pPr>
              <w:ind w:left="20"/>
              <w:spacing w:after="0"/>
              <w:rPr>
                <w:sz w:val="20"/>
                <w:szCs w:val="20"/>
                <w:color w:val="auto"/>
              </w:rPr>
            </w:pPr>
            <w:r>
              <w:rPr>
                <w:rFonts w:ascii="Arial" w:cs="Arial" w:eastAsia="Arial" w:hAnsi="Arial"/>
                <w:sz w:val="16"/>
                <w:szCs w:val="16"/>
                <w:color w:val="505252"/>
              </w:rPr>
              <w:t xml:space="preserve">(includes </w:t>
            </w:r>
            <w:r>
              <w:rPr>
                <w:rFonts w:ascii="Arial" w:cs="Arial" w:eastAsia="Arial" w:hAnsi="Arial"/>
                <w:sz w:val="16"/>
                <w:szCs w:val="16"/>
                <w:color w:val="3F3F3F"/>
              </w:rPr>
              <w:t>worst case</w:t>
            </w:r>
            <w:r>
              <w:rPr>
                <w:rFonts w:ascii="Arial" w:cs="Arial" w:eastAsia="Arial" w:hAnsi="Arial"/>
                <w:sz w:val="16"/>
                <w:szCs w:val="16"/>
                <w:color w:val="505252"/>
              </w:rPr>
              <w:t xml:space="preserve"> humidification)</w:t>
            </w:r>
          </w:p>
        </w:tc>
      </w:tr>
      <w:tr>
        <w:trPr>
          <w:trHeight w:val="228"/>
        </w:trPr>
        <w:tc>
          <w:tcPr>
            <w:tcW w:w="40" w:type="dxa"/>
            <w:vAlign w:val="bottom"/>
            <w:tcBorders>
              <w:right w:val="single" w:sz="8" w:color="4B4B4B"/>
            </w:tcBorders>
          </w:tcPr>
          <w:p>
            <w:pPr>
              <w:spacing w:after="0"/>
              <w:rPr>
                <w:sz w:val="19"/>
                <w:szCs w:val="19"/>
                <w:color w:val="auto"/>
              </w:rPr>
            </w:pPr>
          </w:p>
        </w:tc>
        <w:tc>
          <w:tcPr>
            <w:tcW w:w="4800" w:type="dxa"/>
            <w:vAlign w:val="bottom"/>
            <w:tcBorders>
              <w:right w:val="single" w:sz="8" w:color="484848"/>
            </w:tcBorders>
          </w:tcPr>
          <w:p>
            <w:pPr>
              <w:ind w:left="20"/>
              <w:spacing w:after="0"/>
              <w:rPr>
                <w:sz w:val="20"/>
                <w:szCs w:val="20"/>
                <w:color w:val="auto"/>
              </w:rPr>
            </w:pPr>
            <w:r>
              <w:rPr>
                <w:rFonts w:ascii="Arial" w:cs="Arial" w:eastAsia="Arial" w:hAnsi="Arial"/>
                <w:sz w:val="16"/>
                <w:szCs w:val="16"/>
                <w:color w:val="3F3F3F"/>
              </w:rPr>
              <w:t>Natural Gas</w:t>
            </w:r>
          </w:p>
        </w:tc>
        <w:tc>
          <w:tcPr>
            <w:tcW w:w="2380" w:type="dxa"/>
            <w:vAlign w:val="bottom"/>
            <w:tcBorders>
              <w:right w:val="single" w:sz="8" w:color="4B4B4B"/>
            </w:tcBorders>
            <w:gridSpan w:val="2"/>
          </w:tcPr>
          <w:p>
            <w:pPr>
              <w:ind w:left="20"/>
              <w:spacing w:after="0"/>
              <w:rPr>
                <w:sz w:val="20"/>
                <w:szCs w:val="20"/>
                <w:color w:val="auto"/>
              </w:rPr>
            </w:pPr>
            <w:r>
              <w:rPr>
                <w:rFonts w:ascii="Arial" w:cs="Arial" w:eastAsia="Arial" w:hAnsi="Arial"/>
                <w:sz w:val="16"/>
                <w:szCs w:val="16"/>
                <w:color w:val="505252"/>
              </w:rPr>
              <w:t xml:space="preserve">38,000,000 </w:t>
            </w:r>
            <w:r>
              <w:rPr>
                <w:rFonts w:ascii="Arial" w:cs="Arial" w:eastAsia="Arial" w:hAnsi="Arial"/>
                <w:sz w:val="16"/>
                <w:szCs w:val="16"/>
                <w:color w:val="3F3F3F"/>
              </w:rPr>
              <w:t>Btuh</w:t>
            </w:r>
          </w:p>
        </w:tc>
        <w:tc>
          <w:tcPr>
            <w:tcW w:w="120" w:type="dxa"/>
            <w:vAlign w:val="bottom"/>
          </w:tcPr>
          <w:p>
            <w:pPr>
              <w:spacing w:after="0"/>
              <w:rPr>
                <w:sz w:val="19"/>
                <w:szCs w:val="19"/>
                <w:color w:val="auto"/>
              </w:rPr>
            </w:pPr>
          </w:p>
        </w:tc>
        <w:tc>
          <w:tcPr>
            <w:tcW w:w="4100" w:type="dxa"/>
            <w:vAlign w:val="bottom"/>
            <w:tcBorders>
              <w:right w:val="single" w:sz="8" w:color="4F4F4F"/>
            </w:tcBorders>
          </w:tcPr>
          <w:p>
            <w:pPr>
              <w:spacing w:after="0"/>
              <w:rPr>
                <w:sz w:val="19"/>
                <w:szCs w:val="19"/>
                <w:color w:val="auto"/>
              </w:rPr>
            </w:pPr>
          </w:p>
        </w:tc>
      </w:tr>
      <w:tr>
        <w:trPr>
          <w:trHeight w:val="43"/>
        </w:trPr>
        <w:tc>
          <w:tcPr>
            <w:tcW w:w="40" w:type="dxa"/>
            <w:vAlign w:val="bottom"/>
            <w:tcBorders>
              <w:right w:val="single" w:sz="8" w:color="4B4B4B"/>
            </w:tcBorders>
          </w:tcPr>
          <w:p>
            <w:pPr>
              <w:spacing w:after="0"/>
              <w:rPr>
                <w:sz w:val="3"/>
                <w:szCs w:val="3"/>
                <w:color w:val="auto"/>
              </w:rPr>
            </w:pPr>
          </w:p>
        </w:tc>
        <w:tc>
          <w:tcPr>
            <w:tcW w:w="4800" w:type="dxa"/>
            <w:vAlign w:val="bottom"/>
            <w:tcBorders>
              <w:bottom w:val="single" w:sz="8" w:color="4B4B4B"/>
              <w:right w:val="single" w:sz="8" w:color="484848"/>
            </w:tcBorders>
          </w:tcPr>
          <w:p>
            <w:pPr>
              <w:spacing w:after="0"/>
              <w:rPr>
                <w:sz w:val="3"/>
                <w:szCs w:val="3"/>
                <w:color w:val="auto"/>
              </w:rPr>
            </w:pPr>
          </w:p>
        </w:tc>
        <w:tc>
          <w:tcPr>
            <w:tcW w:w="400" w:type="dxa"/>
            <w:vAlign w:val="bottom"/>
            <w:tcBorders>
              <w:bottom w:val="single" w:sz="8" w:color="4B4B4B"/>
            </w:tcBorders>
          </w:tcPr>
          <w:p>
            <w:pPr>
              <w:spacing w:after="0"/>
              <w:rPr>
                <w:sz w:val="3"/>
                <w:szCs w:val="3"/>
                <w:color w:val="auto"/>
              </w:rPr>
            </w:pPr>
          </w:p>
        </w:tc>
        <w:tc>
          <w:tcPr>
            <w:tcW w:w="1980" w:type="dxa"/>
            <w:vAlign w:val="bottom"/>
            <w:tcBorders>
              <w:bottom w:val="single" w:sz="8" w:color="4B4B4B"/>
              <w:right w:val="single" w:sz="8" w:color="4B4B4B"/>
            </w:tcBorders>
          </w:tcPr>
          <w:p>
            <w:pPr>
              <w:spacing w:after="0"/>
              <w:rPr>
                <w:sz w:val="3"/>
                <w:szCs w:val="3"/>
                <w:color w:val="auto"/>
              </w:rPr>
            </w:pPr>
          </w:p>
        </w:tc>
        <w:tc>
          <w:tcPr>
            <w:tcW w:w="120" w:type="dxa"/>
            <w:vAlign w:val="bottom"/>
            <w:tcBorders>
              <w:bottom w:val="single" w:sz="8" w:color="646464"/>
            </w:tcBorders>
          </w:tcPr>
          <w:p>
            <w:pPr>
              <w:spacing w:after="0"/>
              <w:rPr>
                <w:sz w:val="3"/>
                <w:szCs w:val="3"/>
                <w:color w:val="auto"/>
              </w:rPr>
            </w:pPr>
          </w:p>
        </w:tc>
        <w:tc>
          <w:tcPr>
            <w:tcW w:w="4100" w:type="dxa"/>
            <w:vAlign w:val="bottom"/>
            <w:tcBorders>
              <w:bottom w:val="single" w:sz="8" w:color="646464"/>
              <w:right w:val="single" w:sz="8" w:color="4F4F4F"/>
            </w:tcBorders>
          </w:tcPr>
          <w:p>
            <w:pPr>
              <w:spacing w:after="0"/>
              <w:rPr>
                <w:sz w:val="3"/>
                <w:szCs w:val="3"/>
                <w:color w:val="auto"/>
              </w:rPr>
            </w:pPr>
          </w:p>
        </w:tc>
      </w:tr>
    </w:tbl>
    <w:p>
      <w:pPr>
        <w:spacing w:after="0" w:line="14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111111"/>
        </w:rPr>
        <w:t>Utility sizes to both Building 8 and Building 9 should be adjusted to support the above loads. Chilled water supply and return pipe sizes servicing building 9 should be increased to 16 inch. This pipe sizes is based upon a corresponding differential temperature between the chilled water supply &amp; return of 12F.</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111111"/>
        </w:rPr>
        <w:t>The electrical demand load is based on running three of the four air cooled chillers and associated pumps on normal power. Based on this we anticipate the total Electrical Demand and Metered Demand is 5,250kW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11111"/>
        </w:rPr>
        <w:t>5,800kVA. For breakdown of electrical loads refer to the attached Table 1.</w:t>
      </w:r>
    </w:p>
    <w:p>
      <w:pPr>
        <w:spacing w:after="0" w:line="309" w:lineRule="exact"/>
        <w:rPr>
          <w:sz w:val="20"/>
          <w:szCs w:val="20"/>
          <w:color w:val="auto"/>
        </w:rPr>
      </w:pPr>
    </w:p>
    <w:p>
      <w:pPr>
        <w:ind w:right="10080" w:firstLine="8"/>
        <w:spacing w:after="0" w:line="608" w:lineRule="auto"/>
        <w:tabs>
          <w:tab w:leader="none" w:pos="171" w:val="left"/>
        </w:tabs>
        <w:numPr>
          <w:ilvl w:val="0"/>
          <w:numId w:val="254"/>
        </w:numPr>
        <w:rPr>
          <w:rFonts w:ascii="Arial" w:cs="Arial" w:eastAsia="Arial" w:hAnsi="Arial"/>
          <w:sz w:val="16"/>
          <w:szCs w:val="16"/>
          <w:color w:val="3F3F3F"/>
        </w:rPr>
      </w:pPr>
      <w:r>
        <w:rPr>
          <w:rFonts w:ascii="Arial" w:cs="Arial" w:eastAsia="Arial" w:hAnsi="Arial"/>
          <w:sz w:val="16"/>
          <w:szCs w:val="16"/>
          <w:color w:val="111111"/>
        </w:rPr>
        <w:t>R</w:t>
      </w:r>
      <w:r>
        <w:rPr>
          <w:rFonts w:ascii="Arial" w:cs="Arial" w:eastAsia="Arial" w:hAnsi="Arial"/>
          <w:sz w:val="16"/>
          <w:szCs w:val="16"/>
          <w:color w:val="3F3F3F"/>
        </w:rPr>
        <w:t>e</w:t>
      </w:r>
      <w:r>
        <w:rPr>
          <w:rFonts w:ascii="Arial" w:cs="Arial" w:eastAsia="Arial" w:hAnsi="Arial"/>
          <w:sz w:val="16"/>
          <w:szCs w:val="16"/>
          <w:color w:val="111111"/>
        </w:rPr>
        <w:t>vised 3/25/14 Regards,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111111"/>
        </w:rPr>
        <w:t>Joanne Deyo</w:t>
      </w:r>
    </w:p>
    <w:p>
      <w:pPr>
        <w:sectPr>
          <w:pgSz w:w="11900" w:h="16838" w:orient="portrait"/>
          <w:cols w:equalWidth="0" w:num="1">
            <w:col w:w="11440"/>
          </w:cols>
          <w:pgMar w:left="240" w:top="365" w:right="2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0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4, 2015</w:t>
      </w:r>
      <w:r>
        <w:rPr>
          <w:sz w:val="20"/>
          <w:szCs w:val="20"/>
          <w:color w:val="auto"/>
        </w:rPr>
        <w:tab/>
      </w:r>
      <w:r>
        <w:rPr>
          <w:rFonts w:ascii="Times New Roman" w:cs="Times New Roman" w:eastAsia="Times New Roman" w:hAnsi="Times New Roman"/>
          <w:sz w:val="17"/>
          <w:szCs w:val="17"/>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0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4, 2015</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2015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4, 2015</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4, 2015</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082C70"/>
    <w:multiLevelType w:val="hybridMultilevel"/>
    <w:lvl w:ilvl="0">
      <w:lvlJc w:val="left"/>
      <w:lvlText w:val="(%1)"/>
      <w:numFmt w:val="upperLetter"/>
      <w:start w:val="24"/>
    </w:lvl>
  </w:abstractNum>
  <w:abstractNum w:abstractNumId="1">
    <w:nsid w:val="5EC6AFD4"/>
    <w:multiLevelType w:val="hybridMultilevel"/>
    <w:lvl w:ilvl="0">
      <w:lvlJc w:val="left"/>
      <w:lvlText w:val="("/>
      <w:numFmt w:val="bullet"/>
      <w:start w:val="1"/>
    </w:lvl>
  </w:abstractNum>
  <w:abstractNum w:abstractNumId="2">
    <w:nsid w:val="19E21BB2"/>
    <w:multiLevelType w:val="hybridMultilevel"/>
    <w:lvl w:ilvl="0">
      <w:lvlJc w:val="left"/>
      <w:lvlText w:val="•"/>
      <w:numFmt w:val="bullet"/>
      <w:start w:val="1"/>
    </w:lvl>
  </w:abstractNum>
  <w:abstractNum w:abstractNumId="3">
    <w:nsid w:val="75E0858A"/>
    <w:multiLevelType w:val="hybridMultilevel"/>
    <w:lvl w:ilvl="0">
      <w:lvlJc w:val="left"/>
      <w:lvlText w:val="•"/>
      <w:numFmt w:val="bullet"/>
      <w:start w:val="1"/>
    </w:lvl>
  </w:abstractNum>
  <w:abstractNum w:abstractNumId="4">
    <w:nsid w:val="57A61A29"/>
    <w:multiLevelType w:val="hybridMultilevel"/>
    <w:lvl w:ilvl="0">
      <w:lvlJc w:val="left"/>
      <w:lvlText w:val="-"/>
      <w:numFmt w:val="bullet"/>
      <w:start w:val="1"/>
    </w:lvl>
  </w:abstractNum>
  <w:abstractNum w:abstractNumId="5">
    <w:nsid w:val="5399C654"/>
    <w:multiLevelType w:val="hybridMultilevel"/>
    <w:lvl w:ilvl="0">
      <w:lvlJc w:val="left"/>
      <w:lvlText w:val="*"/>
      <w:numFmt w:val="bullet"/>
      <w:start w:val="1"/>
    </w:lvl>
  </w:abstractNum>
  <w:abstractNum w:abstractNumId="6">
    <w:nsid w:val="20EE1348"/>
    <w:multiLevelType w:val="hybridMultilevel"/>
    <w:lvl w:ilvl="0">
      <w:lvlJc w:val="left"/>
      <w:lvlText w:val="**"/>
      <w:numFmt w:val="bullet"/>
      <w:start w:val="1"/>
    </w:lvl>
  </w:abstractNum>
  <w:abstractNum w:abstractNumId="7">
    <w:nsid w:val="4427069A"/>
    <w:multiLevelType w:val="hybridMultilevel"/>
    <w:lvl w:ilvl="0">
      <w:lvlJc w:val="left"/>
      <w:lvlText w:val="%1."/>
      <w:numFmt w:val="lowerLetter"/>
      <w:start w:val="1"/>
    </w:lvl>
  </w:abstractNum>
  <w:abstractNum w:abstractNumId="8">
    <w:nsid w:val="B37E80A"/>
    <w:multiLevelType w:val="hybridMultilevel"/>
    <w:lvl w:ilvl="0">
      <w:lvlJc w:val="left"/>
      <w:lvlText w:val="•"/>
      <w:numFmt w:val="bullet"/>
      <w:start w:val="1"/>
    </w:lvl>
  </w:abstractNum>
  <w:abstractNum w:abstractNumId="9">
    <w:nsid w:val="2157F6BC"/>
    <w:multiLevelType w:val="hybridMultilevel"/>
    <w:lvl w:ilvl="0">
      <w:lvlJc w:val="left"/>
      <w:lvlText w:val="Ÿ"/>
      <w:numFmt w:val="bullet"/>
      <w:start w:val="1"/>
    </w:lvl>
  </w:abstractNum>
  <w:abstractNum w:abstractNumId="10">
    <w:nsid w:val="704E1DD5"/>
    <w:multiLevelType w:val="hybridMultilevel"/>
    <w:lvl w:ilvl="0">
      <w:lvlJc w:val="left"/>
      <w:lvlText w:val="Ÿ"/>
      <w:numFmt w:val="bullet"/>
      <w:start w:val="1"/>
    </w:lvl>
  </w:abstractNum>
  <w:abstractNum w:abstractNumId="11">
    <w:nsid w:val="57D2F10E"/>
    <w:multiLevelType w:val="hybridMultilevel"/>
    <w:lvl w:ilvl="0">
      <w:lvlJc w:val="left"/>
      <w:lvlText w:val="(%1)"/>
      <w:numFmt w:val="decimal"/>
      <w:start w:val="1"/>
    </w:lvl>
  </w:abstractNum>
  <w:abstractNum w:abstractNumId="12">
    <w:nsid w:val="BFFAE18"/>
    <w:multiLevelType w:val="hybridMultilevel"/>
    <w:lvl w:ilvl="0">
      <w:lvlJc w:val="left"/>
      <w:lvlText w:val="(%1)"/>
      <w:numFmt w:val="decimal"/>
      <w:start w:val="1"/>
    </w:lvl>
  </w:abstractNum>
  <w:abstractNum w:abstractNumId="13">
    <w:nsid w:val="E3E47A8"/>
    <w:multiLevelType w:val="hybridMultilevel"/>
    <w:lvl w:ilvl="0">
      <w:lvlJc w:val="left"/>
      <w:lvlText w:val="•"/>
      <w:numFmt w:val="bullet"/>
      <w:start w:val="1"/>
    </w:lvl>
  </w:abstractNum>
  <w:abstractNum w:abstractNumId="14">
    <w:nsid w:val="2E48F044"/>
    <w:multiLevelType w:val="hybridMultilevel"/>
    <w:lvl w:ilvl="0">
      <w:lvlJc w:val="left"/>
      <w:lvlText w:val="•"/>
      <w:numFmt w:val="bullet"/>
      <w:start w:val="1"/>
    </w:lvl>
  </w:abstractNum>
  <w:abstractNum w:abstractNumId="15">
    <w:nsid w:val="49D0FEAC"/>
    <w:multiLevelType w:val="hybridMultilevel"/>
    <w:lvl w:ilvl="0">
      <w:lvlJc w:val="left"/>
      <w:lvlText w:val="•"/>
      <w:numFmt w:val="bullet"/>
      <w:start w:val="1"/>
    </w:lvl>
  </w:abstractNum>
  <w:abstractNum w:abstractNumId="16">
    <w:nsid w:val="4BEE5A5B"/>
    <w:multiLevelType w:val="hybridMultilevel"/>
    <w:lvl w:ilvl="0">
      <w:lvlJc w:val="left"/>
      <w:lvlText w:val="•"/>
      <w:numFmt w:val="bullet"/>
      <w:start w:val="1"/>
    </w:lvl>
  </w:abstractNum>
  <w:abstractNum w:abstractNumId="17">
    <w:nsid w:val="5551B9F3"/>
    <w:multiLevelType w:val="hybridMultilevel"/>
    <w:lvl w:ilvl="0">
      <w:lvlJc w:val="left"/>
      <w:lvlText w:val="•"/>
      <w:numFmt w:val="bullet"/>
      <w:start w:val="1"/>
    </w:lvl>
  </w:abstractNum>
  <w:abstractNum w:abstractNumId="18">
    <w:nsid w:val="24F6AB8E"/>
    <w:multiLevelType w:val="hybridMultilevel"/>
    <w:lvl w:ilvl="0">
      <w:lvlJc w:val="left"/>
      <w:lvlText w:val="•"/>
      <w:numFmt w:val="bullet"/>
      <w:start w:val="1"/>
    </w:lvl>
  </w:abstractNum>
  <w:abstractNum w:abstractNumId="19">
    <w:nsid w:val="634C574C"/>
    <w:multiLevelType w:val="hybridMultilevel"/>
    <w:lvl w:ilvl="0">
      <w:lvlJc w:val="left"/>
      <w:lvlText w:val="•"/>
      <w:numFmt w:val="bullet"/>
      <w:start w:val="1"/>
    </w:lvl>
  </w:abstractNum>
  <w:abstractNum w:abstractNumId="20">
    <w:nsid w:val="24E99DD7"/>
    <w:multiLevelType w:val="hybridMultilevel"/>
    <w:lvl w:ilvl="0">
      <w:lvlJc w:val="left"/>
      <w:lvlText w:val="•"/>
      <w:numFmt w:val="bullet"/>
      <w:start w:val="1"/>
    </w:lvl>
  </w:abstractNum>
  <w:abstractNum w:abstractNumId="21">
    <w:nsid w:val="2A31B62D"/>
    <w:multiLevelType w:val="hybridMultilevel"/>
    <w:lvl w:ilvl="0">
      <w:lvlJc w:val="left"/>
      <w:lvlText w:val="(%1)"/>
      <w:numFmt w:val="lowerRoman"/>
      <w:start w:val="4"/>
    </w:lvl>
  </w:abstractNum>
  <w:abstractNum w:abstractNumId="22">
    <w:nsid w:val="1849C29B"/>
    <w:multiLevelType w:val="hybridMultilevel"/>
    <w:lvl w:ilvl="0">
      <w:lvlJc w:val="left"/>
      <w:lvlText w:val="(%1)"/>
      <w:numFmt w:val="lowerLetter"/>
      <w:start w:val="1"/>
    </w:lvl>
  </w:abstractNum>
  <w:abstractNum w:abstractNumId="23">
    <w:nsid w:val="7DFF9D09"/>
    <w:multiLevelType w:val="hybridMultilevel"/>
    <w:lvl w:ilvl="0">
      <w:lvlJc w:val="left"/>
      <w:lvlText w:val="%1."/>
      <w:numFmt w:val="decimal"/>
      <w:start w:val="1"/>
    </w:lvl>
  </w:abstractNum>
  <w:abstractNum w:abstractNumId="24">
    <w:nsid w:val="754342"/>
    <w:multiLevelType w:val="hybridMultilevel"/>
    <w:lvl w:ilvl="0">
      <w:lvlJc w:val="left"/>
      <w:lvlText w:val="%1."/>
      <w:numFmt w:val="decimal"/>
      <w:start w:val="5"/>
    </w:lvl>
  </w:abstractNum>
  <w:abstractNum w:abstractNumId="25">
    <w:nsid w:val="69E7F3E5"/>
    <w:multiLevelType w:val="hybridMultilevel"/>
    <w:lvl w:ilvl="0">
      <w:lvlJc w:val="left"/>
      <w:lvlText w:val="%1."/>
      <w:numFmt w:val="decimal"/>
      <w:start w:val="1"/>
    </w:lvl>
  </w:abstractNum>
  <w:abstractNum w:abstractNumId="26">
    <w:nsid w:val="2A6DE806"/>
    <w:multiLevelType w:val="hybridMultilevel"/>
    <w:lvl w:ilvl="0">
      <w:lvlJc w:val="left"/>
      <w:lvlText w:val="%1."/>
      <w:numFmt w:val="decimal"/>
      <w:start w:val="1"/>
    </w:lvl>
  </w:abstractNum>
  <w:abstractNum w:abstractNumId="27">
    <w:nsid w:val="1816F8C4"/>
    <w:multiLevelType w:val="hybridMultilevel"/>
    <w:lvl w:ilvl="0">
      <w:lvlJc w:val="left"/>
      <w:lvlText w:val="%1."/>
      <w:numFmt w:val="decimal"/>
      <w:start w:val="1"/>
    </w:lvl>
  </w:abstractNum>
  <w:abstractNum w:abstractNumId="28">
    <w:nsid w:val="37DF2233"/>
    <w:multiLevelType w:val="hybridMultilevel"/>
    <w:lvl w:ilvl="0">
      <w:lvlJc w:val="left"/>
      <w:lvlText w:val="(%1)"/>
      <w:numFmt w:val="lowerLetter"/>
      <w:start w:val="1"/>
    </w:lvl>
  </w:abstractNum>
  <w:abstractNum w:abstractNumId="29">
    <w:nsid w:val="7AB49DAF"/>
    <w:multiLevelType w:val="hybridMultilevel"/>
    <w:lvl w:ilvl="0">
      <w:lvlJc w:val="left"/>
      <w:lvlText w:val="%1."/>
      <w:numFmt w:val="decimal"/>
      <w:start w:val="2"/>
    </w:lvl>
    <w:lvl w:ilvl="1">
      <w:lvlJc w:val="left"/>
      <w:lvlText w:val="(%2)"/>
      <w:numFmt w:val="lowerLetter"/>
      <w:start w:val="1"/>
    </w:lvl>
  </w:abstractNum>
  <w:abstractNum w:abstractNumId="30">
    <w:nsid w:val="759F82CD"/>
    <w:multiLevelType w:val="hybridMultilevel"/>
    <w:lvl w:ilvl="0">
      <w:lvlJc w:val="left"/>
      <w:lvlText w:val="(%1)"/>
      <w:numFmt w:val="lowerLetter"/>
      <w:start w:val="2"/>
    </w:lvl>
  </w:abstractNum>
  <w:abstractNum w:abstractNumId="31">
    <w:nsid w:val="61E74EA3"/>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2">
    <w:nsid w:val="597B4D8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3">
    <w:nsid w:val="F819E7F"/>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7"/>
    </w:lvl>
  </w:abstractNum>
  <w:abstractNum w:abstractNumId="34">
    <w:nsid w:val="57C7D42D"/>
    <w:multiLevelType w:val="hybridMultilevel"/>
    <w:lvl w:ilvl="0">
      <w:lvlJc w:val="left"/>
      <w:lvlText w:val="(%1)"/>
      <w:numFmt w:val="lowerLetter"/>
      <w:start w:val="24"/>
    </w:lvl>
    <w:lvl w:ilvl="1">
      <w:lvlJc w:val="left"/>
      <w:lvlText w:val="(%2)"/>
      <w:numFmt w:val="lowerRoman"/>
      <w:start w:val="4"/>
    </w:lvl>
    <w:lvl w:ilvl="2">
      <w:lvlJc w:val="left"/>
      <w:lvlText w:val="%3"/>
      <w:numFmt w:val="upperLetter"/>
      <w:start w:val="1"/>
    </w:lvl>
  </w:abstractNum>
  <w:abstractNum w:abstractNumId="35">
    <w:nsid w:val="312167AD"/>
    <w:multiLevelType w:val="hybridMultilevel"/>
    <w:lvl w:ilvl="0">
      <w:lvlJc w:val="left"/>
      <w:lvlText w:val="(%1)"/>
      <w:numFmt w:val="lowerRoman"/>
      <w:start w:val="6"/>
    </w:lvl>
  </w:abstractNum>
  <w:abstractNum w:abstractNumId="36">
    <w:nsid w:val="631B64D4"/>
    <w:multiLevelType w:val="hybridMultilevel"/>
    <w:lvl w:ilvl="0">
      <w:lvlJc w:val="left"/>
      <w:lvlText w:val="(%1)"/>
      <w:numFmt w:val="lowerRoman"/>
      <w:start w:val="1"/>
    </w:lvl>
    <w:lvl w:ilvl="1">
      <w:lvlJc w:val="left"/>
      <w:lvlText w:val="(%2)"/>
      <w:numFmt w:val="decimal"/>
      <w:start w:val="3"/>
    </w:lvl>
  </w:abstractNum>
  <w:abstractNum w:abstractNumId="37">
    <w:nsid w:val="78B5E776"/>
    <w:multiLevelType w:val="hybridMultilevel"/>
    <w:lvl w:ilvl="0">
      <w:lvlJc w:val="left"/>
      <w:lvlText w:val="%1"/>
      <w:numFmt w:val="lowerLetter"/>
      <w:start w:val="1"/>
    </w:lvl>
    <w:lvl w:ilvl="1">
      <w:lvlJc w:val="left"/>
      <w:lvlText w:val="(%2)"/>
      <w:numFmt w:val="decimal"/>
      <w:start w:val="5"/>
    </w:lvl>
  </w:abstractNum>
  <w:abstractNum w:abstractNumId="38">
    <w:nsid w:val="75486E47"/>
    <w:multiLevelType w:val="hybridMultilevel"/>
    <w:lvl w:ilvl="0">
      <w:lvlJc w:val="left"/>
      <w:lvlText w:val="(%1)"/>
      <w:numFmt w:val="lowerLetter"/>
      <w:start w:val="6"/>
    </w:lvl>
    <w:lvl w:ilvl="1">
      <w:lvlJc w:val="left"/>
      <w:lvlText w:val="(%2)"/>
      <w:numFmt w:val="decimal"/>
      <w:start w:val="1"/>
    </w:lvl>
  </w:abstractNum>
  <w:abstractNum w:abstractNumId="39">
    <w:nsid w:val="6E534CDE"/>
    <w:multiLevelType w:val="hybridMultilevel"/>
    <w:lvl w:ilvl="0">
      <w:lvlJc w:val="left"/>
      <w:lvlText w:val="(%1)"/>
      <w:numFmt w:val="decimal"/>
      <w:start w:val="2"/>
    </w:lvl>
  </w:abstractNum>
  <w:abstractNum w:abstractNumId="40">
    <w:nsid w:val="1A0DDE32"/>
    <w:multiLevelType w:val="hybridMultilevel"/>
    <w:lvl w:ilvl="0">
      <w:lvlJc w:val="left"/>
      <w:lvlText w:val="%1."/>
      <w:numFmt w:val="upperLetter"/>
      <w:start w:val="1"/>
    </w:lvl>
  </w:abstractNum>
  <w:abstractNum w:abstractNumId="41">
    <w:nsid w:val="65968C1C"/>
    <w:multiLevelType w:val="hybridMultilevel"/>
    <w:lvl w:ilvl="0">
      <w:lvlJc w:val="left"/>
      <w:lvlText w:val="%1."/>
      <w:numFmt w:val="upperLetter"/>
      <w:start w:val="6"/>
    </w:lvl>
  </w:abstractNum>
  <w:abstractNum w:abstractNumId="42">
    <w:nsid w:val="46263DEC"/>
    <w:multiLevelType w:val="hybridMultilevel"/>
    <w:lvl w:ilvl="0">
      <w:lvlJc w:val="left"/>
      <w:lvlText w:val="%1."/>
      <w:numFmt w:val="decimal"/>
      <w:start w:val="1"/>
    </w:lvl>
  </w:abstractNum>
  <w:abstractNum w:abstractNumId="43">
    <w:nsid w:val="260D8C4A"/>
    <w:multiLevelType w:val="hybridMultilevel"/>
    <w:lvl w:ilvl="0">
      <w:lvlJc w:val="left"/>
      <w:lvlText w:val="(%1)"/>
      <w:numFmt w:val="lowerLetter"/>
      <w:start w:val="1"/>
    </w:lvl>
  </w:abstractNum>
  <w:abstractNum w:abstractNumId="44">
    <w:nsid w:val="73D4D3C4"/>
    <w:multiLevelType w:val="hybridMultilevel"/>
    <w:lvl w:ilvl="0">
      <w:lvlJc w:val="left"/>
      <w:lvlText w:val="%1"/>
      <w:numFmt w:val="upperLetter"/>
      <w:start w:val="61"/>
    </w:lvl>
  </w:abstractNum>
  <w:abstractNum w:abstractNumId="45">
    <w:nsid w:val="746F2E30"/>
    <w:multiLevelType w:val="hybridMultilevel"/>
    <w:lvl w:ilvl="0">
      <w:lvlJc w:val="left"/>
      <w:lvlText w:val="%1."/>
      <w:numFmt w:val="decimal"/>
      <w:start w:val="3"/>
    </w:lvl>
  </w:abstractNum>
  <w:abstractNum w:abstractNumId="46">
    <w:nsid w:val="6FDE8AF6"/>
    <w:multiLevelType w:val="hybridMultilevel"/>
    <w:lvl w:ilvl="0">
      <w:lvlJc w:val="left"/>
      <w:lvlText w:val="%1."/>
      <w:numFmt w:val="decimal"/>
      <w:start w:val="4"/>
    </w:lvl>
    <w:lvl w:ilvl="1">
      <w:lvlJc w:val="left"/>
      <w:lvlText w:val="%2."/>
      <w:numFmt w:val="decimal"/>
      <w:start w:val="44"/>
    </w:lvl>
  </w:abstractNum>
  <w:abstractNum w:abstractNumId="47">
    <w:nsid w:val="3FC32E20"/>
    <w:multiLevelType w:val="hybridMultilevel"/>
    <w:lvl w:ilvl="0">
      <w:lvlJc w:val="left"/>
      <w:lvlText w:val="%1."/>
      <w:numFmt w:val="decimal"/>
      <w:start w:val="5"/>
    </w:lvl>
  </w:abstractNum>
  <w:abstractNum w:abstractNumId="48">
    <w:nsid w:val="49C0E823"/>
    <w:multiLevelType w:val="hybridMultilevel"/>
    <w:lvl w:ilvl="0">
      <w:lvlJc w:val="left"/>
      <w:lvlText w:val="(%1)"/>
      <w:numFmt w:val="lowerLetter"/>
      <w:start w:val="2"/>
    </w:lvl>
  </w:abstractNum>
  <w:abstractNum w:abstractNumId="49">
    <w:nsid w:val="14D53685"/>
    <w:multiLevelType w:val="hybridMultilevel"/>
    <w:lvl w:ilvl="0">
      <w:lvlJc w:val="left"/>
      <w:lvlText w:val="(%1)"/>
      <w:numFmt w:val="lowerLetter"/>
      <w:start w:val="3"/>
    </w:lvl>
  </w:abstractNum>
  <w:abstractNum w:abstractNumId="50">
    <w:nsid w:val="230F856C"/>
    <w:multiLevelType w:val="hybridMultilevel"/>
    <w:lvl w:ilvl="0">
      <w:lvlJc w:val="left"/>
      <w:lvlText w:val="(%1)"/>
      <w:numFmt w:val="lowerLetter"/>
      <w:start w:val="1"/>
    </w:lvl>
  </w:abstractNum>
  <w:abstractNum w:abstractNumId="51">
    <w:nsid w:val="6EAA85FB"/>
    <w:multiLevelType w:val="hybridMultilevel"/>
    <w:lvl w:ilvl="0">
      <w:lvlJc w:val="left"/>
      <w:lvlText w:val="(%1)"/>
      <w:numFmt w:val="lowerLetter"/>
      <w:start w:val="1"/>
    </w:lvl>
  </w:abstractNum>
  <w:abstractNum w:abstractNumId="52">
    <w:nsid w:val="3F06ECB2"/>
    <w:multiLevelType w:val="hybridMultilevel"/>
    <w:lvl w:ilvl="0">
      <w:lvlJc w:val="left"/>
      <w:lvlText w:val="(%1)"/>
      <w:numFmt w:val="lowerLetter"/>
      <w:start w:val="2"/>
    </w:lvl>
  </w:abstractNum>
  <w:abstractNum w:abstractNumId="53">
    <w:nsid w:val="3B594807"/>
    <w:multiLevelType w:val="hybridMultilevel"/>
    <w:lvl w:ilvl="0">
      <w:lvlJc w:val="left"/>
      <w:lvlText w:val="(%1)"/>
      <w:numFmt w:val="lowerLetter"/>
      <w:start w:val="1"/>
    </w:lvl>
  </w:abstractNum>
  <w:abstractNum w:abstractNumId="54">
    <w:nsid w:val="6CAA2304"/>
    <w:multiLevelType w:val="hybridMultilevel"/>
    <w:lvl w:ilvl="0">
      <w:lvlJc w:val="left"/>
      <w:lvlText w:val="%1."/>
      <w:numFmt w:val="decimal"/>
      <w:start w:val="7"/>
    </w:lvl>
  </w:abstractNum>
  <w:abstractNum w:abstractNumId="55">
    <w:nsid w:val="3F7C2FF4"/>
    <w:multiLevelType w:val="hybridMultilevel"/>
    <w:lvl w:ilvl="0">
      <w:lvlJc w:val="left"/>
      <w:lvlText w:val="%1."/>
      <w:numFmt w:val="decimal"/>
      <w:start w:val="9"/>
    </w:lvl>
  </w:abstractNum>
  <w:abstractNum w:abstractNumId="56">
    <w:nsid w:val="25413BEC"/>
    <w:multiLevelType w:val="hybridMultilevel"/>
    <w:lvl w:ilvl="0">
      <w:lvlJc w:val="left"/>
      <w:lvlText w:val="%1"/>
      <w:numFmt w:val="decimal"/>
      <w:start w:val="765"/>
    </w:lvl>
  </w:abstractNum>
  <w:abstractNum w:abstractNumId="57">
    <w:nsid w:val="17180B0B"/>
    <w:multiLevelType w:val="hybridMultilevel"/>
    <w:lvl w:ilvl="0">
      <w:lvlJc w:val="left"/>
      <w:lvlText w:val="%1."/>
      <w:numFmt w:val="decimal"/>
      <w:start w:val="10"/>
    </w:lvl>
  </w:abstractNum>
  <w:abstractNum w:abstractNumId="58">
    <w:nsid w:val="579328B9"/>
    <w:multiLevelType w:val="hybridMultilevel"/>
    <w:lvl w:ilvl="0">
      <w:lvlJc w:val="left"/>
      <w:lvlText w:val="%1."/>
      <w:numFmt w:val="decimal"/>
      <w:start w:val="11"/>
    </w:lvl>
  </w:abstractNum>
  <w:abstractNum w:abstractNumId="59">
    <w:nsid w:val="5D205E20"/>
    <w:multiLevelType w:val="hybridMultilevel"/>
    <w:lvl w:ilvl="0">
      <w:lvlJc w:val="left"/>
      <w:lvlText w:val="%1."/>
      <w:numFmt w:val="decimal"/>
      <w:start w:val="14"/>
    </w:lvl>
  </w:abstractNum>
  <w:abstractNum w:abstractNumId="60">
    <w:nsid w:val="11CCA8BA"/>
    <w:multiLevelType w:val="hybridMultilevel"/>
    <w:lvl w:ilvl="0">
      <w:lvlJc w:val="left"/>
      <w:lvlText w:val="%1."/>
      <w:numFmt w:val="decimal"/>
      <w:start w:val="16"/>
    </w:lvl>
  </w:abstractNum>
  <w:abstractNum w:abstractNumId="61">
    <w:nsid w:val="4D32AB86"/>
    <w:multiLevelType w:val="hybridMultilevel"/>
    <w:lvl w:ilvl="0">
      <w:lvlJc w:val="left"/>
      <w:lvlText w:val="%1."/>
      <w:numFmt w:val="decimal"/>
      <w:start w:val="17"/>
    </w:lvl>
  </w:abstractNum>
  <w:abstractNum w:abstractNumId="62">
    <w:nsid w:val="3F07ACC3"/>
    <w:multiLevelType w:val="hybridMultilevel"/>
    <w:lvl w:ilvl="0">
      <w:lvlJc w:val="left"/>
      <w:lvlText w:val="%1."/>
      <w:numFmt w:val="decimal"/>
      <w:start w:val="1"/>
    </w:lvl>
  </w:abstractNum>
  <w:abstractNum w:abstractNumId="63">
    <w:nsid w:val="6B47F63E"/>
    <w:multiLevelType w:val="hybridMultilevel"/>
    <w:lvl w:ilvl="0">
      <w:lvlJc w:val="left"/>
      <w:lvlText w:val="%1."/>
      <w:numFmt w:val="decimal"/>
      <w:start w:val="6"/>
    </w:lvl>
  </w:abstractNum>
  <w:abstractNum w:abstractNumId="64">
    <w:nsid w:val="5CB44A05"/>
    <w:multiLevelType w:val="hybridMultilevel"/>
    <w:lvl w:ilvl="0">
      <w:lvlJc w:val="left"/>
      <w:lvlText w:val="%1."/>
      <w:numFmt w:val="decimal"/>
      <w:start w:val="1"/>
    </w:lvl>
    <w:lvl w:ilvl="1">
      <w:lvlJc w:val="left"/>
      <w:lvlText w:val="%2."/>
      <w:numFmt w:val="lowerLetter"/>
      <w:start w:val="1"/>
    </w:lvl>
  </w:abstractNum>
  <w:abstractNum w:abstractNumId="65">
    <w:nsid w:val="16CF80F1"/>
    <w:multiLevelType w:val="hybridMultilevel"/>
    <w:lvl w:ilvl="0">
      <w:lvlJc w:val="left"/>
      <w:lvlText w:val="%1"/>
      <w:numFmt w:val="decimal"/>
      <w:start w:val="1"/>
    </w:lvl>
    <w:lvl w:ilvl="1">
      <w:lvlJc w:val="left"/>
      <w:lvlText w:val="%2."/>
      <w:numFmt w:val="lowerLetter"/>
      <w:start w:val="4"/>
    </w:lvl>
  </w:abstractNum>
  <w:abstractNum w:abstractNumId="66">
    <w:nsid w:val="1C695DEC"/>
    <w:multiLevelType w:val="hybridMultilevel"/>
    <w:lvl w:ilvl="0">
      <w:lvlJc w:val="left"/>
      <w:lvlText w:val="%1."/>
      <w:numFmt w:val="decimal"/>
      <w:start w:val="6"/>
    </w:lvl>
    <w:lvl w:ilvl="1">
      <w:lvlJc w:val="left"/>
      <w:lvlText w:val="%2"/>
      <w:numFmt w:val="lowerLetter"/>
      <w:start w:val="1"/>
    </w:lvl>
  </w:abstractNum>
  <w:abstractNum w:abstractNumId="67">
    <w:nsid w:val="3FCFAED9"/>
    <w:multiLevelType w:val="hybridMultilevel"/>
    <w:lvl w:ilvl="0">
      <w:lvlJc w:val="left"/>
      <w:lvlText w:val="%1."/>
      <w:numFmt w:val="decimal"/>
      <w:start w:val="15"/>
    </w:lvl>
  </w:abstractNum>
  <w:abstractNum w:abstractNumId="68">
    <w:nsid w:val="F856867"/>
    <w:multiLevelType w:val="hybridMultilevel"/>
    <w:lvl w:ilvl="0">
      <w:lvlJc w:val="left"/>
      <w:lvlText w:val="%1."/>
      <w:numFmt w:val="decimal"/>
      <w:start w:val="1"/>
    </w:lvl>
  </w:abstractNum>
  <w:abstractNum w:abstractNumId="69">
    <w:nsid w:val="11B1CC33"/>
    <w:multiLevelType w:val="hybridMultilevel"/>
    <w:lvl w:ilvl="0">
      <w:lvlJc w:val="left"/>
      <w:lvlText w:val="•"/>
      <w:numFmt w:val="bullet"/>
      <w:start w:val="1"/>
    </w:lvl>
  </w:abstractNum>
  <w:abstractNum w:abstractNumId="70">
    <w:nsid w:val="2E22FBB7"/>
    <w:multiLevelType w:val="hybridMultilevel"/>
    <w:lvl w:ilvl="0">
      <w:lvlJc w:val="left"/>
      <w:lvlText w:val="•"/>
      <w:numFmt w:val="bullet"/>
      <w:start w:val="1"/>
    </w:lvl>
  </w:abstractNum>
  <w:abstractNum w:abstractNumId="71">
    <w:nsid w:val="29934699"/>
    <w:multiLevelType w:val="hybridMultilevel"/>
    <w:lvl w:ilvl="0">
      <w:lvlJc w:val="left"/>
      <w:lvlText w:val="%1."/>
      <w:numFmt w:val="upperLetter"/>
      <w:start w:val="10"/>
    </w:lvl>
  </w:abstractNum>
  <w:abstractNum w:abstractNumId="72">
    <w:nsid w:val="77485850"/>
    <w:multiLevelType w:val="hybridMultilevel"/>
    <w:lvl w:ilvl="0">
      <w:lvlJc w:val="left"/>
      <w:lvlText w:val="%1."/>
      <w:numFmt w:val="decimal"/>
      <w:start w:val="1"/>
    </w:lvl>
    <w:lvl w:ilvl="1">
      <w:lvlJc w:val="left"/>
      <w:lvlText w:val="%2."/>
      <w:numFmt w:val="lowerLetter"/>
      <w:start w:val="1"/>
    </w:lvl>
  </w:abstractNum>
  <w:abstractNum w:abstractNumId="73">
    <w:nsid w:val="744939A3"/>
    <w:multiLevelType w:val="hybridMultilevel"/>
    <w:lvl w:ilvl="0">
      <w:lvlJc w:val="left"/>
      <w:lvlText w:val="%1."/>
      <w:numFmt w:val="lowerLetter"/>
      <w:start w:val="3"/>
    </w:lvl>
  </w:abstractNum>
  <w:abstractNum w:abstractNumId="74">
    <w:nsid w:val="4FA0D2E3"/>
    <w:multiLevelType w:val="hybridMultilevel"/>
    <w:lvl w:ilvl="0">
      <w:lvlJc w:val="left"/>
      <w:lvlText w:val="%1."/>
      <w:numFmt w:val="lowerLetter"/>
      <w:start w:val="4"/>
    </w:lvl>
  </w:abstractNum>
  <w:abstractNum w:abstractNumId="75">
    <w:nsid w:val="6B1D2C14"/>
    <w:multiLevelType w:val="hybridMultilevel"/>
    <w:lvl w:ilvl="0">
      <w:lvlJc w:val="left"/>
      <w:lvlText w:val="%1."/>
      <w:numFmt w:val="upperLetter"/>
      <w:start w:val="1"/>
    </w:lvl>
  </w:abstractNum>
  <w:abstractNum w:abstractNumId="76">
    <w:nsid w:val="68B867D3"/>
    <w:multiLevelType w:val="hybridMultilevel"/>
    <w:lvl w:ilvl="0">
      <w:lvlJc w:val="left"/>
      <w:lvlText w:val="%1."/>
      <w:numFmt w:val="decimal"/>
      <w:start w:val="1"/>
    </w:lvl>
    <w:lvl w:ilvl="1">
      <w:lvlJc w:val="left"/>
      <w:lvlText w:val="(%2)"/>
      <w:numFmt w:val="lowerLetter"/>
      <w:start w:val="1"/>
    </w:lvl>
  </w:abstractNum>
  <w:abstractNum w:abstractNumId="77">
    <w:nsid w:val="3F7F5DD9"/>
    <w:multiLevelType w:val="hybridMultilevel"/>
    <w:lvl w:ilvl="0">
      <w:lvlJc w:val="left"/>
      <w:lvlText w:val="%1."/>
      <w:numFmt w:val="decimal"/>
      <w:start w:val="4"/>
    </w:lvl>
  </w:abstractNum>
  <w:abstractNum w:abstractNumId="78">
    <w:nsid w:val="2AE05A34"/>
    <w:multiLevelType w:val="hybridMultilevel"/>
    <w:lvl w:ilvl="0">
      <w:lvlJc w:val="left"/>
      <w:lvlText w:val="%1."/>
      <w:numFmt w:val="decimal"/>
      <w:start w:val="5"/>
    </w:lvl>
  </w:abstractNum>
  <w:abstractNum w:abstractNumId="79">
    <w:nsid w:val="32794FF7"/>
    <w:multiLevelType w:val="hybridMultilevel"/>
    <w:lvl w:ilvl="0">
      <w:lvlJc w:val="left"/>
      <w:lvlText w:val="%1."/>
      <w:numFmt w:val="decimal"/>
      <w:start w:val="8"/>
    </w:lvl>
  </w:abstractNum>
  <w:abstractNum w:abstractNumId="80">
    <w:nsid w:val="5454945E"/>
    <w:multiLevelType w:val="hybridMultilevel"/>
    <w:lvl w:ilvl="0">
      <w:lvlJc w:val="left"/>
      <w:lvlText w:val="%1."/>
      <w:numFmt w:val="decimal"/>
      <w:start w:val="9"/>
    </w:lvl>
  </w:abstractNum>
  <w:abstractNum w:abstractNumId="81">
    <w:nsid w:val="4DEFDFA0"/>
    <w:multiLevelType w:val="hybridMultilevel"/>
    <w:lvl w:ilvl="0">
      <w:lvlJc w:val="left"/>
      <w:lvlText w:val="%1."/>
      <w:numFmt w:val="upperLetter"/>
      <w:start w:val="1"/>
    </w:lvl>
  </w:abstractNum>
  <w:abstractNum w:abstractNumId="82">
    <w:nsid w:val="2123D5F2"/>
    <w:multiLevelType w:val="hybridMultilevel"/>
    <w:lvl w:ilvl="0">
      <w:lvlJc w:val="left"/>
      <w:lvlText w:val="%1."/>
      <w:numFmt w:val="upperLetter"/>
      <w:start w:val="1"/>
    </w:lvl>
  </w:abstractNum>
  <w:abstractNum w:abstractNumId="83">
    <w:nsid w:val="135B8110"/>
    <w:multiLevelType w:val="hybridMultilevel"/>
    <w:lvl w:ilvl="0">
      <w:lvlJc w:val="left"/>
      <w:lvlText w:val="%1."/>
      <w:numFmt w:val="upperLetter"/>
      <w:start w:val="13"/>
    </w:lvl>
  </w:abstractNum>
  <w:abstractNum w:abstractNumId="84">
    <w:nsid w:val="94927A8"/>
    <w:multiLevelType w:val="hybridMultilevel"/>
    <w:lvl w:ilvl="0">
      <w:lvlJc w:val="left"/>
      <w:lvlText w:val="%1."/>
      <w:numFmt w:val="upperLetter"/>
      <w:start w:val="1"/>
    </w:lvl>
    <w:lvl w:ilvl="1">
      <w:lvlJc w:val="left"/>
      <w:lvlText w:val="%2."/>
      <w:numFmt w:val="decimal"/>
      <w:start w:val="1"/>
    </w:lvl>
  </w:abstractNum>
  <w:abstractNum w:abstractNumId="85">
    <w:nsid w:val="DCDF8F6"/>
    <w:multiLevelType w:val="hybridMultilevel"/>
    <w:lvl w:ilvl="0">
      <w:lvlJc w:val="left"/>
      <w:lvlText w:val="%1."/>
      <w:numFmt w:val="decimal"/>
      <w:start w:val="2"/>
    </w:lvl>
  </w:abstractNum>
  <w:abstractNum w:abstractNumId="86">
    <w:nsid w:val="52D7B105"/>
    <w:multiLevelType w:val="hybridMultilevel"/>
    <w:lvl w:ilvl="0">
      <w:lvlJc w:val="left"/>
      <w:lvlText w:val="%1."/>
      <w:numFmt w:val="upperLetter"/>
      <w:start w:val="1"/>
    </w:lvl>
  </w:abstractNum>
  <w:abstractNum w:abstractNumId="87">
    <w:nsid w:val="2E8A6394"/>
    <w:multiLevelType w:val="hybridMultilevel"/>
    <w:lvl w:ilvl="0">
      <w:lvlJc w:val="left"/>
      <w:lvlText w:val="%1."/>
      <w:numFmt w:val="upperLetter"/>
      <w:start w:val="1"/>
    </w:lvl>
    <w:lvl w:ilvl="1">
      <w:lvlJc w:val="left"/>
      <w:lvlText w:val="%2."/>
      <w:numFmt w:val="decimal"/>
      <w:start w:val="1"/>
    </w:lvl>
  </w:abstractNum>
  <w:abstractNum w:abstractNumId="88">
    <w:nsid w:val="24E60401"/>
    <w:multiLevelType w:val="hybridMultilevel"/>
    <w:lvl w:ilvl="0">
      <w:lvlJc w:val="left"/>
      <w:lvlText w:val="%1."/>
      <w:numFmt w:val="upperLetter"/>
      <w:start w:val="1"/>
    </w:lvl>
    <w:lvl w:ilvl="1">
      <w:lvlJc w:val="left"/>
      <w:lvlText w:val="%2."/>
      <w:numFmt w:val="decimal"/>
      <w:start w:val="1"/>
    </w:lvl>
  </w:abstractNum>
  <w:abstractNum w:abstractNumId="89">
    <w:nsid w:val="2A6AD9BE"/>
    <w:multiLevelType w:val="hybridMultilevel"/>
    <w:lvl w:ilvl="0">
      <w:lvlJc w:val="left"/>
      <w:lvlText w:val="%1."/>
      <w:numFmt w:val="upperLetter"/>
      <w:start w:val="1"/>
    </w:lvl>
    <w:lvl w:ilvl="1">
      <w:lvlJc w:val="left"/>
      <w:lvlText w:val="%2."/>
      <w:numFmt w:val="decimal"/>
      <w:start w:val="1"/>
    </w:lvl>
  </w:abstractNum>
  <w:abstractNum w:abstractNumId="90">
    <w:nsid w:val="BAAC1B4"/>
    <w:multiLevelType w:val="hybridMultilevel"/>
    <w:lvl w:ilvl="0">
      <w:lvlJc w:val="left"/>
      <w:lvlText w:val="%1."/>
      <w:numFmt w:val="upperLetter"/>
      <w:start w:val="1"/>
    </w:lvl>
  </w:abstractNum>
  <w:abstractNum w:abstractNumId="91">
    <w:nsid w:val="36B2ACBC"/>
    <w:multiLevelType w:val="hybridMultilevel"/>
    <w:lvl w:ilvl="0">
      <w:lvlJc w:val="left"/>
      <w:lvlText w:val="%1."/>
      <w:numFmt w:val="upperLetter"/>
      <w:start w:val="1"/>
    </w:lvl>
  </w:abstractNum>
  <w:abstractNum w:abstractNumId="92">
    <w:nsid w:val="779D8544"/>
    <w:multiLevelType w:val="hybridMultilevel"/>
    <w:lvl w:ilvl="0">
      <w:lvlJc w:val="left"/>
      <w:lvlText w:val="%1."/>
      <w:numFmt w:val="upperLetter"/>
      <w:start w:val="1"/>
    </w:lvl>
  </w:abstractNum>
  <w:abstractNum w:abstractNumId="93">
    <w:nsid w:val="4AB26E78"/>
    <w:multiLevelType w:val="hybridMultilevel"/>
    <w:lvl w:ilvl="0">
      <w:lvlJc w:val="left"/>
      <w:lvlText w:val="%1."/>
      <w:numFmt w:val="upperLetter"/>
      <w:start w:val="2"/>
    </w:lvl>
  </w:abstractNum>
  <w:abstractNum w:abstractNumId="94">
    <w:nsid w:val="21FAA2FA"/>
    <w:multiLevelType w:val="hybridMultilevel"/>
    <w:lvl w:ilvl="0">
      <w:lvlJc w:val="left"/>
      <w:lvlText w:val="%1."/>
      <w:numFmt w:val="upperLetter"/>
      <w:start w:val="1"/>
    </w:lvl>
    <w:lvl w:ilvl="1">
      <w:lvlJc w:val="left"/>
      <w:lvlText w:val="%2."/>
      <w:numFmt w:val="decimal"/>
      <w:start w:val="1"/>
    </w:lvl>
  </w:abstractNum>
  <w:abstractNum w:abstractNumId="95">
    <w:nsid w:val="5451CF49"/>
    <w:multiLevelType w:val="hybridMultilevel"/>
    <w:lvl w:ilvl="0">
      <w:lvlJc w:val="left"/>
      <w:lvlText w:val="%1."/>
      <w:numFmt w:val="upperLetter"/>
      <w:start w:val="1"/>
    </w:lvl>
  </w:abstractNum>
  <w:abstractNum w:abstractNumId="96">
    <w:nsid w:val="6181EF69"/>
    <w:multiLevelType w:val="hybridMultilevel"/>
    <w:lvl w:ilvl="0">
      <w:lvlJc w:val="left"/>
      <w:lvlText w:val="%1."/>
      <w:numFmt w:val="upperLetter"/>
      <w:start w:val="1"/>
    </w:lvl>
  </w:abstractNum>
  <w:abstractNum w:abstractNumId="97">
    <w:nsid w:val="3E6400E6"/>
    <w:multiLevelType w:val="hybridMultilevel"/>
    <w:lvl w:ilvl="0">
      <w:lvlJc w:val="left"/>
      <w:lvlText w:val="%1."/>
      <w:numFmt w:val="decimal"/>
      <w:start w:val="1"/>
    </w:lvl>
  </w:abstractNum>
  <w:abstractNum w:abstractNumId="98">
    <w:nsid w:val="14217E23"/>
    <w:multiLevelType w:val="hybridMultilevel"/>
    <w:lvl w:ilvl="0">
      <w:lvlJc w:val="left"/>
      <w:lvlText w:val="%1."/>
      <w:numFmt w:val="upperLetter"/>
      <w:start w:val="1"/>
    </w:lvl>
    <w:lvl w:ilvl="1">
      <w:lvlJc w:val="left"/>
      <w:lvlText w:val="%2."/>
      <w:numFmt w:val="decimal"/>
      <w:start w:val="1"/>
    </w:lvl>
  </w:abstractNum>
  <w:abstractNum w:abstractNumId="99">
    <w:nsid w:val="710757D0"/>
    <w:multiLevelType w:val="hybridMultilevel"/>
    <w:lvl w:ilvl="0">
      <w:lvlJc w:val="left"/>
      <w:lvlText w:val="%1"/>
      <w:numFmt w:val="decimal"/>
      <w:start w:val="1"/>
    </w:lvl>
    <w:lvl w:ilvl="1">
      <w:lvlJc w:val="left"/>
      <w:lvlText w:val="%2."/>
      <w:numFmt w:val="lowerLetter"/>
      <w:start w:val="1"/>
    </w:lvl>
  </w:abstractNum>
  <w:abstractNum w:abstractNumId="100">
    <w:nsid w:val="5015CD1A"/>
    <w:multiLevelType w:val="hybridMultilevel"/>
    <w:lvl w:ilvl="0">
      <w:lvlJc w:val="left"/>
      <w:lvlText w:val="%1."/>
      <w:numFmt w:val="decimal"/>
      <w:start w:val="4"/>
    </w:lvl>
    <w:lvl w:ilvl="1">
      <w:lvlJc w:val="left"/>
      <w:lvlText w:val="%2"/>
      <w:numFmt w:val="lowerLetter"/>
      <w:start w:val="1"/>
    </w:lvl>
  </w:abstractNum>
  <w:abstractNum w:abstractNumId="101">
    <w:nsid w:val="424479DA"/>
    <w:multiLevelType w:val="hybridMultilevel"/>
    <w:lvl w:ilvl="0">
      <w:lvlJc w:val="left"/>
      <w:lvlText w:val="%1."/>
      <w:numFmt w:val="decimal"/>
      <w:start w:val="5"/>
    </w:lvl>
    <w:lvl w:ilvl="1">
      <w:lvlJc w:val="left"/>
      <w:lvlText w:val="%2)"/>
      <w:numFmt w:val="decimal"/>
      <w:start w:val="1"/>
    </w:lvl>
  </w:abstractNum>
  <w:abstractNum w:abstractNumId="102">
    <w:nsid w:val="1A9A9E69"/>
    <w:multiLevelType w:val="hybridMultilevel"/>
    <w:lvl w:ilvl="0">
      <w:lvlJc w:val="left"/>
      <w:lvlText w:val="%1."/>
      <w:numFmt w:val="decimal"/>
      <w:start w:val="8"/>
    </w:lvl>
  </w:abstractNum>
  <w:abstractNum w:abstractNumId="103">
    <w:nsid w:val="475E256A"/>
    <w:multiLevelType w:val="hybridMultilevel"/>
    <w:lvl w:ilvl="0">
      <w:lvlJc w:val="left"/>
      <w:lvlText w:val="%1."/>
      <w:numFmt w:val="decimal"/>
      <w:start w:val="9"/>
    </w:lvl>
  </w:abstractNum>
  <w:abstractNum w:abstractNumId="104">
    <w:nsid w:val="368DB37E"/>
    <w:multiLevelType w:val="hybridMultilevel"/>
    <w:lvl w:ilvl="0">
      <w:lvlJc w:val="left"/>
      <w:lvlText w:val="%1."/>
      <w:numFmt w:val="decimal"/>
      <w:start w:val="10"/>
    </w:lvl>
  </w:abstractNum>
  <w:abstractNum w:abstractNumId="105">
    <w:nsid w:val="6A3B714C"/>
    <w:multiLevelType w:val="hybridMultilevel"/>
    <w:lvl w:ilvl="0">
      <w:lvlJc w:val="left"/>
      <w:lvlText w:val="%1."/>
      <w:numFmt w:val="decimal"/>
      <w:start w:val="11"/>
    </w:lvl>
    <w:lvl w:ilvl="1">
      <w:lvlJc w:val="left"/>
      <w:lvlText w:val="%2"/>
      <w:numFmt w:val="lowerLetter"/>
      <w:start w:val="1"/>
    </w:lvl>
  </w:abstractNum>
  <w:abstractNum w:abstractNumId="106">
    <w:nsid w:val="327B517E"/>
    <w:multiLevelType w:val="hybridMultilevel"/>
    <w:lvl w:ilvl="0">
      <w:lvlJc w:val="left"/>
      <w:lvlText w:val="%1."/>
      <w:numFmt w:val="upperLetter"/>
      <w:start w:val="1"/>
    </w:lvl>
  </w:abstractNum>
  <w:abstractNum w:abstractNumId="107">
    <w:nsid w:val="1F461B51"/>
    <w:multiLevelType w:val="hybridMultilevel"/>
    <w:lvl w:ilvl="0">
      <w:lvlJc w:val="left"/>
      <w:lvlText w:val="%1."/>
      <w:numFmt w:val="upperLetter"/>
      <w:start w:val="1"/>
    </w:lvl>
  </w:abstractNum>
  <w:abstractNum w:abstractNumId="108">
    <w:nsid w:val="29BACF25"/>
    <w:multiLevelType w:val="hybridMultilevel"/>
    <w:lvl w:ilvl="0">
      <w:lvlJc w:val="left"/>
      <w:lvlText w:val="%1."/>
      <w:numFmt w:val="upperLetter"/>
      <w:start w:val="1"/>
    </w:lvl>
  </w:abstractNum>
  <w:abstractNum w:abstractNumId="109">
    <w:nsid w:val="5D5BABB3"/>
    <w:multiLevelType w:val="hybridMultilevel"/>
    <w:lvl w:ilvl="0">
      <w:lvlJc w:val="left"/>
      <w:lvlText w:val="%1."/>
      <w:numFmt w:val="decimal"/>
      <w:start w:val="1"/>
    </w:lvl>
    <w:lvl w:ilvl="1">
      <w:lvlJc w:val="left"/>
      <w:lvlText w:val="%2."/>
      <w:numFmt w:val="lowerLetter"/>
      <w:start w:val="1"/>
    </w:lvl>
  </w:abstractNum>
  <w:abstractNum w:abstractNumId="110">
    <w:nsid w:val="51BF6B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1">
    <w:nsid w:val="7E0F6384"/>
    <w:multiLevelType w:val="hybridMultilevel"/>
    <w:lvl w:ilvl="0">
      <w:lvlJc w:val="left"/>
      <w:lvlText w:val="%1"/>
      <w:numFmt w:val="upperLetter"/>
      <w:start w:val="1"/>
    </w:lvl>
    <w:lvl w:ilvl="1">
      <w:lvlJc w:val="left"/>
      <w:lvlText w:val="%2."/>
      <w:numFmt w:val="decimal"/>
      <w:start w:val="1"/>
    </w:lvl>
  </w:abstractNum>
  <w:abstractNum w:abstractNumId="112">
    <w:nsid w:val="2B4B8B53"/>
    <w:multiLevelType w:val="hybridMultilevel"/>
    <w:lvl w:ilvl="0">
      <w:lvlJc w:val="left"/>
      <w:lvlText w:val="%1."/>
      <w:numFmt w:val="upperLetter"/>
      <w:start w:val="3"/>
    </w:lvl>
    <w:lvl w:ilvl="1">
      <w:lvlJc w:val="left"/>
      <w:lvlText w:val="%2"/>
      <w:numFmt w:val="decimal"/>
      <w:start w:val="1"/>
    </w:lvl>
  </w:abstractNum>
  <w:abstractNum w:abstractNumId="113">
    <w:nsid w:val="72E341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4">
    <w:nsid w:val="116AE494"/>
    <w:multiLevelType w:val="hybridMultilevel"/>
    <w:lvl w:ilvl="0">
      <w:lvlJc w:val="left"/>
      <w:lvlText w:val="%1."/>
      <w:numFmt w:val="upperLetter"/>
      <w:start w:val="1"/>
    </w:lvl>
  </w:abstractNum>
  <w:abstractNum w:abstractNumId="115">
    <w:nsid w:val="3494B2FB"/>
    <w:multiLevelType w:val="hybridMultilevel"/>
    <w:lvl w:ilvl="0">
      <w:lvlJc w:val="left"/>
      <w:lvlText w:val="%1."/>
      <w:numFmt w:val="upperLetter"/>
      <w:start w:val="1"/>
    </w:lvl>
  </w:abstractNum>
  <w:abstractNum w:abstractNumId="116">
    <w:nsid w:val="B13A31"/>
    <w:multiLevelType w:val="hybridMultilevel"/>
    <w:lvl w:ilvl="0">
      <w:lvlJc w:val="left"/>
      <w:lvlText w:val="%1."/>
      <w:numFmt w:val="upperLetter"/>
      <w:start w:val="6"/>
    </w:lvl>
    <w:lvl w:ilvl="1">
      <w:lvlJc w:val="left"/>
      <w:lvlText w:val="%2."/>
      <w:numFmt w:val="decimal"/>
      <w:start w:val="1"/>
    </w:lvl>
  </w:abstractNum>
  <w:abstractNum w:abstractNumId="117">
    <w:nsid w:val="64429599"/>
    <w:multiLevelType w:val="hybridMultilevel"/>
    <w:lvl w:ilvl="0">
      <w:lvlJc w:val="left"/>
      <w:lvlText w:val="%1"/>
      <w:numFmt w:val="decimal"/>
      <w:start w:val="1"/>
    </w:lvl>
    <w:lvl w:ilvl="1">
      <w:lvlJc w:val="left"/>
      <w:lvlText w:val="%2."/>
      <w:numFmt w:val="decimal"/>
      <w:start w:val="2"/>
    </w:lvl>
  </w:abstractNum>
  <w:abstractNum w:abstractNumId="118">
    <w:nsid w:val="631F1690"/>
    <w:multiLevelType w:val="hybridMultilevel"/>
    <w:lvl w:ilvl="0">
      <w:lvlJc w:val="left"/>
      <w:lvlText w:val="%1."/>
      <w:numFmt w:val="decimal"/>
      <w:start w:val="3"/>
    </w:lvl>
    <w:lvl w:ilvl="1">
      <w:lvlJc w:val="left"/>
      <w:lvlText w:val="%2"/>
      <w:numFmt w:val="decimal"/>
      <w:start w:val="1"/>
    </w:lvl>
  </w:abstractNum>
  <w:abstractNum w:abstractNumId="119">
    <w:nsid w:val="25973E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20">
    <w:nsid w:val="EAD6F57"/>
    <w:multiLevelType w:val="hybridMultilevel"/>
    <w:lvl w:ilvl="0">
      <w:lvlJc w:val="left"/>
      <w:lvlText w:val="%1."/>
      <w:numFmt w:val="upperLetter"/>
      <w:start w:val="1"/>
    </w:lvl>
    <w:lvl w:ilvl="1">
      <w:lvlJc w:val="left"/>
      <w:lvlText w:val="%2."/>
      <w:numFmt w:val="decimal"/>
      <w:start w:val="1"/>
    </w:lvl>
  </w:abstractNum>
  <w:abstractNum w:abstractNumId="121">
    <w:nsid w:val="6EC9D844"/>
    <w:multiLevelType w:val="hybridMultilevel"/>
    <w:lvl w:ilvl="0">
      <w:lvlJc w:val="left"/>
      <w:lvlText w:val="%1."/>
      <w:numFmt w:val="upperLetter"/>
      <w:start w:val="1"/>
    </w:lvl>
  </w:abstractNum>
  <w:abstractNum w:abstractNumId="122">
    <w:nsid w:val="5C49EAEE"/>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23">
    <w:nsid w:val="64AF49B"/>
    <w:multiLevelType w:val="hybridMultilevel"/>
    <w:lvl w:ilvl="0">
      <w:lvlJc w:val="left"/>
      <w:lvlText w:val="%1."/>
      <w:numFmt w:val="upperLetter"/>
      <w:start w:val="1"/>
    </w:lvl>
  </w:abstractNum>
  <w:abstractNum w:abstractNumId="124">
    <w:nsid w:val="397C46BC"/>
    <w:multiLevelType w:val="hybridMultilevel"/>
    <w:lvl w:ilvl="0">
      <w:lvlJc w:val="left"/>
      <w:lvlText w:val="%1."/>
      <w:numFmt w:val="upperLetter"/>
      <w:start w:val="8"/>
    </w:lvl>
  </w:abstractNum>
  <w:abstractNum w:abstractNumId="125">
    <w:nsid w:val="7E448DE9"/>
    <w:multiLevelType w:val="hybridMultilevel"/>
    <w:lvl w:ilvl="0">
      <w:lvlJc w:val="left"/>
      <w:lvlText w:val="%1."/>
      <w:numFmt w:val="upperLetter"/>
      <w:start w:val="1"/>
    </w:lvl>
  </w:abstractNum>
  <w:abstractNum w:abstractNumId="126">
    <w:nsid w:val="5A9CC3E5"/>
    <w:multiLevelType w:val="hybridMultilevel"/>
    <w:lvl w:ilvl="0">
      <w:lvlJc w:val="left"/>
      <w:lvlText w:val="%1."/>
      <w:numFmt w:val="upperLetter"/>
      <w:start w:val="1"/>
    </w:lvl>
  </w:abstractNum>
  <w:abstractNum w:abstractNumId="127">
    <w:nsid w:val="1AFE3625"/>
    <w:multiLevelType w:val="hybridMultilevel"/>
    <w:lvl w:ilvl="0">
      <w:lvlJc w:val="left"/>
      <w:lvlText w:val="%1."/>
      <w:numFmt w:val="upperLetter"/>
      <w:start w:val="1"/>
    </w:lvl>
  </w:abstractNum>
  <w:abstractNum w:abstractNumId="128">
    <w:nsid w:val="3CA88ECF"/>
    <w:multiLevelType w:val="hybridMultilevel"/>
    <w:lvl w:ilvl="0">
      <w:lvlJc w:val="left"/>
      <w:lvlText w:val="%1."/>
      <w:numFmt w:val="upperLetter"/>
      <w:start w:val="4"/>
    </w:lvl>
  </w:abstractNum>
  <w:abstractNum w:abstractNumId="129">
    <w:nsid w:val="6EBE4208"/>
    <w:multiLevelType w:val="hybridMultilevel"/>
    <w:lvl w:ilvl="0">
      <w:lvlJc w:val="left"/>
      <w:lvlText w:val="%1."/>
      <w:numFmt w:val="upperLetter"/>
      <w:start w:val="1"/>
    </w:lvl>
  </w:abstractNum>
  <w:abstractNum w:abstractNumId="130">
    <w:nsid w:val="C058DF5"/>
    <w:multiLevelType w:val="hybridMultilevel"/>
    <w:lvl w:ilvl="0">
      <w:lvlJc w:val="left"/>
      <w:lvlText w:val="%1."/>
      <w:numFmt w:val="upperLetter"/>
      <w:start w:val="1"/>
    </w:lvl>
  </w:abstractNum>
  <w:abstractNum w:abstractNumId="131">
    <w:nsid w:val="CBE5BE9"/>
    <w:multiLevelType w:val="hybridMultilevel"/>
    <w:lvl w:ilvl="0">
      <w:lvlJc w:val="left"/>
      <w:lvlText w:val="%1."/>
      <w:numFmt w:val="upperLetter"/>
      <w:start w:val="1"/>
    </w:lvl>
  </w:abstractNum>
  <w:abstractNum w:abstractNumId="132">
    <w:nsid w:val="3102BBE2"/>
    <w:multiLevelType w:val="hybridMultilevel"/>
    <w:lvl w:ilvl="0">
      <w:lvlJc w:val="left"/>
      <w:lvlText w:val="%1."/>
      <w:numFmt w:val="upperLetter"/>
      <w:start w:val="1"/>
    </w:lvl>
  </w:abstractNum>
  <w:abstractNum w:abstractNumId="133">
    <w:nsid w:val="26A02C5E"/>
    <w:multiLevelType w:val="hybridMultilevel"/>
    <w:lvl w:ilvl="0">
      <w:lvlJc w:val="left"/>
      <w:lvlText w:val="%1."/>
      <w:numFmt w:val="upperLetter"/>
      <w:start w:val="1"/>
    </w:lvl>
  </w:abstractNum>
  <w:abstractNum w:abstractNumId="134">
    <w:nsid w:val="541C8153"/>
    <w:multiLevelType w:val="hybridMultilevel"/>
    <w:lvl w:ilvl="0">
      <w:lvlJc w:val="left"/>
      <w:lvlText w:val="%1."/>
      <w:numFmt w:val="upperLetter"/>
      <w:start w:val="1"/>
    </w:lvl>
  </w:abstractNum>
  <w:abstractNum w:abstractNumId="135">
    <w:nsid w:val="67906F60"/>
    <w:multiLevelType w:val="hybridMultilevel"/>
    <w:lvl w:ilvl="0">
      <w:lvlJc w:val="left"/>
      <w:lvlText w:val="%1."/>
      <w:numFmt w:val="upperLetter"/>
      <w:start w:val="1"/>
    </w:lvl>
  </w:abstractNum>
  <w:abstractNum w:abstractNumId="136">
    <w:nsid w:val="10DB9DAA"/>
    <w:multiLevelType w:val="hybridMultilevel"/>
    <w:lvl w:ilvl="0">
      <w:lvlJc w:val="left"/>
      <w:lvlText w:val="%1."/>
      <w:numFmt w:val="upperLetter"/>
      <w:start w:val="1"/>
    </w:lvl>
    <w:lvl w:ilvl="1">
      <w:lvlJc w:val="left"/>
      <w:lvlText w:val="%2."/>
      <w:numFmt w:val="decimal"/>
      <w:start w:val="1"/>
    </w:lvl>
  </w:abstractNum>
  <w:abstractNum w:abstractNumId="137">
    <w:nsid w:val="697D2D2"/>
    <w:multiLevelType w:val="hybridMultilevel"/>
    <w:lvl w:ilvl="0">
      <w:lvlJc w:val="left"/>
      <w:lvlText w:val="%1."/>
      <w:numFmt w:val="upperLetter"/>
      <w:start w:val="1"/>
    </w:lvl>
    <w:lvl w:ilvl="1">
      <w:lvlJc w:val="left"/>
      <w:lvlText w:val="%2."/>
      <w:numFmt w:val="decimal"/>
      <w:start w:val="1"/>
    </w:lvl>
  </w:abstractNum>
  <w:abstractNum w:abstractNumId="138">
    <w:nsid w:val="6D68AB2"/>
    <w:multiLevelType w:val="hybridMultilevel"/>
    <w:lvl w:ilvl="0">
      <w:lvlJc w:val="left"/>
      <w:lvlText w:val="%1"/>
      <w:numFmt w:val="upperLetter"/>
      <w:start w:val="1"/>
    </w:lvl>
    <w:lvl w:ilvl="1">
      <w:lvlJc w:val="left"/>
      <w:lvlText w:val="%2."/>
      <w:numFmt w:val="decimal"/>
      <w:start w:val="1"/>
    </w:lvl>
  </w:abstractNum>
  <w:abstractNum w:abstractNumId="139">
    <w:nsid w:val="3A966CD0"/>
    <w:multiLevelType w:val="hybridMultilevel"/>
    <w:lvl w:ilvl="0">
      <w:lvlJc w:val="left"/>
      <w:lvlText w:val="%1."/>
      <w:numFmt w:val="upperLetter"/>
      <w:start w:val="5"/>
    </w:lvl>
    <w:lvl w:ilvl="1">
      <w:lvlJc w:val="left"/>
      <w:lvlText w:val="%2"/>
      <w:numFmt w:val="decimal"/>
      <w:start w:val="1"/>
    </w:lvl>
  </w:abstractNum>
  <w:abstractNum w:abstractNumId="140">
    <w:nsid w:val="63F37E85"/>
    <w:multiLevelType w:val="hybridMultilevel"/>
    <w:lvl w:ilvl="0">
      <w:lvlJc w:val="left"/>
      <w:lvlText w:val="%1."/>
      <w:numFmt w:val="upperLetter"/>
      <w:start w:val="1"/>
    </w:lvl>
    <w:lvl w:ilvl="1">
      <w:lvlJc w:val="left"/>
      <w:lvlText w:val="%2."/>
      <w:numFmt w:val="decimal"/>
      <w:start w:val="1"/>
    </w:lvl>
  </w:abstractNum>
  <w:abstractNum w:abstractNumId="141">
    <w:nsid w:val="5895F5FA"/>
    <w:multiLevelType w:val="hybridMultilevel"/>
    <w:lvl w:ilvl="0">
      <w:lvlJc w:val="left"/>
      <w:lvlText w:val="%1."/>
      <w:numFmt w:val="upperLetter"/>
      <w:start w:val="1"/>
    </w:lvl>
  </w:abstractNum>
  <w:abstractNum w:abstractNumId="142">
    <w:nsid w:val="38A5D054"/>
    <w:multiLevelType w:val="hybridMultilevel"/>
    <w:lvl w:ilvl="0">
      <w:lvlJc w:val="left"/>
      <w:lvlText w:val="%1."/>
      <w:numFmt w:val="upperLetter"/>
      <w:start w:val="1"/>
    </w:lvl>
  </w:abstractNum>
  <w:abstractNum w:abstractNumId="143">
    <w:nsid w:val="F3F09D8"/>
    <w:multiLevelType w:val="hybridMultilevel"/>
    <w:lvl w:ilvl="0">
      <w:lvlJc w:val="left"/>
      <w:lvlText w:val="%1."/>
      <w:numFmt w:val="upperLetter"/>
      <w:start w:val="1"/>
    </w:lvl>
  </w:abstractNum>
  <w:abstractNum w:abstractNumId="144">
    <w:nsid w:val="4B793735"/>
    <w:multiLevelType w:val="hybridMultilevel"/>
    <w:lvl w:ilvl="0">
      <w:lvlJc w:val="left"/>
      <w:lvlText w:val="%1."/>
      <w:numFmt w:val="upperLetter"/>
      <w:start w:val="1"/>
    </w:lvl>
    <w:lvl w:ilvl="1">
      <w:lvlJc w:val="left"/>
      <w:lvlText w:val="%2."/>
      <w:numFmt w:val="decimal"/>
      <w:start w:val="1"/>
    </w:lvl>
  </w:abstractNum>
  <w:abstractNum w:abstractNumId="145">
    <w:nsid w:val="4A10B4E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146">
    <w:nsid w:val="43D3BCD4"/>
    <w:multiLevelType w:val="hybridMultilevel"/>
    <w:lvl w:ilvl="0">
      <w:lvlJc w:val="left"/>
      <w:lvlText w:val="%1."/>
      <w:numFmt w:val="upperLetter"/>
      <w:start w:val="1"/>
    </w:lvl>
    <w:lvl w:ilvl="1">
      <w:lvlJc w:val="left"/>
      <w:lvlText w:val="%2."/>
      <w:numFmt w:val="decimal"/>
      <w:start w:val="1"/>
    </w:lvl>
  </w:abstractNum>
  <w:abstractNum w:abstractNumId="147">
    <w:nsid w:val="4C2A7166"/>
    <w:multiLevelType w:val="hybridMultilevel"/>
    <w:lvl w:ilvl="0">
      <w:lvlJc w:val="left"/>
      <w:lvlText w:val="%1."/>
      <w:numFmt w:val="upperLetter"/>
      <w:start w:val="1"/>
    </w:lvl>
  </w:abstractNum>
  <w:abstractNum w:abstractNumId="148">
    <w:nsid w:val="2E534A82"/>
    <w:multiLevelType w:val="hybridMultilevel"/>
    <w:lvl w:ilvl="0">
      <w:lvlJc w:val="left"/>
      <w:lvlText w:val="%1."/>
      <w:numFmt w:val="upperLetter"/>
      <w:start w:val="1"/>
    </w:lvl>
    <w:lvl w:ilvl="1">
      <w:lvlJc w:val="left"/>
      <w:lvlText w:val="%2."/>
      <w:numFmt w:val="decimal"/>
      <w:start w:val="1"/>
    </w:lvl>
  </w:abstractNum>
  <w:abstractNum w:abstractNumId="149">
    <w:nsid w:val="26F2D364"/>
    <w:multiLevelType w:val="hybridMultilevel"/>
    <w:lvl w:ilvl="0">
      <w:lvlJc w:val="left"/>
      <w:lvlText w:val="%1."/>
      <w:numFmt w:val="upperLetter"/>
      <w:start w:val="1"/>
    </w:lvl>
  </w:abstractNum>
  <w:abstractNum w:abstractNumId="150">
    <w:nsid w:val="71C1AF98"/>
    <w:multiLevelType w:val="hybridMultilevel"/>
    <w:lvl w:ilvl="0">
      <w:lvlJc w:val="left"/>
      <w:lvlText w:val="%1."/>
      <w:numFmt w:val="upperLetter"/>
      <w:start w:val="1"/>
    </w:lvl>
  </w:abstractNum>
  <w:abstractNum w:abstractNumId="151">
    <w:nsid w:val="3D00B9D9"/>
    <w:multiLevelType w:val="hybridMultilevel"/>
    <w:lvl w:ilvl="0">
      <w:lvlJc w:val="left"/>
      <w:lvlText w:val="%1."/>
      <w:numFmt w:val="upperLetter"/>
      <w:start w:val="1"/>
    </w:lvl>
  </w:abstractNum>
  <w:abstractNum w:abstractNumId="152">
    <w:nsid w:val="15BCABA8"/>
    <w:multiLevelType w:val="hybridMultilevel"/>
    <w:lvl w:ilvl="0">
      <w:lvlJc w:val="left"/>
      <w:lvlText w:val="%1."/>
      <w:numFmt w:val="upperLetter"/>
      <w:start w:val="1"/>
    </w:lvl>
  </w:abstractNum>
  <w:abstractNum w:abstractNumId="153">
    <w:nsid w:val="4E0B9A87"/>
    <w:multiLevelType w:val="hybridMultilevel"/>
    <w:lvl w:ilvl="0">
      <w:lvlJc w:val="left"/>
      <w:lvlText w:val="%1"/>
      <w:numFmt w:val="upperLetter"/>
      <w:start w:val="1"/>
    </w:lvl>
    <w:lvl w:ilvl="1">
      <w:lvlJc w:val="left"/>
      <w:lvlText w:val="%2."/>
      <w:numFmt w:val="decimal"/>
      <w:start w:val="1"/>
    </w:lvl>
  </w:abstractNum>
  <w:abstractNum w:abstractNumId="154">
    <w:nsid w:val="434BAE75"/>
    <w:multiLevelType w:val="hybridMultilevel"/>
    <w:lvl w:ilvl="0">
      <w:lvlJc w:val="left"/>
      <w:lvlText w:val="%1."/>
      <w:numFmt w:val="upperLetter"/>
      <w:start w:val="3"/>
    </w:lvl>
    <w:lvl w:ilvl="1">
      <w:lvlJc w:val="left"/>
      <w:lvlText w:val="%2"/>
      <w:numFmt w:val="decimal"/>
      <w:start w:val="1"/>
    </w:lvl>
  </w:abstractNum>
  <w:abstractNum w:abstractNumId="155">
    <w:nsid w:val="4F38F265"/>
    <w:multiLevelType w:val="hybridMultilevel"/>
    <w:lvl w:ilvl="0">
      <w:lvlJc w:val="left"/>
      <w:lvlText w:val="%1."/>
      <w:numFmt w:val="upperLetter"/>
      <w:start w:val="1"/>
    </w:lvl>
  </w:abstractNum>
  <w:abstractNum w:abstractNumId="156">
    <w:nsid w:val="4C5028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57">
    <w:nsid w:val="1DE8725A"/>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58">
    <w:nsid w:val="6A37288A"/>
    <w:multiLevelType w:val="hybridMultilevel"/>
    <w:lvl w:ilvl="0">
      <w:lvlJc w:val="left"/>
      <w:lvlText w:val="%1."/>
      <w:numFmt w:val="upperLetter"/>
      <w:start w:val="8"/>
    </w:lvl>
    <w:lvl w:ilvl="1">
      <w:lvlJc w:val="left"/>
      <w:lvlText w:val="%2."/>
      <w:numFmt w:val="decimal"/>
      <w:start w:val="1"/>
    </w:lvl>
    <w:lvl w:ilvl="2">
      <w:lvlJc w:val="left"/>
      <w:lvlText w:val="%3."/>
      <w:numFmt w:val="lowerLetter"/>
      <w:start w:val="1"/>
    </w:lvl>
  </w:abstractNum>
  <w:abstractNum w:abstractNumId="159">
    <w:nsid w:val="8F8B73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60">
    <w:nsid w:val="CA6B462"/>
    <w:multiLevelType w:val="hybridMultilevel"/>
    <w:lvl w:ilvl="0">
      <w:lvlJc w:val="left"/>
      <w:lvlText w:val="%1."/>
      <w:numFmt w:val="upperLetter"/>
      <w:start w:val="4"/>
    </w:lvl>
    <w:lvl w:ilvl="1">
      <w:lvlJc w:val="left"/>
      <w:lvlText w:val="%2"/>
      <w:numFmt w:val="upperLetter"/>
      <w:start w:val="1"/>
    </w:lvl>
    <w:lvl w:ilvl="2">
      <w:lvlJc w:val="left"/>
      <w:lvlText w:val="%3"/>
      <w:numFmt w:val="decimal"/>
      <w:start w:val="1"/>
    </w:lvl>
  </w:abstractNum>
  <w:abstractNum w:abstractNumId="161">
    <w:nsid w:val="763CB680"/>
    <w:multiLevelType w:val="hybridMultilevel"/>
    <w:lvl w:ilvl="0">
      <w:lvlJc w:val="left"/>
      <w:lvlText w:val="%1"/>
      <w:numFmt w:val="upperLetter"/>
      <w:start w:val="1"/>
    </w:lvl>
    <w:lvl w:ilvl="1">
      <w:lvlJc w:val="left"/>
      <w:lvlText w:val="%2."/>
      <w:numFmt w:val="decimal"/>
      <w:start w:val="1"/>
    </w:lvl>
  </w:abstractNum>
  <w:abstractNum w:abstractNumId="162">
    <w:nsid w:val="15B71329"/>
    <w:multiLevelType w:val="hybridMultilevel"/>
    <w:lvl w:ilvl="0">
      <w:lvlJc w:val="left"/>
      <w:lvlText w:val="%1."/>
      <w:numFmt w:val="upperLetter"/>
      <w:start w:val="5"/>
    </w:lvl>
    <w:lvl w:ilvl="1">
      <w:lvlJc w:val="left"/>
      <w:lvlText w:val="%2."/>
      <w:numFmt w:val="decimal"/>
      <w:start w:val="1"/>
    </w:lvl>
  </w:abstractNum>
  <w:abstractNum w:abstractNumId="163">
    <w:nsid w:val="3DA9704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64">
    <w:nsid w:val="1CDCE2DE"/>
    <w:multiLevelType w:val="hybridMultilevel"/>
    <w:lvl w:ilvl="0">
      <w:lvlJc w:val="left"/>
      <w:lvlText w:val="%1."/>
      <w:numFmt w:val="upperLetter"/>
      <w:start w:val="11"/>
    </w:lvl>
    <w:lvl w:ilvl="1">
      <w:lvlJc w:val="left"/>
      <w:lvlText w:val="%2."/>
      <w:numFmt w:val="decimal"/>
      <w:start w:val="1"/>
    </w:lvl>
    <w:lvl w:ilvl="2">
      <w:lvlJc w:val="left"/>
      <w:lvlText w:val="%3."/>
      <w:numFmt w:val="lowerLetter"/>
      <w:start w:val="1"/>
    </w:lvl>
  </w:abstractNum>
  <w:abstractNum w:abstractNumId="165">
    <w:nsid w:val="69D3947C"/>
    <w:multiLevelType w:val="hybridMultilevel"/>
    <w:lvl w:ilvl="0">
      <w:lvlJc w:val="left"/>
      <w:lvlText w:val="%1."/>
      <w:numFmt w:val="upperLetter"/>
      <w:start w:val="1"/>
    </w:lvl>
    <w:lvl w:ilvl="1">
      <w:lvlJc w:val="left"/>
      <w:lvlText w:val="%2."/>
      <w:numFmt w:val="decimal"/>
      <w:start w:val="1"/>
    </w:lvl>
  </w:abstractNum>
  <w:abstractNum w:abstractNumId="166">
    <w:nsid w:val="2539DFA5"/>
    <w:multiLevelType w:val="hybridMultilevel"/>
    <w:lvl w:ilvl="0">
      <w:lvlJc w:val="left"/>
      <w:lvlText w:val="%1."/>
      <w:numFmt w:val="upperLetter"/>
      <w:start w:val="1"/>
    </w:lvl>
  </w:abstractNum>
  <w:abstractNum w:abstractNumId="167">
    <w:nsid w:val="2DB88089"/>
    <w:multiLevelType w:val="hybridMultilevel"/>
    <w:lvl w:ilvl="0">
      <w:lvlJc w:val="left"/>
      <w:lvlText w:val="%1."/>
      <w:numFmt w:val="upperLetter"/>
      <w:start w:val="1"/>
    </w:lvl>
  </w:abstractNum>
  <w:abstractNum w:abstractNumId="168">
    <w:nsid w:val="706B674E"/>
    <w:multiLevelType w:val="hybridMultilevel"/>
    <w:lvl w:ilvl="0">
      <w:lvlJc w:val="left"/>
      <w:lvlText w:val="%1."/>
      <w:numFmt w:val="upperLetter"/>
      <w:start w:val="1"/>
    </w:lvl>
    <w:lvl w:ilvl="1">
      <w:lvlJc w:val="left"/>
      <w:lvlText w:val="%2."/>
      <w:numFmt w:val="decimal"/>
      <w:start w:val="1"/>
    </w:lvl>
  </w:abstractNum>
  <w:abstractNum w:abstractNumId="169">
    <w:nsid w:val="2C106A5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0">
    <w:nsid w:val="684EED59"/>
    <w:multiLevelType w:val="hybridMultilevel"/>
    <w:lvl w:ilvl="0">
      <w:lvlJc w:val="left"/>
      <w:lvlText w:val="%1"/>
      <w:numFmt w:val="upperLetter"/>
      <w:start w:val="1"/>
    </w:lvl>
    <w:lvl w:ilvl="1">
      <w:lvlJc w:val="left"/>
      <w:lvlText w:val="%2."/>
      <w:numFmt w:val="decimal"/>
      <w:start w:val="6"/>
    </w:lvl>
  </w:abstractNum>
  <w:abstractNum w:abstractNumId="171">
    <w:nsid w:val="545EE5D3"/>
    <w:multiLevelType w:val="hybridMultilevel"/>
    <w:lvl w:ilvl="0">
      <w:lvlJc w:val="left"/>
      <w:lvlText w:val="%1."/>
      <w:numFmt w:val="upperLetter"/>
      <w:start w:val="4"/>
    </w:lvl>
    <w:lvl w:ilvl="1">
      <w:lvlJc w:val="left"/>
      <w:lvlText w:val="%2"/>
      <w:numFmt w:val="decimal"/>
      <w:start w:val="1"/>
    </w:lvl>
  </w:abstractNum>
  <w:abstractNum w:abstractNumId="172">
    <w:nsid w:val="4A6605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3">
    <w:nsid w:val="20F4BDA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4">
    <w:nsid w:val="639DEFAC"/>
    <w:multiLevelType w:val="hybridMultilevel"/>
    <w:lvl w:ilvl="0">
      <w:lvlJc w:val="left"/>
      <w:lvlText w:val="%1."/>
      <w:numFmt w:val="upperLetter"/>
      <w:start w:val="3"/>
    </w:lvl>
    <w:lvl w:ilvl="1">
      <w:lvlJc w:val="left"/>
      <w:lvlText w:val="%2."/>
      <w:numFmt w:val="decimal"/>
      <w:start w:val="1"/>
    </w:lvl>
  </w:abstractNum>
  <w:abstractNum w:abstractNumId="175">
    <w:nsid w:val="501F9786"/>
    <w:multiLevelType w:val="hybridMultilevel"/>
    <w:lvl w:ilvl="0">
      <w:lvlJc w:val="left"/>
      <w:lvlText w:val="%1."/>
      <w:numFmt w:val="upperLetter"/>
      <w:start w:val="1"/>
    </w:lvl>
    <w:lvl w:ilvl="1">
      <w:lvlJc w:val="left"/>
      <w:lvlText w:val="%2."/>
      <w:numFmt w:val="decimal"/>
      <w:start w:val="1"/>
    </w:lvl>
  </w:abstractNum>
  <w:abstractNum w:abstractNumId="176">
    <w:nsid w:val="6B057295"/>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177">
    <w:nsid w:val="2771AC8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78">
    <w:nsid w:val="1C4A08E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9">
    <w:nsid w:val="1958BD17"/>
    <w:multiLevelType w:val="hybridMultilevel"/>
    <w:lvl w:ilvl="0">
      <w:lvlJc w:val="left"/>
      <w:lvlText w:val="%1."/>
      <w:numFmt w:val="upperLetter"/>
      <w:start w:val="1"/>
    </w:lvl>
    <w:lvl w:ilvl="1">
      <w:lvlJc w:val="left"/>
      <w:lvlText w:val="%2."/>
      <w:numFmt w:val="decimal"/>
      <w:start w:val="1"/>
    </w:lvl>
  </w:abstractNum>
  <w:abstractNum w:abstractNumId="180">
    <w:nsid w:val="4E647FE4"/>
    <w:multiLevelType w:val="hybridMultilevel"/>
    <w:lvl w:ilvl="0">
      <w:lvlJc w:val="left"/>
      <w:lvlText w:val="%1"/>
      <w:numFmt w:val="upperLetter"/>
      <w:start w:val="1"/>
    </w:lvl>
    <w:lvl w:ilvl="1">
      <w:lvlJc w:val="left"/>
      <w:lvlText w:val="%2."/>
      <w:numFmt w:val="decimal"/>
      <w:start w:val="2"/>
    </w:lvl>
  </w:abstractNum>
  <w:abstractNum w:abstractNumId="181">
    <w:nsid w:val="E0BB885"/>
    <w:multiLevelType w:val="hybridMultilevel"/>
    <w:lvl w:ilvl="0">
      <w:lvlJc w:val="left"/>
      <w:lvlText w:val="%1."/>
      <w:numFmt w:val="upperLetter"/>
      <w:start w:val="6"/>
    </w:lvl>
    <w:lvl w:ilvl="1">
      <w:lvlJc w:val="left"/>
      <w:lvlText w:val="%2."/>
      <w:numFmt w:val="decimal"/>
      <w:start w:val="1"/>
    </w:lvl>
  </w:abstractNum>
  <w:abstractNum w:abstractNumId="182">
    <w:nsid w:val="565976F1"/>
    <w:multiLevelType w:val="hybridMultilevel"/>
    <w:lvl w:ilvl="0">
      <w:lvlJc w:val="left"/>
      <w:lvlText w:val="%1."/>
      <w:numFmt w:val="upperLetter"/>
      <w:start w:val="9"/>
    </w:lvl>
    <w:lvl w:ilvl="1">
      <w:lvlJc w:val="left"/>
      <w:lvlText w:val="%2."/>
      <w:numFmt w:val="decimal"/>
      <w:start w:val="1"/>
    </w:lvl>
  </w:abstractNum>
  <w:abstractNum w:abstractNumId="183">
    <w:nsid w:val="64212B8C"/>
    <w:multiLevelType w:val="hybridMultilevel"/>
    <w:lvl w:ilvl="0">
      <w:lvlJc w:val="left"/>
      <w:lvlText w:val="%1."/>
      <w:numFmt w:val="upperLetter"/>
      <w:start w:val="1"/>
    </w:lvl>
  </w:abstractNum>
  <w:abstractNum w:abstractNumId="184">
    <w:nsid w:val="5C17530C"/>
    <w:multiLevelType w:val="hybridMultilevel"/>
    <w:lvl w:ilvl="0">
      <w:lvlJc w:val="left"/>
      <w:lvlText w:val="%1."/>
      <w:numFmt w:val="upperLetter"/>
      <w:start w:val="1"/>
    </w:lvl>
  </w:abstractNum>
  <w:abstractNum w:abstractNumId="185">
    <w:nsid w:val="19A52566"/>
    <w:multiLevelType w:val="hybridMultilevel"/>
    <w:lvl w:ilvl="0">
      <w:lvlJc w:val="left"/>
      <w:lvlText w:val="%1."/>
      <w:numFmt w:val="decimal"/>
      <w:start w:val="1"/>
    </w:lvl>
  </w:abstractNum>
  <w:abstractNum w:abstractNumId="186">
    <w:nsid w:val="335A1DF1"/>
    <w:multiLevelType w:val="hybridMultilevel"/>
    <w:lvl w:ilvl="0">
      <w:lvlJc w:val="left"/>
      <w:lvlText w:val="%1."/>
      <w:numFmt w:val="decimal"/>
      <w:start w:val="2"/>
    </w:lvl>
  </w:abstractNum>
  <w:abstractNum w:abstractNumId="187">
    <w:nsid w:val="28677B7C"/>
    <w:multiLevelType w:val="hybridMultilevel"/>
    <w:lvl w:ilvl="0">
      <w:lvlJc w:val="left"/>
      <w:lvlText w:val="%1."/>
      <w:numFmt w:val="decimal"/>
      <w:start w:val="3"/>
    </w:lvl>
    <w:lvl w:ilvl="1">
      <w:lvlJc w:val="left"/>
      <w:lvlText w:val="%2."/>
      <w:numFmt w:val="decimal"/>
      <w:start w:val="44"/>
    </w:lvl>
  </w:abstractNum>
  <w:abstractNum w:abstractNumId="188">
    <w:nsid w:val="378D97C0"/>
    <w:multiLevelType w:val="hybridMultilevel"/>
    <w:lvl w:ilvl="0">
      <w:lvlJc w:val="left"/>
      <w:lvlText w:val="%1"/>
      <w:numFmt w:val="decimal"/>
      <w:start w:val="1"/>
    </w:lvl>
    <w:lvl w:ilvl="1">
      <w:lvlJc w:val="left"/>
      <w:lvlText w:val="%2"/>
      <w:numFmt w:val="decimal"/>
      <w:start w:val="777"/>
    </w:lvl>
  </w:abstractNum>
  <w:abstractNum w:abstractNumId="189">
    <w:nsid w:val="1D91467C"/>
    <w:multiLevelType w:val="hybridMultilevel"/>
    <w:lvl w:ilvl="0">
      <w:lvlJc w:val="left"/>
      <w:lvlText w:val="%1."/>
      <w:numFmt w:val="decimal"/>
      <w:start w:val="4"/>
    </w:lvl>
  </w:abstractNum>
  <w:abstractNum w:abstractNumId="190">
    <w:nsid w:val="316032BB"/>
    <w:multiLevelType w:val="hybridMultilevel"/>
    <w:lvl w:ilvl="0">
      <w:lvlJc w:val="left"/>
      <w:lvlText w:val="%1"/>
      <w:numFmt w:val="decimal"/>
      <w:start w:val="777"/>
    </w:lvl>
  </w:abstractNum>
  <w:abstractNum w:abstractNumId="191">
    <w:nsid w:val="44344C22"/>
    <w:multiLevelType w:val="hybridMultilevel"/>
    <w:lvl w:ilvl="0">
      <w:lvlJc w:val="left"/>
      <w:lvlText w:val="%1."/>
      <w:numFmt w:val="decimal"/>
      <w:start w:val="6"/>
    </w:lvl>
  </w:abstractNum>
  <w:abstractNum w:abstractNumId="192">
    <w:nsid w:val="13CDFCFC"/>
    <w:multiLevelType w:val="hybridMultilevel"/>
    <w:lvl w:ilvl="0">
      <w:lvlJc w:val="left"/>
      <w:lvlText w:val="%1."/>
      <w:numFmt w:val="decimal"/>
      <w:start w:val="7"/>
    </w:lvl>
  </w:abstractNum>
  <w:abstractNum w:abstractNumId="193">
    <w:nsid w:val="471745E4"/>
    <w:multiLevelType w:val="hybridMultilevel"/>
    <w:lvl w:ilvl="0">
      <w:lvlJc w:val="left"/>
      <w:lvlText w:val="%1."/>
      <w:numFmt w:val="decimal"/>
      <w:start w:val="11"/>
    </w:lvl>
  </w:abstractNum>
  <w:abstractNum w:abstractNumId="194">
    <w:nsid w:val="1DDBC66"/>
    <w:multiLevelType w:val="hybridMultilevel"/>
    <w:lvl w:ilvl="0">
      <w:lvlJc w:val="left"/>
      <w:lvlText w:val="%1."/>
      <w:numFmt w:val="decimal"/>
      <w:start w:val="14"/>
    </w:lvl>
  </w:abstractNum>
  <w:abstractNum w:abstractNumId="195">
    <w:nsid w:val="30AADFDA"/>
    <w:multiLevelType w:val="hybridMultilevel"/>
    <w:lvl w:ilvl="0">
      <w:lvlJc w:val="left"/>
      <w:lvlText w:val="%1."/>
      <w:numFmt w:val="decimal"/>
      <w:start w:val="1"/>
    </w:lvl>
  </w:abstractNum>
  <w:abstractNum w:abstractNumId="196">
    <w:nsid w:val="30EADA61"/>
    <w:multiLevelType w:val="hybridMultilevel"/>
    <w:lvl w:ilvl="0">
      <w:lvlJc w:val="left"/>
      <w:lvlText w:val="%1."/>
      <w:numFmt w:val="decimal"/>
      <w:start w:val="3"/>
    </w:lvl>
  </w:abstractNum>
  <w:abstractNum w:abstractNumId="197">
    <w:nsid w:val="27179C0B"/>
    <w:multiLevelType w:val="hybridMultilevel"/>
    <w:lvl w:ilvl="0">
      <w:lvlJc w:val="left"/>
      <w:lvlText w:val="%1."/>
      <w:numFmt w:val="decimal"/>
      <w:start w:val="1"/>
    </w:lvl>
  </w:abstractNum>
  <w:abstractNum w:abstractNumId="198">
    <w:nsid w:val="5E636063"/>
    <w:multiLevelType w:val="hybridMultilevel"/>
    <w:lvl w:ilvl="0">
      <w:lvlJc w:val="left"/>
      <w:lvlText w:val="%1."/>
      <w:numFmt w:val="upperLetter"/>
      <w:start w:val="1"/>
    </w:lvl>
  </w:abstractNum>
  <w:abstractNum w:abstractNumId="199">
    <w:nsid w:val="215641AF"/>
    <w:multiLevelType w:val="hybridMultilevel"/>
    <w:lvl w:ilvl="0">
      <w:lvlJc w:val="left"/>
      <w:lvlText w:val="%1."/>
      <w:numFmt w:val="upperLetter"/>
      <w:start w:val="5"/>
    </w:lvl>
  </w:abstractNum>
  <w:abstractNum w:abstractNumId="200">
    <w:nsid w:val="53280662"/>
    <w:multiLevelType w:val="hybridMultilevel"/>
    <w:lvl w:ilvl="0">
      <w:lvlJc w:val="left"/>
      <w:lvlText w:val="%1."/>
      <w:numFmt w:val="decimal"/>
      <w:start w:val="1"/>
    </w:lvl>
  </w:abstractNum>
  <w:abstractNum w:abstractNumId="201">
    <w:nsid w:val="46B24DBC"/>
    <w:multiLevelType w:val="hybridMultilevel"/>
    <w:lvl w:ilvl="0">
      <w:lvlJc w:val="left"/>
      <w:lvlText w:val="%1."/>
      <w:numFmt w:val="decimal"/>
      <w:start w:val="2"/>
    </w:lvl>
  </w:abstractNum>
  <w:abstractNum w:abstractNumId="202">
    <w:nsid w:val="75B52783"/>
    <w:multiLevelType w:val="hybridMultilevel"/>
    <w:lvl w:ilvl="0">
      <w:lvlJc w:val="left"/>
      <w:lvlText w:val="(%1)"/>
      <w:numFmt w:val="lowerLetter"/>
      <w:start w:val="1"/>
    </w:lvl>
  </w:abstractNum>
  <w:abstractNum w:abstractNumId="203">
    <w:nsid w:val="57CE66B4"/>
    <w:multiLevelType w:val="hybridMultilevel"/>
    <w:lvl w:ilvl="0">
      <w:lvlJc w:val="left"/>
      <w:lvlText w:val="(%1)"/>
      <w:numFmt w:val="lowerLetter"/>
      <w:start w:val="1"/>
    </w:lvl>
  </w:abstractNum>
  <w:abstractNum w:abstractNumId="204">
    <w:nsid w:val="67A70B69"/>
    <w:multiLevelType w:val="hybridMultilevel"/>
    <w:lvl w:ilvl="0">
      <w:lvlJc w:val="left"/>
      <w:lvlText w:val="(%1)"/>
      <w:numFmt w:val="upperLetter"/>
      <w:start w:val="1"/>
    </w:lvl>
    <w:lvl w:ilvl="1">
      <w:lvlJc w:val="left"/>
      <w:lvlText w:val="(%2)"/>
      <w:numFmt w:val="lowerLetter"/>
      <w:start w:val="3"/>
    </w:lvl>
  </w:abstractNum>
  <w:abstractNum w:abstractNumId="205">
    <w:nsid w:val="5953172F"/>
    <w:multiLevelType w:val="hybridMultilevel"/>
    <w:lvl w:ilvl="0">
      <w:lvlJc w:val="left"/>
      <w:lvlText w:val="%1."/>
      <w:numFmt w:val="decimal"/>
      <w:start w:val="3"/>
    </w:lvl>
    <w:lvl w:ilvl="1">
      <w:lvlJc w:val="left"/>
      <w:lvlText w:val="(%2)"/>
      <w:numFmt w:val="lowerLetter"/>
      <w:start w:val="4"/>
    </w:lvl>
  </w:abstractNum>
  <w:abstractNum w:abstractNumId="206">
    <w:nsid w:val="27EDFE3A"/>
    <w:multiLevelType w:val="hybridMultilevel"/>
    <w:lvl w:ilvl="0">
      <w:lvlJc w:val="left"/>
      <w:lvlText w:val="%1"/>
      <w:numFmt w:val="decimal"/>
      <w:start w:val="767"/>
    </w:lvl>
    <w:lvl w:ilvl="1">
      <w:lvlJc w:val="left"/>
      <w:lvlText w:val="%2"/>
      <w:numFmt w:val="lowerLetter"/>
      <w:start w:val="1"/>
    </w:lvl>
  </w:abstractNum>
  <w:abstractNum w:abstractNumId="207">
    <w:nsid w:val="52AC7DFF"/>
    <w:multiLevelType w:val="hybridMultilevel"/>
    <w:lvl w:ilvl="0">
      <w:lvlJc w:val="left"/>
      <w:lvlText w:val="(%1)"/>
      <w:numFmt w:val="lowerLetter"/>
      <w:start w:val="1"/>
    </w:lvl>
  </w:abstractNum>
  <w:abstractNum w:abstractNumId="208">
    <w:nsid w:val="C4C3AF"/>
    <w:multiLevelType w:val="hybridMultilevel"/>
    <w:lvl w:ilvl="0">
      <w:lvlJc w:val="left"/>
      <w:lvlText w:val="(%1)"/>
      <w:numFmt w:val="lowerLetter"/>
      <w:start w:val="2"/>
    </w:lvl>
  </w:abstractNum>
  <w:abstractNum w:abstractNumId="209">
    <w:nsid w:val="44380727"/>
    <w:multiLevelType w:val="hybridMultilevel"/>
    <w:lvl w:ilvl="0">
      <w:lvlJc w:val="left"/>
      <w:lvlText w:val="(%1)"/>
      <w:numFmt w:val="lowerLetter"/>
      <w:start w:val="1"/>
    </w:lvl>
  </w:abstractNum>
  <w:abstractNum w:abstractNumId="210">
    <w:nsid w:val="6C053B16"/>
    <w:multiLevelType w:val="hybridMultilevel"/>
    <w:lvl w:ilvl="0">
      <w:lvlJc w:val="left"/>
      <w:lvlText w:val="(%1)"/>
      <w:numFmt w:val="lowerLetter"/>
      <w:start w:val="2"/>
    </w:lvl>
  </w:abstractNum>
  <w:abstractNum w:abstractNumId="211">
    <w:nsid w:val="4F294393"/>
    <w:multiLevelType w:val="hybridMultilevel"/>
    <w:lvl w:ilvl="0">
      <w:lvlJc w:val="left"/>
      <w:lvlText w:val="(%1)"/>
      <w:numFmt w:val="lowerLetter"/>
      <w:start w:val="1"/>
    </w:lvl>
  </w:abstractNum>
  <w:abstractNum w:abstractNumId="212">
    <w:nsid w:val="5243BFAC"/>
    <w:multiLevelType w:val="hybridMultilevel"/>
    <w:lvl w:ilvl="0">
      <w:lvlJc w:val="left"/>
      <w:lvlText w:val="(%1)"/>
      <w:numFmt w:val="decimal"/>
      <w:start w:val="1"/>
    </w:lvl>
  </w:abstractNum>
  <w:abstractNum w:abstractNumId="213">
    <w:nsid w:val="425EB207"/>
    <w:multiLevelType w:val="hybridMultilevel"/>
    <w:lvl w:ilvl="0">
      <w:lvlJc w:val="left"/>
      <w:lvlText w:val="%1"/>
      <w:numFmt w:val="decimal"/>
      <w:start w:val="1"/>
    </w:lvl>
    <w:lvl w:ilvl="1">
      <w:lvlJc w:val="left"/>
      <w:lvlText w:val="(%2)"/>
      <w:numFmt w:val="lowerLetter"/>
      <w:start w:val="1"/>
    </w:lvl>
  </w:abstractNum>
  <w:abstractNum w:abstractNumId="214">
    <w:nsid w:val="334A6F1F"/>
    <w:multiLevelType w:val="hybridMultilevel"/>
    <w:lvl w:ilvl="0">
      <w:lvlJc w:val="left"/>
      <w:lvlText w:val="(%1)"/>
      <w:numFmt w:val="decimal"/>
      <w:start w:val="10"/>
    </w:lvl>
    <w:lvl w:ilvl="1">
      <w:lvlJc w:val="left"/>
      <w:lvlText w:val="(%2)"/>
      <w:numFmt w:val="lowerLetter"/>
      <w:start w:val="2"/>
    </w:lvl>
  </w:abstractNum>
  <w:abstractNum w:abstractNumId="215">
    <w:nsid w:val="2E5B12B8"/>
    <w:multiLevelType w:val="hybridMultilevel"/>
    <w:lvl w:ilvl="0">
      <w:lvlJc w:val="left"/>
      <w:lvlText w:val="%1"/>
      <w:numFmt w:val="decimal"/>
      <w:start w:val="1"/>
    </w:lvl>
    <w:lvl w:ilvl="1">
      <w:lvlJc w:val="left"/>
      <w:lvlText w:val="(%2)"/>
      <w:numFmt w:val="lowerLetter"/>
      <w:start w:val="3"/>
    </w:lvl>
  </w:abstractNum>
  <w:abstractNum w:abstractNumId="216">
    <w:nsid w:val="5C03D76D"/>
    <w:multiLevelType w:val="hybridMultilevel"/>
    <w:lvl w:ilvl="0">
      <w:lvlJc w:val="left"/>
      <w:lvlText w:val="%1."/>
      <w:numFmt w:val="decimal"/>
      <w:start w:val="4"/>
    </w:lvl>
    <w:lvl w:ilvl="1">
      <w:lvlJc w:val="left"/>
      <w:lvlText w:val="%2"/>
      <w:numFmt w:val="lowerLetter"/>
      <w:start w:val="1"/>
    </w:lvl>
  </w:abstractNum>
  <w:abstractNum w:abstractNumId="217">
    <w:nsid w:val="66A48D11"/>
    <w:multiLevelType w:val="hybridMultilevel"/>
    <w:lvl w:ilvl="0">
      <w:lvlJc w:val="left"/>
      <w:lvlText w:val="(%1)"/>
      <w:numFmt w:val="decimal"/>
      <w:start w:val="30"/>
    </w:lvl>
  </w:abstractNum>
  <w:abstractNum w:abstractNumId="218">
    <w:nsid w:val="56C28E34"/>
    <w:multiLevelType w:val="hybridMultilevel"/>
    <w:lvl w:ilvl="0">
      <w:lvlJc w:val="left"/>
      <w:lvlText w:val="%1."/>
      <w:numFmt w:val="decimal"/>
      <w:start w:val="5"/>
    </w:lvl>
  </w:abstractNum>
  <w:abstractNum w:abstractNumId="219">
    <w:nsid w:val="13916F2D"/>
    <w:multiLevelType w:val="hybridMultilevel"/>
    <w:lvl w:ilvl="0">
      <w:lvlJc w:val="left"/>
      <w:lvlText w:val="%1."/>
      <w:numFmt w:val="decimal"/>
      <w:start w:val="6"/>
    </w:lvl>
  </w:abstractNum>
  <w:abstractNum w:abstractNumId="220">
    <w:nsid w:val="435D38D"/>
    <w:multiLevelType w:val="hybridMultilevel"/>
    <w:lvl w:ilvl="0">
      <w:lvlJc w:val="left"/>
      <w:lvlText w:val="(%1)"/>
      <w:numFmt w:val="lowerLetter"/>
      <w:start w:val="14"/>
    </w:lvl>
  </w:abstractNum>
  <w:abstractNum w:abstractNumId="221">
    <w:nsid w:val="822C0EF"/>
    <w:multiLevelType w:val="hybridMultilevel"/>
    <w:lvl w:ilvl="0">
      <w:lvlJc w:val="left"/>
      <w:lvlText w:val="%1."/>
      <w:numFmt w:val="decimal"/>
      <w:start w:val="7"/>
    </w:lvl>
  </w:abstractNum>
  <w:abstractNum w:abstractNumId="222">
    <w:nsid w:val="57C5BB4F"/>
    <w:multiLevelType w:val="hybridMultilevel"/>
    <w:lvl w:ilvl="0">
      <w:lvlJc w:val="left"/>
      <w:lvlText w:val="%1."/>
      <w:numFmt w:val="decimal"/>
      <w:start w:val="44"/>
    </w:lvl>
  </w:abstractNum>
  <w:abstractNum w:abstractNumId="223">
    <w:nsid w:val="1803D089"/>
    <w:multiLevelType w:val="hybridMultilevel"/>
    <w:lvl w:ilvl="0">
      <w:lvlJc w:val="left"/>
      <w:lvlText w:val="%1"/>
      <w:numFmt w:val="decimal"/>
      <w:start w:val="765"/>
    </w:lvl>
  </w:abstractNum>
  <w:abstractNum w:abstractNumId="224">
    <w:nsid w:val="4F3A06D4"/>
    <w:multiLevelType w:val="hybridMultilevel"/>
    <w:lvl w:ilvl="0">
      <w:lvlJc w:val="left"/>
      <w:lvlText w:val="%1."/>
      <w:numFmt w:val="decimal"/>
      <w:start w:val="9"/>
    </w:lvl>
  </w:abstractNum>
  <w:abstractNum w:abstractNumId="225">
    <w:nsid w:val="59A377B6"/>
    <w:multiLevelType w:val="hybridMultilevel"/>
    <w:lvl w:ilvl="0">
      <w:lvlJc w:val="left"/>
      <w:lvlText w:val="%1."/>
      <w:numFmt w:val="decimal"/>
      <w:start w:val="10"/>
    </w:lvl>
  </w:abstractNum>
  <w:abstractNum w:abstractNumId="226">
    <w:nsid w:val="48AEB063"/>
    <w:multiLevelType w:val="hybridMultilevel"/>
    <w:lvl w:ilvl="0">
      <w:lvlJc w:val="left"/>
      <w:lvlText w:val="(%1)"/>
      <w:numFmt w:val="lowerLetter"/>
      <w:start w:val="1"/>
    </w:lvl>
    <w:lvl w:ilvl="1">
      <w:lvlJc w:val="left"/>
      <w:lvlText w:val="(%2)"/>
      <w:numFmt w:val="lowerRoman"/>
      <w:start w:val="1"/>
    </w:lvl>
  </w:abstractNum>
  <w:abstractNum w:abstractNumId="227">
    <w:nsid w:val="24E135"/>
    <w:multiLevelType w:val="hybridMultilevel"/>
    <w:lvl w:ilvl="0">
      <w:lvlJc w:val="left"/>
      <w:lvlText w:val="(%1)"/>
      <w:numFmt w:val="lowerLetter"/>
      <w:start w:val="3"/>
    </w:lvl>
    <w:lvl w:ilvl="1">
      <w:lvlJc w:val="left"/>
      <w:lvlText w:val="(%2)"/>
      <w:numFmt w:val="lowerRoman"/>
      <w:start w:val="1"/>
    </w:lvl>
  </w:abstractNum>
  <w:abstractNum w:abstractNumId="228">
    <w:nsid w:val="BB13C1"/>
    <w:multiLevelType w:val="hybridMultilevel"/>
    <w:lvl w:ilvl="0">
      <w:lvlJc w:val="left"/>
      <w:lvlText w:val="(%1)"/>
      <w:numFmt w:val="lowerRoman"/>
      <w:start w:val="3"/>
    </w:lvl>
  </w:abstractNum>
  <w:abstractNum w:abstractNumId="229">
    <w:nsid w:val="271210C7"/>
    <w:multiLevelType w:val="hybridMultilevel"/>
    <w:lvl w:ilvl="0">
      <w:lvlJc w:val="left"/>
      <w:lvlText w:val="(%1)"/>
      <w:numFmt w:val="lowerLetter"/>
      <w:start w:val="2"/>
    </w:lvl>
  </w:abstractNum>
  <w:abstractNum w:abstractNumId="230">
    <w:nsid w:val="217B22E4"/>
    <w:multiLevelType w:val="hybridMultilevel"/>
    <w:lvl w:ilvl="0">
      <w:lvlJc w:val="left"/>
      <w:lvlText w:val="%1."/>
      <w:numFmt w:val="decimal"/>
      <w:start w:val="11"/>
    </w:lvl>
  </w:abstractNum>
  <w:abstractNum w:abstractNumId="231">
    <w:nsid w:val="53E31A24"/>
    <w:multiLevelType w:val="hybridMultilevel"/>
    <w:lvl w:ilvl="0">
      <w:lvlJc w:val="left"/>
      <w:lvlText w:val="%1."/>
      <w:numFmt w:val="decimal"/>
      <w:start w:val="14"/>
    </w:lvl>
  </w:abstractNum>
  <w:abstractNum w:abstractNumId="232">
    <w:nsid w:val="6DC45E83"/>
    <w:multiLevelType w:val="hybridMultilevel"/>
    <w:lvl w:ilvl="0">
      <w:lvlJc w:val="left"/>
      <w:lvlText w:val="%1."/>
      <w:numFmt w:val="decimal"/>
      <w:start w:val="15"/>
    </w:lvl>
  </w:abstractNum>
  <w:abstractNum w:abstractNumId="233">
    <w:nsid w:val="17304A67"/>
    <w:multiLevelType w:val="hybridMultilevel"/>
    <w:lvl w:ilvl="0">
      <w:lvlJc w:val="left"/>
      <w:lvlText w:val="%1."/>
      <w:numFmt w:val="decimal"/>
      <w:start w:val="16"/>
    </w:lvl>
  </w:abstractNum>
  <w:abstractNum w:abstractNumId="234">
    <w:nsid w:val="2BB180D8"/>
    <w:multiLevelType w:val="hybridMultilevel"/>
    <w:lvl w:ilvl="0">
      <w:lvlJc w:val="left"/>
      <w:lvlText w:val="%1."/>
      <w:numFmt w:val="decimal"/>
      <w:start w:val="20"/>
    </w:lvl>
  </w:abstractNum>
  <w:abstractNum w:abstractNumId="235">
    <w:nsid w:val="556B69ED"/>
    <w:multiLevelType w:val="hybridMultilevel"/>
    <w:lvl w:ilvl="0">
      <w:lvlJc w:val="left"/>
      <w:lvlText w:val="%1."/>
      <w:numFmt w:val="decimal"/>
      <w:start w:val="1"/>
    </w:lvl>
  </w:abstractNum>
  <w:abstractNum w:abstractNumId="236">
    <w:nsid w:val="70836196"/>
    <w:multiLevelType w:val="hybridMultilevel"/>
    <w:lvl w:ilvl="0">
      <w:lvlJc w:val="left"/>
      <w:lvlText w:val="%1."/>
      <w:numFmt w:val="decimal"/>
      <w:start w:val="5"/>
    </w:lvl>
  </w:abstractNum>
  <w:abstractNum w:abstractNumId="237">
    <w:nsid w:val="539F7F12"/>
    <w:multiLevelType w:val="hybridMultilevel"/>
    <w:lvl w:ilvl="0">
      <w:lvlJc w:val="left"/>
      <w:lvlText w:val="%1."/>
      <w:numFmt w:val="decimal"/>
      <w:start w:val="1"/>
    </w:lvl>
    <w:lvl w:ilvl="1">
      <w:lvlJc w:val="left"/>
      <w:lvlText w:val="•"/>
      <w:numFmt w:val="bullet"/>
      <w:start w:val="1"/>
    </w:lvl>
  </w:abstractNum>
  <w:abstractNum w:abstractNumId="238">
    <w:nsid w:val="2817E7EC"/>
    <w:multiLevelType w:val="hybridMultilevel"/>
    <w:lvl w:ilvl="0">
      <w:lvlJc w:val="left"/>
      <w:lvlText w:val="%1."/>
      <w:numFmt w:val="decimal"/>
      <w:start w:val="1"/>
    </w:lvl>
  </w:abstractNum>
  <w:abstractNum w:abstractNumId="239">
    <w:nsid w:val="71482545"/>
    <w:multiLevelType w:val="hybridMultilevel"/>
    <w:lvl w:ilvl="0">
      <w:lvlJc w:val="left"/>
      <w:lvlText w:val="%1."/>
      <w:numFmt w:val="decimal"/>
      <w:start w:val="1"/>
    </w:lvl>
  </w:abstractNum>
  <w:abstractNum w:abstractNumId="240">
    <w:nsid w:val="17D78639"/>
    <w:multiLevelType w:val="hybridMultilevel"/>
    <w:lvl w:ilvl="0">
      <w:lvlJc w:val="left"/>
      <w:lvlText w:val="%1."/>
      <w:numFmt w:val="decimal"/>
      <w:start w:val="1"/>
    </w:lvl>
  </w:abstractNum>
  <w:abstractNum w:abstractNumId="241">
    <w:nsid w:val="141D2302"/>
    <w:multiLevelType w:val="hybridMultilevel"/>
    <w:lvl w:ilvl="0">
      <w:lvlJc w:val="left"/>
      <w:lvlText w:val="%1."/>
      <w:numFmt w:val="decimal"/>
      <w:start w:val="1"/>
    </w:lvl>
  </w:abstractNum>
  <w:abstractNum w:abstractNumId="242">
    <w:nsid w:val="407168D8"/>
    <w:multiLevelType w:val="hybridMultilevel"/>
    <w:lvl w:ilvl="0">
      <w:lvlJc w:val="left"/>
      <w:lvlText w:val="%1."/>
      <w:numFmt w:val="decimal"/>
      <w:start w:val="1"/>
    </w:lvl>
  </w:abstractNum>
  <w:abstractNum w:abstractNumId="243">
    <w:nsid w:val="6A1B45E5"/>
    <w:multiLevelType w:val="hybridMultilevel"/>
    <w:lvl w:ilvl="0">
      <w:lvlJc w:val="left"/>
      <w:lvlText w:val="%1."/>
      <w:numFmt w:val="decimal"/>
      <w:start w:val="1"/>
    </w:lvl>
  </w:abstractNum>
  <w:abstractNum w:abstractNumId="244">
    <w:nsid w:val="567BD50A"/>
    <w:multiLevelType w:val="hybridMultilevel"/>
    <w:lvl w:ilvl="0">
      <w:lvlJc w:val="left"/>
      <w:lvlText w:val="%1."/>
      <w:numFmt w:val="decimal"/>
      <w:start w:val="7"/>
    </w:lvl>
  </w:abstractNum>
  <w:abstractNum w:abstractNumId="245">
    <w:nsid w:val="73BBD7F8"/>
    <w:multiLevelType w:val="hybridMultilevel"/>
    <w:lvl w:ilvl="0">
      <w:lvlJc w:val="left"/>
      <w:lvlText w:val="%1."/>
      <w:numFmt w:val="upperLetter"/>
      <w:start w:val="1"/>
    </w:lvl>
  </w:abstractNum>
  <w:abstractNum w:abstractNumId="246">
    <w:nsid w:val="1876589D"/>
    <w:multiLevelType w:val="hybridMultilevel"/>
    <w:lvl w:ilvl="0">
      <w:lvlJc w:val="left"/>
      <w:lvlText w:val="%1."/>
      <w:numFmt w:val="decimal"/>
      <w:start w:val="1"/>
    </w:lvl>
  </w:abstractNum>
  <w:abstractNum w:abstractNumId="247">
    <w:nsid w:val="327FAC77"/>
    <w:multiLevelType w:val="hybridMultilevel"/>
    <w:lvl w:ilvl="0">
      <w:lvlJc w:val="left"/>
      <w:lvlText w:val="%1."/>
      <w:numFmt w:val="decimal"/>
      <w:start w:val="3"/>
    </w:lvl>
  </w:abstractNum>
  <w:abstractNum w:abstractNumId="248">
    <w:nsid w:val="5A606509"/>
    <w:multiLevelType w:val="hybridMultilevel"/>
    <w:lvl w:ilvl="0">
      <w:lvlJc w:val="left"/>
      <w:lvlText w:val="%1."/>
      <w:numFmt w:val="decimal"/>
      <w:start w:val="4"/>
    </w:lvl>
  </w:abstractNum>
  <w:abstractNum w:abstractNumId="249">
    <w:nsid w:val="6F38E6D1"/>
    <w:multiLevelType w:val="hybridMultilevel"/>
    <w:lvl w:ilvl="0">
      <w:lvlJc w:val="left"/>
      <w:lvlText w:val="%1."/>
      <w:numFmt w:val="decimal"/>
      <w:start w:val="6"/>
    </w:lvl>
  </w:abstractNum>
  <w:abstractNum w:abstractNumId="250">
    <w:nsid w:val="46111BA5"/>
    <w:multiLevelType w:val="hybridMultilevel"/>
    <w:lvl w:ilvl="0">
      <w:lvlJc w:val="left"/>
      <w:lvlText w:val="%1."/>
      <w:numFmt w:val="decimal"/>
      <w:start w:val="9"/>
    </w:lvl>
  </w:abstractNum>
  <w:abstractNum w:abstractNumId="251">
    <w:nsid w:val="5E963896"/>
    <w:multiLevelType w:val="hybridMultilevel"/>
    <w:lvl w:ilvl="0">
      <w:lvlJc w:val="left"/>
      <w:lvlText w:val="%1."/>
      <w:numFmt w:val="decimal"/>
      <w:start w:val="11"/>
    </w:lvl>
  </w:abstractNum>
  <w:abstractNum w:abstractNumId="252">
    <w:nsid w:val="775BA7C1"/>
    <w:multiLevelType w:val="hybridMultilevel"/>
    <w:lvl w:ilvl="0">
      <w:lvlJc w:val="left"/>
      <w:lvlText w:val="%1."/>
      <w:numFmt w:val="decimal"/>
      <w:start w:val="15"/>
    </w:lvl>
  </w:abstractNum>
  <w:abstractNum w:abstractNumId="253">
    <w:nsid w:val="1DD6D6F4"/>
    <w:multiLevelType w:val="hybridMultilevel"/>
    <w:lvl w:ilvl="0">
      <w:lvlJc w:val="left"/>
      <w:lvlText w:val="**"/>
      <w:numFmt w:val="bullet"/>
      <w:start w:val="1"/>
    </w:lvl>
  </w:abstractNum>
  <w:abstractNum w:abstractNumId="254">
    <w:nsid w:val="769A091F"/>
    <w:multiLevelType w:val="hybridMultilevel"/>
    <w:lvl w:ilvl="0">
      <w:lvlJc w:val="left"/>
      <w:lvlText w:val="%1."/>
      <w:numFmt w:val="decimal"/>
      <w:start w:val="1"/>
    </w:lvl>
    <w:lvl w:ilvl="1">
      <w:lvlJc w:val="left"/>
      <w:lvlText w:val="%2)"/>
      <w:numFmt w:val="lowerLetter"/>
      <w:start w:val="1"/>
    </w:lvl>
  </w:abstractNum>
  <w:abstractNum w:abstractNumId="255">
    <w:nsid w:val="4695AE95"/>
    <w:multiLevelType w:val="hybridMultilevel"/>
    <w:lvl w:ilvl="0">
      <w:lvlJc w:val="left"/>
      <w:lvlText w:val="%1."/>
      <w:numFmt w:val="decimal"/>
      <w:start w:val="1"/>
    </w:lvl>
    <w:lvl w:ilvl="1">
      <w:lvlJc w:val="left"/>
      <w:lvlText w:val="%2)"/>
      <w:numFmt w:val="lowerLetter"/>
      <w:start w:val="1"/>
    </w:lvl>
  </w:abstractNum>
  <w:abstractNum w:abstractNumId="256">
    <w:nsid w:val="777A4E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2019-12-29T16:33:43Z</dcterms:created>
  <dcterms:modified xsi:type="dcterms:W3CDTF">2019-12-29T16:33:43Z</dcterms:modified>
</cp:coreProperties>
</file>