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56" w:lineRule="exact"/>
        <w:rPr>
          <w:sz w:val="24"/>
          <w:szCs w:val="24"/>
          <w:color w:val="auto"/>
        </w:rPr>
      </w:pPr>
    </w:p>
    <w:p>
      <w:pPr>
        <w:ind w:left="280" w:hanging="274"/>
        <w:spacing w:after="0"/>
        <w:tabs>
          <w:tab w:leader="none" w:pos="280" w:val="left"/>
        </w:tabs>
        <w:numPr>
          <w:ilvl w:val="0"/>
          <w:numId w:val="1"/>
        </w:numPr>
        <w:rPr>
          <w:rFonts w:ascii="MS PGothic" w:cs="MS PGothic" w:eastAsia="MS PGothic" w:hAnsi="MS PGothic"/>
          <w:sz w:val="16"/>
          <w:szCs w:val="16"/>
          <w:color w:val="auto"/>
        </w:rPr>
      </w:pPr>
      <w:r>
        <w:rPr>
          <w:rFonts w:ascii="Arial" w:cs="Arial" w:eastAsia="Arial" w:hAnsi="Arial"/>
          <w:sz w:val="17"/>
          <w:szCs w:val="17"/>
          <w:b w:val="1"/>
          <w:bCs w:val="1"/>
          <w:color w:val="auto"/>
        </w:rPr>
        <w:t>ANNUAL REPORT PURSUANT TO SECTION 13 OR 15(d) OF THE SECURITIES EXCHANGE ACT OF 1934</w:t>
      </w:r>
    </w:p>
    <w:p>
      <w:pPr>
        <w:spacing w:after="0" w:line="61" w:lineRule="exact"/>
        <w:rPr>
          <w:sz w:val="24"/>
          <w:szCs w:val="24"/>
          <w:color w:val="auto"/>
        </w:rPr>
      </w:pPr>
    </w:p>
    <w:p>
      <w:pPr>
        <w:ind w:left="280"/>
        <w:spacing w:after="0"/>
        <w:tabs>
          <w:tab w:leader="none" w:pos="2220" w:val="left"/>
        </w:tabs>
        <w:rPr>
          <w:sz w:val="20"/>
          <w:szCs w:val="20"/>
          <w:color w:val="auto"/>
        </w:rPr>
      </w:pPr>
      <w:r>
        <w:rPr>
          <w:rFonts w:ascii="Arial" w:cs="Arial" w:eastAsia="Arial" w:hAnsi="Arial"/>
          <w:sz w:val="17"/>
          <w:szCs w:val="17"/>
          <w:b w:val="1"/>
          <w:bCs w:val="1"/>
          <w:color w:val="auto"/>
        </w:rPr>
        <w:t>For the fiscal year ended</w:t>
      </w:r>
      <w:r>
        <w:rPr>
          <w:sz w:val="20"/>
          <w:szCs w:val="20"/>
          <w:color w:val="auto"/>
        </w:rPr>
        <w:tab/>
      </w:r>
      <w:r>
        <w:rPr>
          <w:rFonts w:ascii="Arial" w:cs="Arial" w:eastAsia="Arial" w:hAnsi="Arial"/>
          <w:sz w:val="15"/>
          <w:szCs w:val="15"/>
          <w:b w:val="1"/>
          <w:bCs w:val="1"/>
          <w:u w:val="single" w:color="auto"/>
          <w:color w:val="auto"/>
        </w:rPr>
        <w:t>December 31, 2020</w:t>
      </w:r>
    </w:p>
    <w:p>
      <w:pPr>
        <w:spacing w:after="0" w:line="61" w:lineRule="exact"/>
        <w:rPr>
          <w:sz w:val="24"/>
          <w:szCs w:val="24"/>
          <w:color w:val="auto"/>
        </w:rPr>
      </w:pPr>
    </w:p>
    <w:p>
      <w:pPr>
        <w:ind w:left="1120"/>
        <w:spacing w:after="0"/>
        <w:rPr>
          <w:sz w:val="20"/>
          <w:szCs w:val="20"/>
          <w:color w:val="auto"/>
        </w:rPr>
      </w:pPr>
      <w:r>
        <w:rPr>
          <w:rFonts w:ascii="Arial" w:cs="Arial" w:eastAsia="Arial" w:hAnsi="Arial"/>
          <w:sz w:val="17"/>
          <w:szCs w:val="17"/>
          <w:b w:val="1"/>
          <w:bCs w:val="1"/>
          <w:color w:val="auto"/>
        </w:rPr>
        <w:t>OR</w:t>
      </w:r>
    </w:p>
    <w:p>
      <w:pPr>
        <w:spacing w:after="0" w:line="61" w:lineRule="exact"/>
        <w:rPr>
          <w:sz w:val="24"/>
          <w:szCs w:val="24"/>
          <w:color w:val="auto"/>
        </w:rPr>
      </w:pPr>
    </w:p>
    <w:p>
      <w:pPr>
        <w:ind w:left="280" w:right="2220" w:hanging="274"/>
        <w:spacing w:after="0" w:line="345" w:lineRule="auto"/>
        <w:tabs>
          <w:tab w:leader="none" w:pos="280" w:val="left"/>
        </w:tabs>
        <w:numPr>
          <w:ilvl w:val="0"/>
          <w:numId w:val="2"/>
        </w:numPr>
        <w:rPr>
          <w:rFonts w:ascii="MS PGothic" w:cs="MS PGothic" w:eastAsia="MS PGothic" w:hAnsi="MS PGothic"/>
          <w:sz w:val="16"/>
          <w:szCs w:val="16"/>
          <w:color w:val="auto"/>
        </w:rPr>
      </w:pPr>
      <w:r>
        <w:rPr>
          <w:rFonts w:ascii="Arial" w:cs="Arial" w:eastAsia="Arial" w:hAnsi="Arial"/>
          <w:sz w:val="17"/>
          <w:szCs w:val="17"/>
          <w:b w:val="1"/>
          <w:bCs w:val="1"/>
          <w:color w:val="auto"/>
        </w:rPr>
        <w:t>TRANSITION REPORT PURSUANT TO SECTION 13 OR 15(d) OF THE SECURITIES EXCHANGE ACT OF 1934 For the transition period from __________ to __________</w:t>
      </w:r>
    </w:p>
    <w:p>
      <w:pPr>
        <w:spacing w:after="0" w:line="53" w:lineRule="exact"/>
        <w:rPr>
          <w:sz w:val="24"/>
          <w:szCs w:val="24"/>
          <w:color w:val="auto"/>
        </w:rPr>
      </w:pPr>
    </w:p>
    <w:p>
      <w:pPr>
        <w:jc w:val="center"/>
        <w:ind w:right="160"/>
        <w:spacing w:after="0"/>
        <w:rPr>
          <w:sz w:val="20"/>
          <w:szCs w:val="20"/>
          <w:color w:val="auto"/>
        </w:rPr>
      </w:pPr>
      <w:r>
        <w:rPr>
          <w:rFonts w:ascii="Arial" w:cs="Arial" w:eastAsia="Arial" w:hAnsi="Arial"/>
          <w:sz w:val="16"/>
          <w:szCs w:val="16"/>
          <w:b w:val="1"/>
          <w:bCs w:val="1"/>
          <w:color w:val="auto"/>
        </w:rPr>
        <w:t>Commission File Number: 0-19034</w:t>
      </w: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REGENERON PHARMACEUTICALS, INC.</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80" w:type="dxa"/>
            <w:vAlign w:val="bottom"/>
          </w:tcPr>
          <w:p>
            <w:pPr>
              <w:jc w:val="center"/>
              <w:ind w:left="155"/>
              <w:spacing w:after="0"/>
              <w:rPr>
                <w:sz w:val="20"/>
                <w:szCs w:val="20"/>
                <w:color w:val="auto"/>
              </w:rPr>
            </w:pPr>
            <w:r>
              <w:rPr>
                <w:rFonts w:ascii="Arial" w:cs="Arial" w:eastAsia="Arial" w:hAnsi="Arial"/>
                <w:sz w:val="18"/>
                <w:szCs w:val="18"/>
                <w:b w:val="1"/>
                <w:bCs w:val="1"/>
                <w:color w:val="auto"/>
                <w:w w:val="92"/>
              </w:rPr>
              <w:t>New York</w:t>
            </w: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920" w:type="dxa"/>
            <w:vAlign w:val="bottom"/>
            <w:gridSpan w:val="2"/>
          </w:tcPr>
          <w:p>
            <w:pPr>
              <w:jc w:val="right"/>
              <w:ind w:right="1550"/>
              <w:spacing w:after="0"/>
              <w:rPr>
                <w:sz w:val="20"/>
                <w:szCs w:val="20"/>
                <w:color w:val="auto"/>
              </w:rPr>
            </w:pPr>
            <w:r>
              <w:rPr>
                <w:rFonts w:ascii="Arial" w:cs="Arial" w:eastAsia="Arial" w:hAnsi="Arial"/>
                <w:sz w:val="18"/>
                <w:szCs w:val="18"/>
                <w:b w:val="1"/>
                <w:bCs w:val="1"/>
                <w:color w:val="auto"/>
              </w:rPr>
              <w:t>13-3444607</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60" w:type="dxa"/>
            <w:vAlign w:val="bottom"/>
          </w:tcPr>
          <w:p>
            <w:pPr>
              <w:spacing w:after="0"/>
              <w:rPr>
                <w:sz w:val="18"/>
                <w:szCs w:val="18"/>
                <w:color w:val="auto"/>
              </w:rPr>
            </w:pPr>
          </w:p>
        </w:tc>
        <w:tc>
          <w:tcPr>
            <w:tcW w:w="4380" w:type="dxa"/>
            <w:vAlign w:val="bottom"/>
            <w:gridSpan w:val="4"/>
          </w:tcPr>
          <w:p>
            <w:pPr>
              <w:jc w:val="center"/>
              <w:ind w:left="32"/>
              <w:spacing w:after="0"/>
              <w:rPr>
                <w:sz w:val="20"/>
                <w:szCs w:val="20"/>
                <w:color w:val="auto"/>
              </w:rPr>
            </w:pPr>
            <w:r>
              <w:rPr>
                <w:rFonts w:ascii="Arial" w:cs="Arial" w:eastAsia="Arial" w:hAnsi="Arial"/>
                <w:sz w:val="16"/>
                <w:szCs w:val="16"/>
                <w:i w:val="1"/>
                <w:iCs w:val="1"/>
                <w:color w:val="auto"/>
                <w:w w:val="95"/>
              </w:rPr>
              <w:t>(State or other jurisdiction of incorporation or organization)</w:t>
            </w:r>
          </w:p>
        </w:tc>
        <w:tc>
          <w:tcPr>
            <w:tcW w:w="3380" w:type="dxa"/>
            <w:vAlign w:val="bottom"/>
            <w:gridSpan w:val="3"/>
          </w:tcPr>
          <w:p>
            <w:pPr>
              <w:jc w:val="center"/>
              <w:ind w:right="690"/>
              <w:spacing w:after="0"/>
              <w:rPr>
                <w:sz w:val="20"/>
                <w:szCs w:val="20"/>
                <w:color w:val="auto"/>
              </w:rPr>
            </w:pPr>
            <w:r>
              <w:rPr>
                <w:rFonts w:ascii="Arial" w:cs="Arial" w:eastAsia="Arial" w:hAnsi="Arial"/>
                <w:sz w:val="16"/>
                <w:szCs w:val="16"/>
                <w:i w:val="1"/>
                <w:iCs w:val="1"/>
                <w:color w:val="auto"/>
                <w:w w:val="94"/>
              </w:rPr>
              <w:t>(I.R.S. Employer Identification No.)</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2060" w:type="dxa"/>
            <w:vAlign w:val="bottom"/>
          </w:tcPr>
          <w:p>
            <w:pPr>
              <w:spacing w:after="0"/>
              <w:rPr>
                <w:sz w:val="24"/>
                <w:szCs w:val="24"/>
                <w:color w:val="auto"/>
              </w:rPr>
            </w:pPr>
          </w:p>
        </w:tc>
        <w:tc>
          <w:tcPr>
            <w:tcW w:w="7760" w:type="dxa"/>
            <w:vAlign w:val="bottom"/>
            <w:gridSpan w:val="7"/>
          </w:tcPr>
          <w:p>
            <w:pPr>
              <w:jc w:val="center"/>
              <w:ind w:right="570"/>
              <w:spacing w:after="0"/>
              <w:rPr>
                <w:sz w:val="20"/>
                <w:szCs w:val="20"/>
                <w:color w:val="auto"/>
              </w:rPr>
            </w:pPr>
            <w:r>
              <w:rPr>
                <w:rFonts w:ascii="Arial" w:cs="Arial" w:eastAsia="Arial" w:hAnsi="Arial"/>
                <w:sz w:val="18"/>
                <w:szCs w:val="18"/>
                <w:b w:val="1"/>
                <w:bCs w:val="1"/>
                <w:color w:val="auto"/>
                <w:w w:val="93"/>
              </w:rPr>
              <w:t>777 Old Saw Mill River Road Tarrytown, New York 10591-6707</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60" w:type="dxa"/>
            <w:vAlign w:val="bottom"/>
            <w:gridSpan w:val="6"/>
          </w:tcPr>
          <w:p>
            <w:pPr>
              <w:jc w:val="center"/>
              <w:ind w:right="1890"/>
              <w:spacing w:after="0"/>
              <w:rPr>
                <w:sz w:val="20"/>
                <w:szCs w:val="20"/>
                <w:color w:val="auto"/>
              </w:rPr>
            </w:pPr>
            <w:r>
              <w:rPr>
                <w:rFonts w:ascii="Arial" w:cs="Arial" w:eastAsia="Arial" w:hAnsi="Arial"/>
                <w:sz w:val="16"/>
                <w:szCs w:val="16"/>
                <w:i w:val="1"/>
                <w:iCs w:val="1"/>
                <w:color w:val="auto"/>
                <w:w w:val="92"/>
              </w:rPr>
              <w:t>(Address of principal executive offices, including zip code)</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(914) 847-7000</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460" w:type="dxa"/>
            <w:vAlign w:val="bottom"/>
            <w:gridSpan w:val="6"/>
          </w:tcPr>
          <w:p>
            <w:pPr>
              <w:jc w:val="center"/>
              <w:ind w:right="1890"/>
              <w:spacing w:after="0"/>
              <w:rPr>
                <w:sz w:val="20"/>
                <w:szCs w:val="20"/>
                <w:color w:val="auto"/>
              </w:rPr>
            </w:pPr>
            <w:r>
              <w:rPr>
                <w:rFonts w:ascii="Arial" w:cs="Arial" w:eastAsia="Arial" w:hAnsi="Arial"/>
                <w:sz w:val="16"/>
                <w:szCs w:val="16"/>
                <w:i w:val="1"/>
                <w:iCs w:val="1"/>
                <w:color w:val="auto"/>
                <w:w w:val="91"/>
              </w:rPr>
              <w:t>(Registrant's telephone number, including area code)</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3"/>
        </w:trPr>
        <w:tc>
          <w:tcPr>
            <w:tcW w:w="2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60" w:type="dxa"/>
            <w:vAlign w:val="bottom"/>
            <w:gridSpan w:val="6"/>
          </w:tcPr>
          <w:p>
            <w:pPr>
              <w:jc w:val="center"/>
              <w:ind w:right="189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i w:val="1"/>
                <w:iCs w:val="1"/>
                <w:color w:val="auto"/>
                <w:w w:val="90"/>
              </w:rPr>
              <w:t>Title of each class</w:t>
            </w:r>
          </w:p>
        </w:tc>
        <w:tc>
          <w:tcPr>
            <w:tcW w:w="16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i w:val="1"/>
                <w:iCs w:val="1"/>
                <w:color w:val="auto"/>
                <w:w w:val="90"/>
              </w:rPr>
              <w:t>Trading Symbol</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80" w:type="dxa"/>
            <w:vAlign w:val="bottom"/>
            <w:gridSpan w:val="4"/>
          </w:tcPr>
          <w:p>
            <w:pPr>
              <w:jc w:val="center"/>
              <w:ind w:right="380"/>
              <w:spacing w:after="0"/>
              <w:rPr>
                <w:sz w:val="20"/>
                <w:szCs w:val="20"/>
                <w:color w:val="auto"/>
              </w:rPr>
            </w:pPr>
            <w:r>
              <w:rPr>
                <w:rFonts w:ascii="Arial" w:cs="Arial" w:eastAsia="Arial" w:hAnsi="Arial"/>
                <w:sz w:val="18"/>
                <w:szCs w:val="18"/>
                <w:i w:val="1"/>
                <w:iCs w:val="1"/>
                <w:color w:val="auto"/>
                <w:w w:val="88"/>
              </w:rPr>
              <w:t>Name of each exchange on which registered</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gridSpan w:val="3"/>
          </w:tcPr>
          <w:p>
            <w:pPr>
              <w:jc w:val="center"/>
              <w:ind w:left="306"/>
              <w:spacing w:after="0"/>
              <w:rPr>
                <w:sz w:val="20"/>
                <w:szCs w:val="20"/>
                <w:color w:val="auto"/>
              </w:rPr>
            </w:pPr>
            <w:r>
              <w:rPr>
                <w:rFonts w:ascii="Arial" w:cs="Arial" w:eastAsia="Arial" w:hAnsi="Arial"/>
                <w:sz w:val="18"/>
                <w:szCs w:val="18"/>
                <w:b w:val="1"/>
                <w:bCs w:val="1"/>
                <w:color w:val="auto"/>
                <w:w w:val="89"/>
              </w:rPr>
              <w:t>Common Stock - par value $.001 per share</w:t>
            </w: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REGN</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00" w:type="dxa"/>
            <w:vAlign w:val="bottom"/>
          </w:tcPr>
          <w:p>
            <w:pPr>
              <w:jc w:val="center"/>
              <w:ind w:left="170"/>
              <w:spacing w:after="0"/>
              <w:rPr>
                <w:sz w:val="20"/>
                <w:szCs w:val="20"/>
                <w:color w:val="auto"/>
              </w:rPr>
            </w:pPr>
            <w:r>
              <w:rPr>
                <w:rFonts w:ascii="Arial" w:cs="Arial" w:eastAsia="Arial" w:hAnsi="Arial"/>
                <w:sz w:val="18"/>
                <w:szCs w:val="18"/>
                <w:b w:val="1"/>
                <w:bCs w:val="1"/>
                <w:color w:val="auto"/>
                <w:w w:val="93"/>
              </w:rPr>
              <w:t>NASDAQ Global Select Market</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1"/>
        </w:trPr>
        <w:tc>
          <w:tcPr>
            <w:tcW w:w="2060" w:type="dxa"/>
            <w:vAlign w:val="bottom"/>
          </w:tcPr>
          <w:p>
            <w:pPr>
              <w:spacing w:after="0"/>
              <w:rPr>
                <w:sz w:val="24"/>
                <w:szCs w:val="24"/>
                <w:color w:val="auto"/>
              </w:rPr>
            </w:pPr>
          </w:p>
        </w:tc>
        <w:tc>
          <w:tcPr>
            <w:tcW w:w="7760" w:type="dxa"/>
            <w:vAlign w:val="bottom"/>
            <w:gridSpan w:val="7"/>
          </w:tcPr>
          <w:p>
            <w:pPr>
              <w:jc w:val="center"/>
              <w:ind w:right="590"/>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6900" w:type="dxa"/>
            <w:vAlign w:val="bottom"/>
            <w:gridSpan w:val="6"/>
          </w:tcPr>
          <w:p>
            <w:pPr>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w:t>
            </w:r>
          </w:p>
        </w:tc>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60" w:type="dxa"/>
            <w:vAlign w:val="bottom"/>
            <w:gridSpan w:val="2"/>
          </w:tcPr>
          <w:p>
            <w:pPr>
              <w:ind w:left="10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540" w:type="dxa"/>
            <w:vAlign w:val="bottom"/>
          </w:tcPr>
          <w:p>
            <w:pPr>
              <w:ind w:left="200"/>
              <w:spacing w:after="0" w:line="161" w:lineRule="exact"/>
              <w:rPr>
                <w:sz w:val="20"/>
                <w:szCs w:val="20"/>
                <w:color w:val="auto"/>
              </w:rPr>
            </w:pPr>
            <w:r>
              <w:rPr>
                <w:rFonts w:ascii="Arial" w:cs="Arial" w:eastAsia="Arial" w:hAnsi="Arial"/>
                <w:sz w:val="14"/>
                <w:szCs w:val="14"/>
                <w:color w:val="auto"/>
                <w:w w:val="89"/>
              </w:rPr>
              <w:t xml:space="preserve">No </w:t>
            </w:r>
            <w:r>
              <w:rPr>
                <w:rFonts w:ascii="MS PGothic" w:cs="MS PGothic" w:eastAsia="MS PGothic" w:hAnsi="MS PGothic"/>
                <w:sz w:val="14"/>
                <w:szCs w:val="14"/>
                <w:color w:val="auto"/>
                <w:w w:val="89"/>
              </w:rPr>
              <w:t>☐</w:t>
            </w:r>
          </w:p>
        </w:tc>
        <w:tc>
          <w:tcPr>
            <w:tcW w:w="0" w:type="dxa"/>
            <w:vAlign w:val="bottom"/>
          </w:tcPr>
          <w:p>
            <w:pPr>
              <w:spacing w:after="0"/>
              <w:rPr>
                <w:sz w:val="1"/>
                <w:szCs w:val="1"/>
                <w:color w:val="auto"/>
              </w:rPr>
            </w:pPr>
          </w:p>
        </w:tc>
      </w:tr>
      <w:tr>
        <w:trPr>
          <w:trHeight w:val="283"/>
        </w:trPr>
        <w:tc>
          <w:tcPr>
            <w:tcW w:w="6900" w:type="dxa"/>
            <w:vAlign w:val="bottom"/>
            <w:gridSpan w:val="6"/>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60" w:type="dxa"/>
            <w:vAlign w:val="bottom"/>
            <w:gridSpan w:val="2"/>
          </w:tcPr>
          <w:p>
            <w:pPr>
              <w:ind w:left="10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540" w:type="dxa"/>
            <w:vAlign w:val="bottom"/>
          </w:tcPr>
          <w:p>
            <w:pPr>
              <w:ind w:left="200"/>
              <w:spacing w:after="0" w:line="161" w:lineRule="exact"/>
              <w:rPr>
                <w:sz w:val="20"/>
                <w:szCs w:val="20"/>
                <w:color w:val="auto"/>
              </w:rPr>
            </w:pPr>
            <w:r>
              <w:rPr>
                <w:rFonts w:ascii="Arial" w:cs="Arial" w:eastAsia="Arial" w:hAnsi="Arial"/>
                <w:sz w:val="14"/>
                <w:szCs w:val="14"/>
                <w:color w:val="auto"/>
                <w:w w:val="89"/>
              </w:rPr>
              <w:t xml:space="preserve">No </w:t>
            </w:r>
            <w:r>
              <w:rPr>
                <w:rFonts w:ascii="MS PGothic" w:cs="MS PGothic" w:eastAsia="MS PGothic" w:hAnsi="MS PGothic"/>
                <w:sz w:val="14"/>
                <w:szCs w:val="14"/>
                <w:color w:val="auto"/>
                <w:w w:val="89"/>
              </w:rPr>
              <w:t>☒</w:t>
            </w:r>
          </w:p>
        </w:tc>
        <w:tc>
          <w:tcPr>
            <w:tcW w:w="0" w:type="dxa"/>
            <w:vAlign w:val="bottom"/>
          </w:tcPr>
          <w:p>
            <w:pPr>
              <w:spacing w:after="0"/>
              <w:rPr>
                <w:sz w:val="1"/>
                <w:szCs w:val="1"/>
                <w:color w:val="auto"/>
              </w:rPr>
            </w:pPr>
          </w:p>
        </w:tc>
      </w:tr>
      <w:tr>
        <w:trPr>
          <w:trHeight w:val="212"/>
        </w:trPr>
        <w:tc>
          <w:tcPr>
            <w:tcW w:w="9820" w:type="dxa"/>
            <w:vAlign w:val="bottom"/>
            <w:gridSpan w:val="8"/>
          </w:tcPr>
          <w:p>
            <w:pPr>
              <w:spacing w:after="0"/>
              <w:rPr>
                <w:sz w:val="20"/>
                <w:szCs w:val="20"/>
                <w:color w:val="auto"/>
              </w:rPr>
            </w:pPr>
            <w:r>
              <w:rPr>
                <w:rFonts w:ascii="Arial" w:cs="Arial" w:eastAsia="Arial" w:hAnsi="Arial"/>
                <w:sz w:val="14"/>
                <w:szCs w:val="14"/>
                <w:color w:val="auto"/>
                <w:w w:val="98"/>
              </w:rPr>
              <w:t>Indicate by check mark whether the registrant (1) has filed all reports required to be filed by Section 13 or 15(d) of the Securities Exchange Act of 1934 during the</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9820" w:type="dxa"/>
            <w:vAlign w:val="bottom"/>
            <w:gridSpan w:val="8"/>
          </w:tcPr>
          <w:p>
            <w:pPr>
              <w:spacing w:after="0" w:line="135" w:lineRule="exact"/>
              <w:rPr>
                <w:sz w:val="20"/>
                <w:szCs w:val="20"/>
                <w:color w:val="auto"/>
              </w:rPr>
            </w:pPr>
            <w:r>
              <w:rPr>
                <w:rFonts w:ascii="Arial" w:cs="Arial" w:eastAsia="Arial" w:hAnsi="Arial"/>
                <w:sz w:val="14"/>
                <w:szCs w:val="14"/>
                <w:color w:val="auto"/>
                <w:w w:val="94"/>
              </w:rPr>
              <w:t>preceding 12 months (or for such shorter period that the registrant was required to file such reports), and (2) has been subject to such filing requirements for the past 90</w:t>
            </w:r>
          </w:p>
        </w:tc>
        <w:tc>
          <w:tcPr>
            <w:tcW w:w="660" w:type="dxa"/>
            <w:vAlign w:val="bottom"/>
            <w:gridSpan w:val="2"/>
            <w:vMerge w:val="restart"/>
          </w:tcPr>
          <w:p>
            <w:pPr>
              <w:ind w:left="10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540" w:type="dxa"/>
            <w:vAlign w:val="bottom"/>
            <w:vMerge w:val="restart"/>
          </w:tcPr>
          <w:p>
            <w:pPr>
              <w:ind w:left="200"/>
              <w:spacing w:after="0" w:line="161" w:lineRule="exact"/>
              <w:rPr>
                <w:sz w:val="20"/>
                <w:szCs w:val="20"/>
                <w:color w:val="auto"/>
              </w:rPr>
            </w:pPr>
            <w:r>
              <w:rPr>
                <w:rFonts w:ascii="Arial" w:cs="Arial" w:eastAsia="Arial" w:hAnsi="Arial"/>
                <w:sz w:val="14"/>
                <w:szCs w:val="14"/>
                <w:color w:val="auto"/>
                <w:w w:val="89"/>
              </w:rPr>
              <w:t xml:space="preserve">No </w:t>
            </w:r>
            <w:r>
              <w:rPr>
                <w:rFonts w:ascii="MS PGothic" w:cs="MS PGothic" w:eastAsia="MS PGothic" w:hAnsi="MS PGothic"/>
                <w:sz w:val="14"/>
                <w:szCs w:val="14"/>
                <w:color w:val="auto"/>
                <w:w w:val="89"/>
              </w:rPr>
              <w:t>☐</w:t>
            </w:r>
          </w:p>
        </w:tc>
        <w:tc>
          <w:tcPr>
            <w:tcW w:w="0" w:type="dxa"/>
            <w:vAlign w:val="bottom"/>
          </w:tcPr>
          <w:p>
            <w:pPr>
              <w:spacing w:after="0"/>
              <w:rPr>
                <w:sz w:val="1"/>
                <w:szCs w:val="1"/>
                <w:color w:val="auto"/>
              </w:rPr>
            </w:pPr>
          </w:p>
        </w:tc>
      </w:tr>
      <w:tr>
        <w:trPr>
          <w:trHeight w:val="206"/>
        </w:trPr>
        <w:tc>
          <w:tcPr>
            <w:tcW w:w="5040" w:type="dxa"/>
            <w:vAlign w:val="bottom"/>
            <w:gridSpan w:val="3"/>
          </w:tcPr>
          <w:p>
            <w:pPr>
              <w:spacing w:after="0"/>
              <w:rPr>
                <w:sz w:val="20"/>
                <w:szCs w:val="20"/>
                <w:color w:val="auto"/>
              </w:rPr>
            </w:pPr>
            <w:r>
              <w:rPr>
                <w:rFonts w:ascii="Arial" w:cs="Arial" w:eastAsia="Arial" w:hAnsi="Arial"/>
                <w:sz w:val="14"/>
                <w:szCs w:val="14"/>
                <w:color w:val="auto"/>
              </w:rPr>
              <w:t>days.</w:t>
            </w: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820" w:type="dxa"/>
            <w:vAlign w:val="bottom"/>
            <w:gridSpan w:val="8"/>
          </w:tcPr>
          <w:p>
            <w:pPr>
              <w:spacing w:after="0"/>
              <w:rPr>
                <w:sz w:val="20"/>
                <w:szCs w:val="20"/>
                <w:color w:val="auto"/>
              </w:rPr>
            </w:pPr>
            <w:r>
              <w:rPr>
                <w:rFonts w:ascii="Arial" w:cs="Arial" w:eastAsia="Arial" w:hAnsi="Arial"/>
                <w:sz w:val="14"/>
                <w:szCs w:val="14"/>
                <w:color w:val="auto"/>
                <w:w w:val="95"/>
              </w:rPr>
              <w:t>Indicate by check mark whether the registrant has submitted electronically every Interactive Data File required to be submitted pursuant to Rule 405 of Regulation S-T</w:t>
            </w:r>
          </w:p>
        </w:tc>
        <w:tc>
          <w:tcPr>
            <w:tcW w:w="660" w:type="dxa"/>
            <w:vAlign w:val="bottom"/>
            <w:gridSpan w:val="2"/>
            <w:vMerge w:val="restart"/>
          </w:tcPr>
          <w:p>
            <w:pPr>
              <w:ind w:left="10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540" w:type="dxa"/>
            <w:vAlign w:val="bottom"/>
            <w:vMerge w:val="restart"/>
          </w:tcPr>
          <w:p>
            <w:pPr>
              <w:ind w:left="200"/>
              <w:spacing w:after="0" w:line="161" w:lineRule="exact"/>
              <w:rPr>
                <w:sz w:val="20"/>
                <w:szCs w:val="20"/>
                <w:color w:val="auto"/>
              </w:rPr>
            </w:pPr>
            <w:r>
              <w:rPr>
                <w:rFonts w:ascii="Arial" w:cs="Arial" w:eastAsia="Arial" w:hAnsi="Arial"/>
                <w:sz w:val="14"/>
                <w:szCs w:val="14"/>
                <w:color w:val="auto"/>
                <w:w w:val="89"/>
              </w:rPr>
              <w:t xml:space="preserve">No </w:t>
            </w:r>
            <w:r>
              <w:rPr>
                <w:rFonts w:ascii="MS PGothic" w:cs="MS PGothic" w:eastAsia="MS PGothic" w:hAnsi="MS PGothic"/>
                <w:sz w:val="14"/>
                <w:szCs w:val="14"/>
                <w:color w:val="auto"/>
                <w:w w:val="89"/>
              </w:rPr>
              <w:t>☐</w:t>
            </w:r>
          </w:p>
        </w:tc>
        <w:tc>
          <w:tcPr>
            <w:tcW w:w="0" w:type="dxa"/>
            <w:vAlign w:val="bottom"/>
          </w:tcPr>
          <w:p>
            <w:pPr>
              <w:spacing w:after="0"/>
              <w:rPr>
                <w:sz w:val="1"/>
                <w:szCs w:val="1"/>
                <w:color w:val="auto"/>
              </w:rPr>
            </w:pPr>
          </w:p>
        </w:tc>
      </w:tr>
      <w:tr>
        <w:trPr>
          <w:trHeight w:val="207"/>
        </w:trPr>
        <w:tc>
          <w:tcPr>
            <w:tcW w:w="9820" w:type="dxa"/>
            <w:vAlign w:val="bottom"/>
            <w:gridSpan w:val="8"/>
          </w:tcPr>
          <w:p>
            <w:pPr>
              <w:spacing w:after="0"/>
              <w:rPr>
                <w:sz w:val="20"/>
                <w:szCs w:val="20"/>
                <w:color w:val="auto"/>
              </w:rPr>
            </w:pPr>
            <w:r>
              <w:rPr>
                <w:rFonts w:ascii="Arial" w:cs="Arial" w:eastAsia="Arial" w:hAnsi="Arial"/>
                <w:sz w:val="14"/>
                <w:szCs w:val="14"/>
                <w:color w:val="auto"/>
              </w:rPr>
              <w:t>(§232.405 of this chapter) during the preceding 12 months (or for such shorter period that the registrant was required to submit such files).</w:t>
            </w:r>
          </w:p>
        </w:tc>
        <w:tc>
          <w:tcPr>
            <w:tcW w:w="660" w:type="dxa"/>
            <w:vAlign w:val="bottom"/>
            <w:gridSpan w:val="2"/>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72" w:lineRule="exact"/>
        <w:rPr>
          <w:sz w:val="24"/>
          <w:szCs w:val="24"/>
          <w:color w:val="auto"/>
        </w:rPr>
      </w:pPr>
    </w:p>
    <w:p>
      <w:pPr>
        <w:ind w:right="40"/>
        <w:spacing w:after="0" w:line="23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2" w:lineRule="exact"/>
        <w:rPr>
          <w:sz w:val="24"/>
          <w:szCs w:val="24"/>
          <w:color w:val="auto"/>
        </w:rPr>
      </w:pPr>
    </w:p>
    <w:p>
      <w:pPr>
        <w:ind w:left="280"/>
        <w:spacing w:after="0" w:line="161" w:lineRule="exact"/>
        <w:tabs>
          <w:tab w:leader="none" w:pos="2260" w:val="left"/>
          <w:tab w:leader="none" w:pos="4020" w:val="left"/>
          <w:tab w:leader="none" w:pos="6040" w:val="left"/>
          <w:tab w:leader="none" w:pos="840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1200"/>
          </w:cols>
          <w:pgMar w:left="340" w:top="796" w:right="359" w:bottom="1440" w:gutter="0" w:footer="0" w:header="0"/>
        </w:sectPr>
      </w:pPr>
    </w:p>
    <w:p>
      <w:pPr>
        <w:spacing w:after="0" w:line="163" w:lineRule="exact"/>
        <w:rPr>
          <w:sz w:val="24"/>
          <w:szCs w:val="24"/>
          <w:color w:val="auto"/>
        </w:rPr>
      </w:pPr>
    </w:p>
    <w:p>
      <w:pPr>
        <w:ind w:right="60"/>
        <w:spacing w:after="0" w:line="236"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02" w:lineRule="exact"/>
        <w:rPr>
          <w:sz w:val="24"/>
          <w:szCs w:val="24"/>
          <w:color w:val="auto"/>
        </w:rPr>
      </w:pPr>
    </w:p>
    <w:p>
      <w:pPr>
        <w:spacing w:after="0" w:line="236" w:lineRule="auto"/>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7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43" w:lineRule="exact"/>
        <w:rPr>
          <w:sz w:val="24"/>
          <w:szCs w:val="24"/>
          <w:color w:val="auto"/>
        </w:rPr>
      </w:pPr>
    </w:p>
    <w:p>
      <w:pPr>
        <w:sectPr>
          <w:pgSz w:w="11900" w:h="16838" w:orient="portrait"/>
          <w:cols w:equalWidth="0" w:num="2">
            <w:col w:w="10720" w:space="200"/>
            <w:col w:w="280"/>
          </w:cols>
          <w:pgMar w:left="340" w:top="796" w:right="359" w:bottom="1440" w:gutter="0" w:footer="0" w:header="0"/>
          <w:type w:val="continuous"/>
        </w:sectPr>
      </w:pPr>
    </w:p>
    <w:p>
      <w:pPr>
        <w:spacing w:after="0" w:line="161" w:lineRule="exact"/>
        <w:tabs>
          <w:tab w:leader="none" w:pos="9980" w:val="left"/>
          <w:tab w:leader="none" w:pos="1070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150" w:lineRule="exact"/>
        <w:rPr>
          <w:sz w:val="24"/>
          <w:szCs w:val="24"/>
          <w:color w:val="auto"/>
        </w:rPr>
      </w:pPr>
    </w:p>
    <w:p>
      <w:pPr>
        <w:jc w:val="both"/>
        <w:spacing w:after="0" w:line="286" w:lineRule="auto"/>
        <w:rPr>
          <w:sz w:val="20"/>
          <w:szCs w:val="20"/>
          <w:color w:val="auto"/>
        </w:rPr>
      </w:pPr>
      <w:r>
        <w:rPr>
          <w:rFonts w:ascii="Arial" w:cs="Arial" w:eastAsia="Arial" w:hAnsi="Arial"/>
          <w:sz w:val="13"/>
          <w:szCs w:val="13"/>
          <w:color w:val="auto"/>
        </w:rPr>
        <w:t>The aggregate market value of the voting and non-voting common stock held by non-affiliates of the registrant was approximately $63,344,000,000, computed by reference to the closing sales price of the stock on NASDAQ on June 30, 2020, the last trading day of the registrant's most recently completed second fiscal quarter. For purposes of this calculation only, the registrant has assumed that all of its directors and executive officers, and no other persons, are its affiliates. This determination of affiliate status is not necessarily a determination for other purposes.</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6400" w:type="dxa"/>
            <w:vAlign w:val="bottom"/>
            <w:gridSpan w:val="4"/>
          </w:tcPr>
          <w:p>
            <w:pPr>
              <w:spacing w:after="0"/>
              <w:rPr>
                <w:sz w:val="20"/>
                <w:szCs w:val="20"/>
                <w:color w:val="auto"/>
              </w:rPr>
            </w:pPr>
            <w:r>
              <w:rPr>
                <w:rFonts w:ascii="Arial" w:cs="Arial" w:eastAsia="Arial" w:hAnsi="Arial"/>
                <w:sz w:val="14"/>
                <w:szCs w:val="14"/>
                <w:color w:val="auto"/>
                <w:w w:val="93"/>
              </w:rPr>
              <w:t>The number of shares outstanding of each of the registrant's classes of common stock as of January 29, 2021:</w:t>
            </w:r>
          </w:p>
        </w:tc>
        <w:tc>
          <w:tcPr>
            <w:tcW w:w="1680" w:type="dxa"/>
            <w:vAlign w:val="bottom"/>
          </w:tcPr>
          <w:p>
            <w:pPr>
              <w:spacing w:after="0"/>
              <w:rPr>
                <w:sz w:val="15"/>
                <w:szCs w:val="15"/>
                <w:color w:val="auto"/>
              </w:rPr>
            </w:pPr>
          </w:p>
        </w:tc>
      </w:tr>
      <w:tr>
        <w:trPr>
          <w:trHeight w:val="330"/>
        </w:trPr>
        <w:tc>
          <w:tcPr>
            <w:tcW w:w="3140" w:type="dxa"/>
            <w:vAlign w:val="bottom"/>
          </w:tcPr>
          <w:p>
            <w:pPr>
              <w:spacing w:after="0"/>
              <w:rPr>
                <w:sz w:val="24"/>
                <w:szCs w:val="24"/>
                <w:color w:val="auto"/>
              </w:rPr>
            </w:pPr>
          </w:p>
        </w:tc>
        <w:tc>
          <w:tcPr>
            <w:tcW w:w="3260" w:type="dxa"/>
            <w:vAlign w:val="bottom"/>
            <w:gridSpan w:val="3"/>
          </w:tcPr>
          <w:p>
            <w:pPr>
              <w:jc w:val="center"/>
              <w:ind w:right="560"/>
              <w:spacing w:after="0"/>
              <w:rPr>
                <w:sz w:val="20"/>
                <w:szCs w:val="20"/>
                <w:color w:val="auto"/>
              </w:rPr>
            </w:pPr>
            <w:r>
              <w:rPr>
                <w:rFonts w:ascii="Arial" w:cs="Arial" w:eastAsia="Arial" w:hAnsi="Arial"/>
                <w:sz w:val="14"/>
                <w:szCs w:val="14"/>
                <w:color w:val="auto"/>
                <w:w w:val="94"/>
              </w:rPr>
              <w:t>Class of Common Stock</w:t>
            </w:r>
          </w:p>
        </w:tc>
        <w:tc>
          <w:tcPr>
            <w:tcW w:w="1680" w:type="dxa"/>
            <w:vAlign w:val="bottom"/>
          </w:tcPr>
          <w:p>
            <w:pPr>
              <w:ind w:left="100"/>
              <w:spacing w:after="0"/>
              <w:rPr>
                <w:sz w:val="20"/>
                <w:szCs w:val="20"/>
                <w:color w:val="auto"/>
              </w:rPr>
            </w:pPr>
            <w:r>
              <w:rPr>
                <w:rFonts w:ascii="Arial" w:cs="Arial" w:eastAsia="Arial" w:hAnsi="Arial"/>
                <w:sz w:val="14"/>
                <w:szCs w:val="14"/>
                <w:color w:val="auto"/>
              </w:rPr>
              <w:t>Number of Shares</w:t>
            </w:r>
          </w:p>
        </w:tc>
      </w:tr>
      <w:tr>
        <w:trPr>
          <w:trHeight w:val="182"/>
        </w:trPr>
        <w:tc>
          <w:tcPr>
            <w:tcW w:w="3140" w:type="dxa"/>
            <w:vAlign w:val="bottom"/>
          </w:tcPr>
          <w:p>
            <w:pPr>
              <w:spacing w:after="0"/>
              <w:rPr>
                <w:sz w:val="15"/>
                <w:szCs w:val="15"/>
                <w:color w:val="auto"/>
              </w:rPr>
            </w:pP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Class A Stock, $.001 par value</w:t>
            </w:r>
          </w:p>
        </w:tc>
        <w:tc>
          <w:tcPr>
            <w:tcW w:w="1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ind w:right="708"/>
              <w:spacing w:after="0"/>
              <w:rPr>
                <w:sz w:val="20"/>
                <w:szCs w:val="20"/>
                <w:color w:val="auto"/>
              </w:rPr>
            </w:pPr>
            <w:r>
              <w:rPr>
                <w:rFonts w:ascii="Arial" w:cs="Arial" w:eastAsia="Arial" w:hAnsi="Arial"/>
                <w:sz w:val="14"/>
                <w:szCs w:val="14"/>
                <w:color w:val="auto"/>
              </w:rPr>
              <w:t>1,848,970</w:t>
            </w:r>
          </w:p>
        </w:tc>
      </w:tr>
      <w:tr>
        <w:trPr>
          <w:trHeight w:val="184"/>
        </w:trPr>
        <w:tc>
          <w:tcPr>
            <w:tcW w:w="3140" w:type="dxa"/>
            <w:vAlign w:val="bottom"/>
          </w:tcPr>
          <w:p>
            <w:pPr>
              <w:spacing w:after="0"/>
              <w:rPr>
                <w:sz w:val="15"/>
                <w:szCs w:val="15"/>
                <w:color w:val="auto"/>
              </w:rPr>
            </w:pPr>
          </w:p>
        </w:tc>
        <w:tc>
          <w:tcPr>
            <w:tcW w:w="3260" w:type="dxa"/>
            <w:vAlign w:val="bottom"/>
            <w:gridSpan w:val="3"/>
          </w:tcPr>
          <w:p>
            <w:pPr>
              <w:jc w:val="center"/>
              <w:ind w:right="560"/>
              <w:spacing w:after="0"/>
              <w:rPr>
                <w:sz w:val="20"/>
                <w:szCs w:val="20"/>
                <w:color w:val="auto"/>
              </w:rPr>
            </w:pPr>
            <w:r>
              <w:rPr>
                <w:rFonts w:ascii="Arial" w:cs="Arial" w:eastAsia="Arial" w:hAnsi="Arial"/>
                <w:sz w:val="14"/>
                <w:szCs w:val="14"/>
                <w:color w:val="auto"/>
                <w:w w:val="92"/>
              </w:rPr>
              <w:t>Common Stock, $.001 par value</w:t>
            </w:r>
          </w:p>
        </w:tc>
        <w:tc>
          <w:tcPr>
            <w:tcW w:w="1680" w:type="dxa"/>
            <w:vAlign w:val="bottom"/>
          </w:tcPr>
          <w:p>
            <w:pPr>
              <w:jc w:val="right"/>
              <w:ind w:right="628"/>
              <w:spacing w:after="0"/>
              <w:rPr>
                <w:sz w:val="20"/>
                <w:szCs w:val="20"/>
                <w:color w:val="auto"/>
              </w:rPr>
            </w:pPr>
            <w:r>
              <w:rPr>
                <w:rFonts w:ascii="Arial" w:cs="Arial" w:eastAsia="Arial" w:hAnsi="Arial"/>
                <w:sz w:val="14"/>
                <w:szCs w:val="14"/>
                <w:color w:val="auto"/>
              </w:rPr>
              <w:t>105,282,929</w:t>
            </w:r>
          </w:p>
        </w:tc>
      </w:tr>
    </w:tbl>
    <w:p>
      <w:pPr>
        <w:spacing w:after="0" w:line="23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27" w:lineRule="exact"/>
        <w:rPr>
          <w:sz w:val="24"/>
          <w:szCs w:val="24"/>
          <w:color w:val="auto"/>
        </w:rPr>
      </w:pPr>
    </w:p>
    <w:p>
      <w:pPr>
        <w:spacing w:after="0" w:line="236" w:lineRule="auto"/>
        <w:rPr>
          <w:sz w:val="20"/>
          <w:szCs w:val="20"/>
          <w:color w:val="auto"/>
        </w:rPr>
      </w:pPr>
      <w:r>
        <w:rPr>
          <w:rFonts w:ascii="Arial" w:cs="Arial" w:eastAsia="Arial" w:hAnsi="Arial"/>
          <w:sz w:val="14"/>
          <w:szCs w:val="14"/>
          <w:color w:val="auto"/>
        </w:rPr>
        <w:t>Specified portions of the Registrant's definitive proxy statement to be filed in connection with solicitation of proxies for its 2021 Annual Meeting of Shareholders are incorporated by reference into Part III of this Form 10-K. Exhibit index is located on pages 92 to 97 of this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436880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796" w:right="359" w:bottom="1440" w:gutter="0" w:footer="0" w:header="0"/>
          <w:type w:val="continuous"/>
        </w:sectPr>
      </w:pPr>
    </w:p>
    <w:bookmarkStart w:id="1" w:name="page2"/>
    <w:bookmarkEnd w:id="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TABLE OF CONTENTS</w:t>
      </w:r>
    </w:p>
    <w:p>
      <w:pPr>
        <w:spacing w:after="0" w:line="356"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gridSpan w:val="3"/>
          </w:tcPr>
          <w:p>
            <w:pPr>
              <w:ind w:left="580"/>
              <w:spacing w:after="0"/>
              <w:rPr>
                <w:sz w:val="20"/>
                <w:szCs w:val="20"/>
                <w:color w:val="auto"/>
              </w:rPr>
            </w:pPr>
            <w:r>
              <w:rPr>
                <w:rFonts w:ascii="Arial" w:cs="Arial" w:eastAsia="Arial" w:hAnsi="Arial"/>
                <w:sz w:val="18"/>
                <w:szCs w:val="18"/>
                <w:b w:val="1"/>
                <w:bCs w:val="1"/>
                <w:color w:val="auto"/>
              </w:rPr>
              <w:t>Page Numbers</w:t>
            </w:r>
          </w:p>
        </w:tc>
      </w:tr>
      <w:tr>
        <w:trPr>
          <w:trHeight w:val="21"/>
        </w:trPr>
        <w:tc>
          <w:tcPr>
            <w:tcW w:w="1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9"/>
        </w:trPr>
        <w:tc>
          <w:tcPr>
            <w:tcW w:w="1280" w:type="dxa"/>
            <w:vAlign w:val="bottom"/>
            <w:shd w:val="clear" w:color="auto" w:fill="CCEEFF"/>
          </w:tcPr>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PART I</w:t>
              </w:r>
            </w:hyperlink>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29"/>
        </w:trPr>
        <w:tc>
          <w:tcPr>
            <w:tcW w:w="1280" w:type="dxa"/>
            <w:vAlign w:val="bottom"/>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w:t>
              </w:r>
            </w:hyperlink>
          </w:p>
        </w:tc>
        <w:tc>
          <w:tcPr>
            <w:tcW w:w="6440" w:type="dxa"/>
            <w:vAlign w:val="bottom"/>
            <w:gridSpan w:val="9"/>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Business</w:t>
              </w:r>
            </w:hyperlink>
          </w:p>
        </w:tc>
        <w:tc>
          <w:tcPr>
            <w:tcW w:w="1700" w:type="dxa"/>
            <w:vAlign w:val="bottom"/>
            <w:gridSpan w:val="2"/>
          </w:tcPr>
          <w:p>
            <w:pPr>
              <w:jc w:val="center"/>
              <w:ind w:left="490"/>
              <w:spacing w:after="0"/>
              <w:rPr>
                <w:rFonts w:ascii="Arial" w:cs="Arial" w:eastAsia="Arial" w:hAnsi="Arial"/>
                <w:sz w:val="18"/>
                <w:szCs w:val="18"/>
                <w:u w:val="single" w:color="auto"/>
                <w:color w:val="0000FF"/>
                <w:w w:val="79"/>
              </w:rPr>
            </w:pPr>
            <w:hyperlink w:anchor="page3">
              <w:r>
                <w:rPr>
                  <w:rFonts w:ascii="Arial" w:cs="Arial" w:eastAsia="Arial" w:hAnsi="Arial"/>
                  <w:sz w:val="18"/>
                  <w:szCs w:val="18"/>
                  <w:u w:val="single" w:color="auto"/>
                  <w:color w:val="0000FF"/>
                  <w:w w:val="79"/>
                </w:rPr>
                <w:t>2</w:t>
              </w:r>
            </w:hyperlink>
          </w:p>
        </w:tc>
        <w:tc>
          <w:tcPr>
            <w:tcW w:w="200" w:type="dxa"/>
            <w:vAlign w:val="bottom"/>
          </w:tcPr>
          <w:p>
            <w:pPr>
              <w:spacing w:after="0"/>
              <w:rPr>
                <w:sz w:val="19"/>
                <w:szCs w:val="19"/>
                <w:color w:val="auto"/>
              </w:rPr>
            </w:pPr>
          </w:p>
        </w:tc>
      </w:tr>
      <w:tr>
        <w:trPr>
          <w:trHeight w:val="230"/>
        </w:trPr>
        <w:tc>
          <w:tcPr>
            <w:tcW w:w="1280" w:type="dxa"/>
            <w:vAlign w:val="bottom"/>
            <w:shd w:val="clear" w:color="auto" w:fill="CCEEFF"/>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Item 1A.</w:t>
              </w:r>
            </w:hyperlink>
          </w:p>
        </w:tc>
        <w:tc>
          <w:tcPr>
            <w:tcW w:w="6440" w:type="dxa"/>
            <w:vAlign w:val="bottom"/>
            <w:gridSpan w:val="9"/>
            <w:shd w:val="clear" w:color="auto" w:fill="CCEEFF"/>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Risk Factors</w:t>
              </w:r>
            </w:hyperlink>
          </w:p>
        </w:tc>
        <w:tc>
          <w:tcPr>
            <w:tcW w:w="1700" w:type="dxa"/>
            <w:vAlign w:val="bottom"/>
            <w:gridSpan w:val="2"/>
            <w:shd w:val="clear" w:color="auto" w:fill="CCEEFF"/>
          </w:tcPr>
          <w:p>
            <w:pPr>
              <w:jc w:val="center"/>
              <w:ind w:left="510"/>
              <w:spacing w:after="0"/>
              <w:rPr>
                <w:rFonts w:ascii="Arial" w:cs="Arial" w:eastAsia="Arial" w:hAnsi="Arial"/>
                <w:sz w:val="18"/>
                <w:szCs w:val="18"/>
                <w:u w:val="single" w:color="auto"/>
                <w:color w:val="0000FF"/>
                <w:w w:val="89"/>
              </w:rPr>
            </w:pPr>
            <w:hyperlink w:anchor="page38">
              <w:r>
                <w:rPr>
                  <w:rFonts w:ascii="Arial" w:cs="Arial" w:eastAsia="Arial" w:hAnsi="Arial"/>
                  <w:sz w:val="18"/>
                  <w:szCs w:val="18"/>
                  <w:u w:val="single" w:color="auto"/>
                  <w:color w:val="0000FF"/>
                  <w:w w:val="89"/>
                </w:rPr>
                <w:t>37</w:t>
              </w:r>
            </w:hyperlink>
          </w:p>
        </w:tc>
        <w:tc>
          <w:tcPr>
            <w:tcW w:w="200" w:type="dxa"/>
            <w:vAlign w:val="bottom"/>
            <w:shd w:val="clear" w:color="auto" w:fill="CCEEFF"/>
          </w:tcPr>
          <w:p>
            <w:pPr>
              <w:spacing w:after="0"/>
              <w:rPr>
                <w:sz w:val="19"/>
                <w:szCs w:val="19"/>
                <w:color w:val="auto"/>
              </w:rPr>
            </w:pPr>
          </w:p>
        </w:tc>
      </w:tr>
      <w:tr>
        <w:trPr>
          <w:trHeight w:val="229"/>
        </w:trPr>
        <w:tc>
          <w:tcPr>
            <w:tcW w:w="1280" w:type="dxa"/>
            <w:vAlign w:val="bottom"/>
          </w:tcPr>
          <w:p>
            <w:pPr>
              <w:spacing w:after="0"/>
              <w:rPr>
                <w:rFonts w:ascii="Arial" w:cs="Arial" w:eastAsia="Arial" w:hAnsi="Arial"/>
                <w:sz w:val="18"/>
                <w:szCs w:val="18"/>
                <w:color w:val="0000FF"/>
              </w:rPr>
            </w:pPr>
            <w:hyperlink w:anchor="page72">
              <w:r>
                <w:rPr>
                  <w:rFonts w:ascii="Arial" w:cs="Arial" w:eastAsia="Arial" w:hAnsi="Arial"/>
                  <w:sz w:val="18"/>
                  <w:szCs w:val="18"/>
                  <w:u w:val="single" w:color="auto"/>
                  <w:color w:val="0000FF"/>
                </w:rPr>
                <w:t>Item 1B</w:t>
              </w:r>
              <w:r>
                <w:rPr>
                  <w:rFonts w:ascii="Arial" w:cs="Arial" w:eastAsia="Arial" w:hAnsi="Arial"/>
                  <w:sz w:val="18"/>
                  <w:szCs w:val="18"/>
                  <w:color w:val="0000FF"/>
                </w:rPr>
                <w:t>.</w:t>
              </w:r>
            </w:hyperlink>
          </w:p>
        </w:tc>
        <w:tc>
          <w:tcPr>
            <w:tcW w:w="6440" w:type="dxa"/>
            <w:vAlign w:val="bottom"/>
            <w:gridSpan w:val="9"/>
          </w:tcPr>
          <w:p>
            <w:pPr>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Unresolved Staff Comments</w:t>
              </w:r>
            </w:hyperlink>
          </w:p>
        </w:tc>
        <w:tc>
          <w:tcPr>
            <w:tcW w:w="1700" w:type="dxa"/>
            <w:vAlign w:val="bottom"/>
            <w:gridSpan w:val="2"/>
          </w:tcPr>
          <w:p>
            <w:pPr>
              <w:jc w:val="center"/>
              <w:ind w:left="510"/>
              <w:spacing w:after="0"/>
              <w:rPr>
                <w:rFonts w:ascii="Arial" w:cs="Arial" w:eastAsia="Arial" w:hAnsi="Arial"/>
                <w:sz w:val="18"/>
                <w:szCs w:val="18"/>
                <w:u w:val="single" w:color="auto"/>
                <w:color w:val="0000FF"/>
                <w:w w:val="89"/>
              </w:rPr>
            </w:pPr>
            <w:hyperlink w:anchor="page72">
              <w:r>
                <w:rPr>
                  <w:rFonts w:ascii="Arial" w:cs="Arial" w:eastAsia="Arial" w:hAnsi="Arial"/>
                  <w:sz w:val="18"/>
                  <w:szCs w:val="18"/>
                  <w:u w:val="single" w:color="auto"/>
                  <w:color w:val="0000FF"/>
                  <w:w w:val="89"/>
                </w:rPr>
                <w:t>71</w:t>
              </w:r>
            </w:hyperlink>
          </w:p>
        </w:tc>
        <w:tc>
          <w:tcPr>
            <w:tcW w:w="200" w:type="dxa"/>
            <w:vAlign w:val="bottom"/>
          </w:tcPr>
          <w:p>
            <w:pPr>
              <w:spacing w:after="0"/>
              <w:rPr>
                <w:sz w:val="19"/>
                <w:szCs w:val="19"/>
                <w:color w:val="auto"/>
              </w:rPr>
            </w:pPr>
          </w:p>
        </w:tc>
      </w:tr>
      <w:tr>
        <w:trPr>
          <w:trHeight w:val="229"/>
        </w:trPr>
        <w:tc>
          <w:tcPr>
            <w:tcW w:w="1280" w:type="dxa"/>
            <w:vAlign w:val="bottom"/>
            <w:shd w:val="clear" w:color="auto" w:fill="CCEEFF"/>
          </w:tcPr>
          <w:p>
            <w:pPr>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Item 2.</w:t>
              </w:r>
            </w:hyperlink>
          </w:p>
        </w:tc>
        <w:tc>
          <w:tcPr>
            <w:tcW w:w="6440" w:type="dxa"/>
            <w:vAlign w:val="bottom"/>
            <w:gridSpan w:val="9"/>
            <w:shd w:val="clear" w:color="auto" w:fill="CCEEFF"/>
          </w:tcPr>
          <w:p>
            <w:pPr>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Properties</w:t>
              </w:r>
            </w:hyperlink>
          </w:p>
        </w:tc>
        <w:tc>
          <w:tcPr>
            <w:tcW w:w="1700" w:type="dxa"/>
            <w:vAlign w:val="bottom"/>
            <w:gridSpan w:val="2"/>
            <w:shd w:val="clear" w:color="auto" w:fill="CCEEFF"/>
          </w:tcPr>
          <w:p>
            <w:pPr>
              <w:jc w:val="center"/>
              <w:ind w:left="510"/>
              <w:spacing w:after="0"/>
              <w:rPr>
                <w:rFonts w:ascii="Arial" w:cs="Arial" w:eastAsia="Arial" w:hAnsi="Arial"/>
                <w:sz w:val="18"/>
                <w:szCs w:val="18"/>
                <w:u w:val="single" w:color="auto"/>
                <w:color w:val="0000FF"/>
                <w:w w:val="89"/>
              </w:rPr>
            </w:pPr>
            <w:hyperlink w:anchor="page72">
              <w:r>
                <w:rPr>
                  <w:rFonts w:ascii="Arial" w:cs="Arial" w:eastAsia="Arial" w:hAnsi="Arial"/>
                  <w:sz w:val="18"/>
                  <w:szCs w:val="18"/>
                  <w:u w:val="single" w:color="auto"/>
                  <w:color w:val="0000FF"/>
                  <w:w w:val="89"/>
                </w:rPr>
                <w:t>71</w:t>
              </w:r>
            </w:hyperlink>
          </w:p>
        </w:tc>
        <w:tc>
          <w:tcPr>
            <w:tcW w:w="200" w:type="dxa"/>
            <w:vAlign w:val="bottom"/>
            <w:shd w:val="clear" w:color="auto" w:fill="CCEEFF"/>
          </w:tcPr>
          <w:p>
            <w:pPr>
              <w:spacing w:after="0"/>
              <w:rPr>
                <w:sz w:val="19"/>
                <w:szCs w:val="19"/>
                <w:color w:val="auto"/>
              </w:rPr>
            </w:pPr>
          </w:p>
        </w:tc>
      </w:tr>
      <w:tr>
        <w:trPr>
          <w:trHeight w:val="230"/>
        </w:trPr>
        <w:tc>
          <w:tcPr>
            <w:tcW w:w="1280" w:type="dxa"/>
            <w:vAlign w:val="bottom"/>
          </w:tcPr>
          <w:p>
            <w:pPr>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Item 3.</w:t>
              </w:r>
            </w:hyperlink>
          </w:p>
        </w:tc>
        <w:tc>
          <w:tcPr>
            <w:tcW w:w="6440" w:type="dxa"/>
            <w:vAlign w:val="bottom"/>
            <w:gridSpan w:val="9"/>
          </w:tcPr>
          <w:p>
            <w:pPr>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Legal Proceedings</w:t>
              </w:r>
            </w:hyperlink>
          </w:p>
        </w:tc>
        <w:tc>
          <w:tcPr>
            <w:tcW w:w="1700" w:type="dxa"/>
            <w:vAlign w:val="bottom"/>
            <w:gridSpan w:val="2"/>
          </w:tcPr>
          <w:p>
            <w:pPr>
              <w:jc w:val="center"/>
              <w:ind w:left="510"/>
              <w:spacing w:after="0"/>
              <w:rPr>
                <w:rFonts w:ascii="Arial" w:cs="Arial" w:eastAsia="Arial" w:hAnsi="Arial"/>
                <w:sz w:val="18"/>
                <w:szCs w:val="18"/>
                <w:u w:val="single" w:color="auto"/>
                <w:color w:val="0000FF"/>
                <w:w w:val="89"/>
              </w:rPr>
            </w:pPr>
            <w:hyperlink w:anchor="page72">
              <w:r>
                <w:rPr>
                  <w:rFonts w:ascii="Arial" w:cs="Arial" w:eastAsia="Arial" w:hAnsi="Arial"/>
                  <w:sz w:val="18"/>
                  <w:szCs w:val="18"/>
                  <w:u w:val="single" w:color="auto"/>
                  <w:color w:val="0000FF"/>
                  <w:w w:val="89"/>
                </w:rPr>
                <w:t>72</w:t>
              </w:r>
            </w:hyperlink>
          </w:p>
        </w:tc>
        <w:tc>
          <w:tcPr>
            <w:tcW w:w="200" w:type="dxa"/>
            <w:vAlign w:val="bottom"/>
          </w:tcPr>
          <w:p>
            <w:pPr>
              <w:spacing w:after="0"/>
              <w:rPr>
                <w:sz w:val="19"/>
                <w:szCs w:val="19"/>
                <w:color w:val="auto"/>
              </w:rPr>
            </w:pPr>
          </w:p>
        </w:tc>
      </w:tr>
      <w:tr>
        <w:trPr>
          <w:trHeight w:val="229"/>
        </w:trPr>
        <w:tc>
          <w:tcPr>
            <w:tcW w:w="1280" w:type="dxa"/>
            <w:vAlign w:val="bottom"/>
            <w:shd w:val="clear" w:color="auto" w:fill="CCEEFF"/>
          </w:tcPr>
          <w:p>
            <w:pPr>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Item 4.</w:t>
              </w:r>
            </w:hyperlink>
          </w:p>
        </w:tc>
        <w:tc>
          <w:tcPr>
            <w:tcW w:w="6440" w:type="dxa"/>
            <w:vAlign w:val="bottom"/>
            <w:gridSpan w:val="9"/>
            <w:shd w:val="clear" w:color="auto" w:fill="CCEEFF"/>
          </w:tcPr>
          <w:p>
            <w:pPr>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Mine Safety Disclosures</w:t>
              </w:r>
            </w:hyperlink>
          </w:p>
        </w:tc>
        <w:tc>
          <w:tcPr>
            <w:tcW w:w="1700" w:type="dxa"/>
            <w:vAlign w:val="bottom"/>
            <w:gridSpan w:val="2"/>
            <w:shd w:val="clear" w:color="auto" w:fill="CCEEFF"/>
          </w:tcPr>
          <w:p>
            <w:pPr>
              <w:jc w:val="center"/>
              <w:ind w:left="510"/>
              <w:spacing w:after="0"/>
              <w:rPr>
                <w:rFonts w:ascii="Arial" w:cs="Arial" w:eastAsia="Arial" w:hAnsi="Arial"/>
                <w:sz w:val="18"/>
                <w:szCs w:val="18"/>
                <w:u w:val="single" w:color="auto"/>
                <w:color w:val="0000FF"/>
                <w:w w:val="89"/>
              </w:rPr>
            </w:pPr>
            <w:hyperlink w:anchor="page73">
              <w:r>
                <w:rPr>
                  <w:rFonts w:ascii="Arial" w:cs="Arial" w:eastAsia="Arial" w:hAnsi="Arial"/>
                  <w:sz w:val="18"/>
                  <w:szCs w:val="18"/>
                  <w:u w:val="single" w:color="auto"/>
                  <w:color w:val="0000FF"/>
                  <w:w w:val="89"/>
                </w:rPr>
                <w:t>72</w:t>
              </w:r>
            </w:hyperlink>
          </w:p>
        </w:tc>
        <w:tc>
          <w:tcPr>
            <w:tcW w:w="200" w:type="dxa"/>
            <w:vAlign w:val="bottom"/>
            <w:shd w:val="clear" w:color="auto" w:fill="CCEEFF"/>
          </w:tcPr>
          <w:p>
            <w:pPr>
              <w:spacing w:after="0"/>
              <w:rPr>
                <w:sz w:val="19"/>
                <w:szCs w:val="19"/>
                <w:color w:val="auto"/>
              </w:rPr>
            </w:pPr>
          </w:p>
        </w:tc>
      </w:tr>
      <w:tr>
        <w:trPr>
          <w:trHeight w:val="324"/>
        </w:trPr>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9"/>
        </w:trPr>
        <w:tc>
          <w:tcPr>
            <w:tcW w:w="1280" w:type="dxa"/>
            <w:vAlign w:val="bottom"/>
            <w:shd w:val="clear" w:color="auto" w:fill="CCEEFF"/>
          </w:tcPr>
          <w:p>
            <w:pPr>
              <w:spacing w:after="0"/>
              <w:rPr>
                <w:rFonts w:ascii="Arial" w:cs="Arial" w:eastAsia="Arial" w:hAnsi="Arial"/>
                <w:sz w:val="18"/>
                <w:szCs w:val="18"/>
                <w:b w:val="1"/>
                <w:bCs w:val="1"/>
                <w:u w:val="single" w:color="auto"/>
                <w:color w:val="0000FF"/>
              </w:rPr>
            </w:pPr>
            <w:hyperlink w:anchor="page73">
              <w:r>
                <w:rPr>
                  <w:rFonts w:ascii="Arial" w:cs="Arial" w:eastAsia="Arial" w:hAnsi="Arial"/>
                  <w:sz w:val="18"/>
                  <w:szCs w:val="18"/>
                  <w:b w:val="1"/>
                  <w:bCs w:val="1"/>
                  <w:u w:val="single" w:color="auto"/>
                  <w:color w:val="0000FF"/>
                </w:rPr>
                <w:t>PART II</w:t>
              </w:r>
            </w:hyperlink>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189"/>
        </w:trPr>
        <w:tc>
          <w:tcPr>
            <w:tcW w:w="1280" w:type="dxa"/>
            <w:vAlign w:val="bottom"/>
          </w:tcPr>
          <w:p>
            <w:pPr>
              <w:spacing w:after="0" w:line="189" w:lineRule="exact"/>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Item 5.</w:t>
              </w:r>
            </w:hyperlink>
          </w:p>
        </w:tc>
        <w:tc>
          <w:tcPr>
            <w:tcW w:w="6440" w:type="dxa"/>
            <w:vAlign w:val="bottom"/>
            <w:gridSpan w:val="9"/>
          </w:tcPr>
          <w:p>
            <w:pPr>
              <w:spacing w:after="0" w:line="189" w:lineRule="exact"/>
              <w:rPr>
                <w:rFonts w:ascii="Arial" w:cs="Arial" w:eastAsia="Arial" w:hAnsi="Arial"/>
                <w:sz w:val="18"/>
                <w:szCs w:val="18"/>
                <w:color w:val="0000FF"/>
                <w:w w:val="99"/>
              </w:rPr>
            </w:pPr>
            <w:hyperlink w:anchor="page73">
              <w:r>
                <w:rPr>
                  <w:rFonts w:ascii="Arial" w:cs="Arial" w:eastAsia="Arial" w:hAnsi="Arial"/>
                  <w:sz w:val="18"/>
                  <w:szCs w:val="18"/>
                  <w:color w:val="0000FF"/>
                  <w:w w:val="99"/>
                </w:rPr>
                <w:t>Market for Registrant's Common Equity, Related Stockholder Matters, and Issuer</w:t>
              </w:r>
            </w:hyperlink>
          </w:p>
        </w:tc>
        <w:tc>
          <w:tcPr>
            <w:tcW w:w="1700" w:type="dxa"/>
            <w:vAlign w:val="bottom"/>
            <w:gridSpan w:val="2"/>
          </w:tcPr>
          <w:p>
            <w:pPr>
              <w:jc w:val="center"/>
              <w:ind w:left="510"/>
              <w:spacing w:after="0" w:line="189" w:lineRule="exact"/>
              <w:rPr>
                <w:rFonts w:ascii="Arial" w:cs="Arial" w:eastAsia="Arial" w:hAnsi="Arial"/>
                <w:sz w:val="18"/>
                <w:szCs w:val="18"/>
                <w:u w:val="single" w:color="auto"/>
                <w:color w:val="0000FF"/>
                <w:w w:val="89"/>
              </w:rPr>
            </w:pPr>
            <w:hyperlink w:anchor="page73">
              <w:r>
                <w:rPr>
                  <w:rFonts w:ascii="Arial" w:cs="Arial" w:eastAsia="Arial" w:hAnsi="Arial"/>
                  <w:sz w:val="18"/>
                  <w:szCs w:val="18"/>
                  <w:u w:val="single" w:color="auto"/>
                  <w:color w:val="0000FF"/>
                  <w:w w:val="89"/>
                </w:rPr>
                <w:t>72</w:t>
              </w:r>
            </w:hyperlink>
          </w:p>
        </w:tc>
        <w:tc>
          <w:tcPr>
            <w:tcW w:w="200" w:type="dxa"/>
            <w:vAlign w:val="bottom"/>
          </w:tcPr>
          <w:p>
            <w:pPr>
              <w:spacing w:after="0"/>
              <w:rPr>
                <w:sz w:val="16"/>
                <w:szCs w:val="16"/>
                <w:color w:val="auto"/>
              </w:rPr>
            </w:pPr>
          </w:p>
        </w:tc>
      </w:tr>
      <w:tr>
        <w:trPr>
          <w:trHeight w:val="156"/>
        </w:trPr>
        <w:tc>
          <w:tcPr>
            <w:tcW w:w="1280" w:type="dxa"/>
            <w:vAlign w:val="bottom"/>
          </w:tcPr>
          <w:p>
            <w:pPr>
              <w:spacing w:after="0"/>
              <w:rPr>
                <w:sz w:val="13"/>
                <w:szCs w:val="13"/>
                <w:color w:val="auto"/>
              </w:rPr>
            </w:pPr>
          </w:p>
        </w:tc>
        <w:tc>
          <w:tcPr>
            <w:tcW w:w="586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w:anchor="page73">
              <w:r>
                <w:rPr>
                  <w:rFonts w:ascii="Arial" w:cs="Arial" w:eastAsia="Arial" w:hAnsi="Arial"/>
                  <w:sz w:val="18"/>
                  <w:szCs w:val="18"/>
                  <w:color w:val="0000FF"/>
                </w:rPr>
                <w:t>Purchases of Equity Securities</w:t>
              </w:r>
            </w:hyperlink>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0"/>
        </w:trPr>
        <w:tc>
          <w:tcPr>
            <w:tcW w:w="1280" w:type="dxa"/>
            <w:vAlign w:val="bottom"/>
            <w:shd w:val="clear" w:color="auto" w:fill="CCEEFF"/>
          </w:tcPr>
          <w:p>
            <w:pPr>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Item 6.</w:t>
              </w:r>
            </w:hyperlink>
          </w:p>
        </w:tc>
        <w:tc>
          <w:tcPr>
            <w:tcW w:w="6440" w:type="dxa"/>
            <w:vAlign w:val="bottom"/>
            <w:gridSpan w:val="9"/>
            <w:shd w:val="clear" w:color="auto" w:fill="CCEEFF"/>
          </w:tcPr>
          <w:p>
            <w:pPr>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Selected Financial Data</w:t>
              </w:r>
            </w:hyperlink>
          </w:p>
        </w:tc>
        <w:tc>
          <w:tcPr>
            <w:tcW w:w="1700" w:type="dxa"/>
            <w:vAlign w:val="bottom"/>
            <w:gridSpan w:val="2"/>
            <w:shd w:val="clear" w:color="auto" w:fill="CCEEFF"/>
          </w:tcPr>
          <w:p>
            <w:pPr>
              <w:jc w:val="center"/>
              <w:ind w:left="510"/>
              <w:spacing w:after="0"/>
              <w:rPr>
                <w:rFonts w:ascii="Arial" w:cs="Arial" w:eastAsia="Arial" w:hAnsi="Arial"/>
                <w:sz w:val="18"/>
                <w:szCs w:val="18"/>
                <w:u w:val="single" w:color="auto"/>
                <w:color w:val="0000FF"/>
                <w:w w:val="89"/>
              </w:rPr>
            </w:pPr>
            <w:hyperlink w:anchor="page74">
              <w:r>
                <w:rPr>
                  <w:rFonts w:ascii="Arial" w:cs="Arial" w:eastAsia="Arial" w:hAnsi="Arial"/>
                  <w:sz w:val="18"/>
                  <w:szCs w:val="18"/>
                  <w:u w:val="single" w:color="auto"/>
                  <w:color w:val="0000FF"/>
                  <w:w w:val="89"/>
                </w:rPr>
                <w:t>74</w:t>
              </w:r>
            </w:hyperlink>
          </w:p>
        </w:tc>
        <w:tc>
          <w:tcPr>
            <w:tcW w:w="200" w:type="dxa"/>
            <w:vAlign w:val="bottom"/>
            <w:shd w:val="clear" w:color="auto" w:fill="CCEEFF"/>
          </w:tcPr>
          <w:p>
            <w:pPr>
              <w:spacing w:after="0"/>
              <w:rPr>
                <w:sz w:val="19"/>
                <w:szCs w:val="19"/>
                <w:color w:val="auto"/>
              </w:rPr>
            </w:pPr>
          </w:p>
        </w:tc>
      </w:tr>
      <w:tr>
        <w:trPr>
          <w:trHeight w:val="189"/>
        </w:trPr>
        <w:tc>
          <w:tcPr>
            <w:tcW w:w="1280" w:type="dxa"/>
            <w:vAlign w:val="bottom"/>
          </w:tcPr>
          <w:p>
            <w:pPr>
              <w:spacing w:after="0" w:line="189" w:lineRule="exact"/>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Item 7.</w:t>
              </w:r>
            </w:hyperlink>
          </w:p>
        </w:tc>
        <w:tc>
          <w:tcPr>
            <w:tcW w:w="6440" w:type="dxa"/>
            <w:vAlign w:val="bottom"/>
            <w:gridSpan w:val="9"/>
          </w:tcPr>
          <w:p>
            <w:pPr>
              <w:spacing w:after="0" w:line="189" w:lineRule="exact"/>
              <w:rPr>
                <w:rFonts w:ascii="Arial" w:cs="Arial" w:eastAsia="Arial" w:hAnsi="Arial"/>
                <w:sz w:val="18"/>
                <w:szCs w:val="18"/>
                <w:color w:val="0000FF"/>
              </w:rPr>
            </w:pPr>
            <w:hyperlink w:anchor="page75">
              <w:r>
                <w:rPr>
                  <w:rFonts w:ascii="Arial" w:cs="Arial" w:eastAsia="Arial" w:hAnsi="Arial"/>
                  <w:sz w:val="18"/>
                  <w:szCs w:val="18"/>
                  <w:color w:val="0000FF"/>
                </w:rPr>
                <w:t>Management's Discussion and Analysis of Financial Condition and Results of</w:t>
              </w:r>
            </w:hyperlink>
          </w:p>
        </w:tc>
        <w:tc>
          <w:tcPr>
            <w:tcW w:w="1700" w:type="dxa"/>
            <w:vAlign w:val="bottom"/>
            <w:gridSpan w:val="2"/>
          </w:tcPr>
          <w:p>
            <w:pPr>
              <w:jc w:val="center"/>
              <w:ind w:left="510"/>
              <w:spacing w:after="0" w:line="189" w:lineRule="exact"/>
              <w:rPr>
                <w:rFonts w:ascii="Arial" w:cs="Arial" w:eastAsia="Arial" w:hAnsi="Arial"/>
                <w:sz w:val="18"/>
                <w:szCs w:val="18"/>
                <w:u w:val="single" w:color="auto"/>
                <w:color w:val="0000FF"/>
                <w:w w:val="89"/>
              </w:rPr>
            </w:pPr>
            <w:hyperlink w:anchor="page75">
              <w:r>
                <w:rPr>
                  <w:rFonts w:ascii="Arial" w:cs="Arial" w:eastAsia="Arial" w:hAnsi="Arial"/>
                  <w:sz w:val="18"/>
                  <w:szCs w:val="18"/>
                  <w:u w:val="single" w:color="auto"/>
                  <w:color w:val="0000FF"/>
                  <w:w w:val="89"/>
                </w:rPr>
                <w:t>75</w:t>
              </w:r>
            </w:hyperlink>
          </w:p>
        </w:tc>
        <w:tc>
          <w:tcPr>
            <w:tcW w:w="200" w:type="dxa"/>
            <w:vAlign w:val="bottom"/>
          </w:tcPr>
          <w:p>
            <w:pPr>
              <w:spacing w:after="0"/>
              <w:rPr>
                <w:sz w:val="16"/>
                <w:szCs w:val="16"/>
                <w:color w:val="auto"/>
              </w:rPr>
            </w:pPr>
          </w:p>
        </w:tc>
      </w:tr>
      <w:tr>
        <w:trPr>
          <w:trHeight w:val="156"/>
        </w:trPr>
        <w:tc>
          <w:tcPr>
            <w:tcW w:w="1280" w:type="dxa"/>
            <w:vAlign w:val="bottom"/>
          </w:tcPr>
          <w:p>
            <w:pPr>
              <w:spacing w:after="0"/>
              <w:rPr>
                <w:sz w:val="13"/>
                <w:szCs w:val="13"/>
                <w:color w:val="auto"/>
              </w:rPr>
            </w:pPr>
          </w:p>
        </w:tc>
        <w:tc>
          <w:tcPr>
            <w:tcW w:w="560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75">
              <w:r>
                <w:rPr>
                  <w:rFonts w:ascii="Arial" w:cs="Arial" w:eastAsia="Arial" w:hAnsi="Arial"/>
                  <w:sz w:val="18"/>
                  <w:szCs w:val="18"/>
                  <w:color w:val="0000FF"/>
                </w:rPr>
                <w:t>Operations</w:t>
              </w:r>
            </w:hyperlink>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1"/>
        </w:trPr>
        <w:tc>
          <w:tcPr>
            <w:tcW w:w="128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9"/>
        </w:trPr>
        <w:tc>
          <w:tcPr>
            <w:tcW w:w="1280" w:type="dxa"/>
            <w:vAlign w:val="bottom"/>
            <w:shd w:val="clear" w:color="auto" w:fill="CCEEFF"/>
          </w:tcPr>
          <w:p>
            <w:pPr>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Item 7A.</w:t>
              </w:r>
            </w:hyperlink>
          </w:p>
        </w:tc>
        <w:tc>
          <w:tcPr>
            <w:tcW w:w="6440" w:type="dxa"/>
            <w:vAlign w:val="bottom"/>
            <w:gridSpan w:val="9"/>
            <w:shd w:val="clear" w:color="auto" w:fill="CCEEFF"/>
          </w:tcPr>
          <w:p>
            <w:pPr>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Quantitative and Qualitative Disclosures About Market Risk</w:t>
              </w:r>
            </w:hyperlink>
          </w:p>
        </w:tc>
        <w:tc>
          <w:tcPr>
            <w:tcW w:w="1700" w:type="dxa"/>
            <w:vAlign w:val="bottom"/>
            <w:gridSpan w:val="2"/>
            <w:shd w:val="clear" w:color="auto" w:fill="CCEEFF"/>
          </w:tcPr>
          <w:p>
            <w:pPr>
              <w:jc w:val="center"/>
              <w:ind w:left="510"/>
              <w:spacing w:after="0"/>
              <w:rPr>
                <w:rFonts w:ascii="Arial" w:cs="Arial" w:eastAsia="Arial" w:hAnsi="Arial"/>
                <w:sz w:val="18"/>
                <w:szCs w:val="18"/>
                <w:u w:val="single" w:color="auto"/>
                <w:color w:val="0000FF"/>
                <w:w w:val="89"/>
              </w:rPr>
            </w:pPr>
            <w:hyperlink w:anchor="page90">
              <w:r>
                <w:rPr>
                  <w:rFonts w:ascii="Arial" w:cs="Arial" w:eastAsia="Arial" w:hAnsi="Arial"/>
                  <w:sz w:val="18"/>
                  <w:szCs w:val="18"/>
                  <w:u w:val="single" w:color="auto"/>
                  <w:color w:val="0000FF"/>
                  <w:w w:val="89"/>
                </w:rPr>
                <w:t>89</w:t>
              </w:r>
            </w:hyperlink>
          </w:p>
        </w:tc>
        <w:tc>
          <w:tcPr>
            <w:tcW w:w="200" w:type="dxa"/>
            <w:vAlign w:val="bottom"/>
            <w:shd w:val="clear" w:color="auto" w:fill="CCEEFF"/>
          </w:tcPr>
          <w:p>
            <w:pPr>
              <w:spacing w:after="0"/>
              <w:rPr>
                <w:sz w:val="19"/>
                <w:szCs w:val="19"/>
                <w:color w:val="auto"/>
              </w:rPr>
            </w:pPr>
          </w:p>
        </w:tc>
      </w:tr>
      <w:tr>
        <w:trPr>
          <w:trHeight w:val="229"/>
        </w:trPr>
        <w:tc>
          <w:tcPr>
            <w:tcW w:w="1280" w:type="dxa"/>
            <w:vAlign w:val="bottom"/>
          </w:tcPr>
          <w:p>
            <w:pPr>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Item 8.</w:t>
              </w:r>
            </w:hyperlink>
          </w:p>
        </w:tc>
        <w:tc>
          <w:tcPr>
            <w:tcW w:w="6440" w:type="dxa"/>
            <w:vAlign w:val="bottom"/>
            <w:gridSpan w:val="9"/>
          </w:tcPr>
          <w:p>
            <w:pPr>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Financial Statements and Supplementary Data</w:t>
              </w:r>
            </w:hyperlink>
          </w:p>
        </w:tc>
        <w:tc>
          <w:tcPr>
            <w:tcW w:w="1700" w:type="dxa"/>
            <w:vAlign w:val="bottom"/>
            <w:gridSpan w:val="2"/>
          </w:tcPr>
          <w:p>
            <w:pPr>
              <w:jc w:val="center"/>
              <w:ind w:left="510"/>
              <w:spacing w:after="0"/>
              <w:rPr>
                <w:rFonts w:ascii="Arial" w:cs="Arial" w:eastAsia="Arial" w:hAnsi="Arial"/>
                <w:sz w:val="18"/>
                <w:szCs w:val="18"/>
                <w:u w:val="single" w:color="auto"/>
                <w:color w:val="0000FF"/>
                <w:w w:val="89"/>
              </w:rPr>
            </w:pPr>
            <w:hyperlink w:anchor="page91">
              <w:r>
                <w:rPr>
                  <w:rFonts w:ascii="Arial" w:cs="Arial" w:eastAsia="Arial" w:hAnsi="Arial"/>
                  <w:sz w:val="18"/>
                  <w:szCs w:val="18"/>
                  <w:u w:val="single" w:color="auto"/>
                  <w:color w:val="0000FF"/>
                  <w:w w:val="89"/>
                </w:rPr>
                <w:t>90</w:t>
              </w:r>
            </w:hyperlink>
          </w:p>
        </w:tc>
        <w:tc>
          <w:tcPr>
            <w:tcW w:w="200" w:type="dxa"/>
            <w:vAlign w:val="bottom"/>
          </w:tcPr>
          <w:p>
            <w:pPr>
              <w:spacing w:after="0"/>
              <w:rPr>
                <w:sz w:val="19"/>
                <w:szCs w:val="19"/>
                <w:color w:val="auto"/>
              </w:rPr>
            </w:pPr>
          </w:p>
        </w:tc>
      </w:tr>
      <w:tr>
        <w:trPr>
          <w:trHeight w:val="189"/>
        </w:trPr>
        <w:tc>
          <w:tcPr>
            <w:tcW w:w="1280" w:type="dxa"/>
            <w:vAlign w:val="bottom"/>
            <w:shd w:val="clear" w:color="auto" w:fill="CCEEFF"/>
          </w:tcPr>
          <w:p>
            <w:pPr>
              <w:spacing w:after="0" w:line="189" w:lineRule="exact"/>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Item 9.</w:t>
              </w:r>
            </w:hyperlink>
          </w:p>
        </w:tc>
        <w:tc>
          <w:tcPr>
            <w:tcW w:w="6440" w:type="dxa"/>
            <w:vAlign w:val="bottom"/>
            <w:gridSpan w:val="9"/>
            <w:shd w:val="clear" w:color="auto" w:fill="CCEEFF"/>
          </w:tcPr>
          <w:p>
            <w:pPr>
              <w:spacing w:after="0" w:line="189" w:lineRule="exact"/>
              <w:rPr>
                <w:rFonts w:ascii="Arial" w:cs="Arial" w:eastAsia="Arial" w:hAnsi="Arial"/>
                <w:sz w:val="18"/>
                <w:szCs w:val="18"/>
                <w:color w:val="0000FF"/>
              </w:rPr>
            </w:pPr>
            <w:hyperlink w:anchor="page91">
              <w:r>
                <w:rPr>
                  <w:rFonts w:ascii="Arial" w:cs="Arial" w:eastAsia="Arial" w:hAnsi="Arial"/>
                  <w:sz w:val="18"/>
                  <w:szCs w:val="18"/>
                  <w:color w:val="0000FF"/>
                </w:rPr>
                <w:t>Changes in and Disagreements with Accountants on Accounting and Financial</w:t>
              </w:r>
            </w:hyperlink>
          </w:p>
        </w:tc>
        <w:tc>
          <w:tcPr>
            <w:tcW w:w="1700" w:type="dxa"/>
            <w:vAlign w:val="bottom"/>
            <w:gridSpan w:val="2"/>
            <w:shd w:val="clear" w:color="auto" w:fill="CCEEFF"/>
          </w:tcPr>
          <w:p>
            <w:pPr>
              <w:jc w:val="center"/>
              <w:ind w:left="510"/>
              <w:spacing w:after="0" w:line="189" w:lineRule="exact"/>
              <w:rPr>
                <w:rFonts w:ascii="Arial" w:cs="Arial" w:eastAsia="Arial" w:hAnsi="Arial"/>
                <w:sz w:val="18"/>
                <w:szCs w:val="18"/>
                <w:u w:val="single" w:color="auto"/>
                <w:color w:val="0000FF"/>
                <w:w w:val="89"/>
              </w:rPr>
            </w:pPr>
            <w:hyperlink w:anchor="page91">
              <w:r>
                <w:rPr>
                  <w:rFonts w:ascii="Arial" w:cs="Arial" w:eastAsia="Arial" w:hAnsi="Arial"/>
                  <w:sz w:val="18"/>
                  <w:szCs w:val="18"/>
                  <w:u w:val="single" w:color="auto"/>
                  <w:color w:val="0000FF"/>
                  <w:w w:val="89"/>
                </w:rPr>
                <w:t>90</w:t>
              </w:r>
            </w:hyperlink>
          </w:p>
        </w:tc>
        <w:tc>
          <w:tcPr>
            <w:tcW w:w="200" w:type="dxa"/>
            <w:vAlign w:val="bottom"/>
            <w:shd w:val="clear" w:color="auto" w:fill="CCEEFF"/>
          </w:tcPr>
          <w:p>
            <w:pPr>
              <w:spacing w:after="0"/>
              <w:rPr>
                <w:sz w:val="16"/>
                <w:szCs w:val="16"/>
                <w:color w:val="auto"/>
              </w:rPr>
            </w:pPr>
          </w:p>
        </w:tc>
      </w:tr>
      <w:tr>
        <w:trPr>
          <w:trHeight w:val="156"/>
        </w:trPr>
        <w:tc>
          <w:tcPr>
            <w:tcW w:w="1280" w:type="dxa"/>
            <w:vAlign w:val="bottom"/>
            <w:tcBorders>
              <w:top w:val="single" w:sz="8" w:color="CCEEFF"/>
            </w:tcBorders>
            <w:shd w:val="clear" w:color="auto" w:fill="CCEEFF"/>
          </w:tcPr>
          <w:p>
            <w:pPr>
              <w:spacing w:after="0"/>
              <w:rPr>
                <w:sz w:val="13"/>
                <w:szCs w:val="13"/>
                <w:color w:val="auto"/>
              </w:rPr>
            </w:pPr>
          </w:p>
        </w:tc>
        <w:tc>
          <w:tcPr>
            <w:tcW w:w="5660" w:type="dxa"/>
            <w:vAlign w:val="bottom"/>
            <w:tcBorders>
              <w:top w:val="single" w:sz="8" w:color="0000FF"/>
            </w:tcBorders>
            <w:gridSpan w:val="6"/>
            <w:shd w:val="clear" w:color="auto" w:fill="CCEEFF"/>
          </w:tcPr>
          <w:p>
            <w:pPr>
              <w:spacing w:after="0" w:line="156" w:lineRule="exact"/>
              <w:rPr>
                <w:rFonts w:ascii="Arial" w:cs="Arial" w:eastAsia="Arial" w:hAnsi="Arial"/>
                <w:sz w:val="18"/>
                <w:szCs w:val="18"/>
                <w:color w:val="0000FF"/>
              </w:rPr>
            </w:pPr>
            <w:hyperlink w:anchor="page91">
              <w:r>
                <w:rPr>
                  <w:rFonts w:ascii="Arial" w:cs="Arial" w:eastAsia="Arial" w:hAnsi="Arial"/>
                  <w:sz w:val="18"/>
                  <w:szCs w:val="18"/>
                  <w:color w:val="0000FF"/>
                </w:rPr>
                <w:t>Disclosure</w:t>
              </w:r>
            </w:hyperlink>
          </w:p>
        </w:tc>
        <w:tc>
          <w:tcPr>
            <w:tcW w:w="1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CCEEFF"/>
            </w:tcBorders>
            <w:gridSpan w:val="2"/>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1280" w:type="dxa"/>
            <w:vAlign w:val="bottom"/>
          </w:tcPr>
          <w:p>
            <w:pPr>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Item 9A.</w:t>
              </w:r>
            </w:hyperlink>
          </w:p>
        </w:tc>
        <w:tc>
          <w:tcPr>
            <w:tcW w:w="6440" w:type="dxa"/>
            <w:vAlign w:val="bottom"/>
            <w:gridSpan w:val="9"/>
          </w:tcPr>
          <w:p>
            <w:pPr>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Controls and Procedures</w:t>
              </w:r>
            </w:hyperlink>
          </w:p>
        </w:tc>
        <w:tc>
          <w:tcPr>
            <w:tcW w:w="1700" w:type="dxa"/>
            <w:vAlign w:val="bottom"/>
            <w:gridSpan w:val="2"/>
          </w:tcPr>
          <w:p>
            <w:pPr>
              <w:jc w:val="center"/>
              <w:ind w:left="510"/>
              <w:spacing w:after="0"/>
              <w:rPr>
                <w:rFonts w:ascii="Arial" w:cs="Arial" w:eastAsia="Arial" w:hAnsi="Arial"/>
                <w:sz w:val="18"/>
                <w:szCs w:val="18"/>
                <w:u w:val="single" w:color="auto"/>
                <w:color w:val="0000FF"/>
                <w:w w:val="89"/>
              </w:rPr>
            </w:pPr>
            <w:hyperlink w:anchor="page91">
              <w:r>
                <w:rPr>
                  <w:rFonts w:ascii="Arial" w:cs="Arial" w:eastAsia="Arial" w:hAnsi="Arial"/>
                  <w:sz w:val="18"/>
                  <w:szCs w:val="18"/>
                  <w:u w:val="single" w:color="auto"/>
                  <w:color w:val="0000FF"/>
                  <w:w w:val="89"/>
                </w:rPr>
                <w:t>90</w:t>
              </w:r>
            </w:hyperlink>
          </w:p>
        </w:tc>
        <w:tc>
          <w:tcPr>
            <w:tcW w:w="200" w:type="dxa"/>
            <w:vAlign w:val="bottom"/>
          </w:tcPr>
          <w:p>
            <w:pPr>
              <w:spacing w:after="0"/>
              <w:rPr>
                <w:sz w:val="19"/>
                <w:szCs w:val="19"/>
                <w:color w:val="auto"/>
              </w:rPr>
            </w:pPr>
          </w:p>
        </w:tc>
      </w:tr>
      <w:tr>
        <w:trPr>
          <w:trHeight w:val="229"/>
        </w:trPr>
        <w:tc>
          <w:tcPr>
            <w:tcW w:w="1280" w:type="dxa"/>
            <w:vAlign w:val="bottom"/>
            <w:shd w:val="clear" w:color="auto" w:fill="CCEEFF"/>
          </w:tcPr>
          <w:p>
            <w:pPr>
              <w:spacing w:after="0"/>
              <w:rPr>
                <w:rFonts w:ascii="Arial" w:cs="Arial" w:eastAsia="Arial" w:hAnsi="Arial"/>
                <w:sz w:val="18"/>
                <w:szCs w:val="18"/>
                <w:color w:val="0000FF"/>
              </w:rPr>
            </w:pPr>
            <w:hyperlink w:anchor="page92">
              <w:r>
                <w:rPr>
                  <w:rFonts w:ascii="Arial" w:cs="Arial" w:eastAsia="Arial" w:hAnsi="Arial"/>
                  <w:sz w:val="18"/>
                  <w:szCs w:val="18"/>
                  <w:u w:val="single" w:color="auto"/>
                  <w:color w:val="0000FF"/>
                </w:rPr>
                <w:t>Item 9B</w:t>
              </w:r>
              <w:r>
                <w:rPr>
                  <w:rFonts w:ascii="Arial" w:cs="Arial" w:eastAsia="Arial" w:hAnsi="Arial"/>
                  <w:sz w:val="18"/>
                  <w:szCs w:val="18"/>
                  <w:color w:val="0000FF"/>
                </w:rPr>
                <w:t>.</w:t>
              </w:r>
            </w:hyperlink>
          </w:p>
        </w:tc>
        <w:tc>
          <w:tcPr>
            <w:tcW w:w="6440" w:type="dxa"/>
            <w:vAlign w:val="bottom"/>
            <w:gridSpan w:val="9"/>
            <w:shd w:val="clear" w:color="auto" w:fill="CCEEFF"/>
          </w:tcPr>
          <w:p>
            <w:pPr>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Other Information</w:t>
              </w:r>
            </w:hyperlink>
          </w:p>
        </w:tc>
        <w:tc>
          <w:tcPr>
            <w:tcW w:w="1700" w:type="dxa"/>
            <w:vAlign w:val="bottom"/>
            <w:gridSpan w:val="2"/>
            <w:shd w:val="clear" w:color="auto" w:fill="CCEEFF"/>
          </w:tcPr>
          <w:p>
            <w:pPr>
              <w:jc w:val="center"/>
              <w:ind w:left="510"/>
              <w:spacing w:after="0"/>
              <w:rPr>
                <w:rFonts w:ascii="Arial" w:cs="Arial" w:eastAsia="Arial" w:hAnsi="Arial"/>
                <w:sz w:val="18"/>
                <w:szCs w:val="18"/>
                <w:u w:val="single" w:color="auto"/>
                <w:color w:val="0000FF"/>
                <w:w w:val="89"/>
              </w:rPr>
            </w:pPr>
            <w:hyperlink w:anchor="page92">
              <w:r>
                <w:rPr>
                  <w:rFonts w:ascii="Arial" w:cs="Arial" w:eastAsia="Arial" w:hAnsi="Arial"/>
                  <w:sz w:val="18"/>
                  <w:szCs w:val="18"/>
                  <w:u w:val="single" w:color="auto"/>
                  <w:color w:val="0000FF"/>
                  <w:w w:val="89"/>
                </w:rPr>
                <w:t>91</w:t>
              </w:r>
            </w:hyperlink>
          </w:p>
        </w:tc>
        <w:tc>
          <w:tcPr>
            <w:tcW w:w="200" w:type="dxa"/>
            <w:vAlign w:val="bottom"/>
            <w:shd w:val="clear" w:color="auto" w:fill="CCEEFF"/>
          </w:tcPr>
          <w:p>
            <w:pPr>
              <w:spacing w:after="0"/>
              <w:rPr>
                <w:sz w:val="19"/>
                <w:szCs w:val="19"/>
                <w:color w:val="auto"/>
              </w:rPr>
            </w:pPr>
          </w:p>
        </w:tc>
      </w:tr>
      <w:tr>
        <w:trPr>
          <w:trHeight w:val="324"/>
        </w:trPr>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0"/>
        </w:trPr>
        <w:tc>
          <w:tcPr>
            <w:tcW w:w="1280" w:type="dxa"/>
            <w:vAlign w:val="bottom"/>
            <w:shd w:val="clear" w:color="auto" w:fill="CCEEFF"/>
          </w:tcPr>
          <w:p>
            <w:pPr>
              <w:spacing w:after="0"/>
              <w:rPr>
                <w:rFonts w:ascii="Arial" w:cs="Arial" w:eastAsia="Arial" w:hAnsi="Arial"/>
                <w:sz w:val="18"/>
                <w:szCs w:val="18"/>
                <w:b w:val="1"/>
                <w:bCs w:val="1"/>
                <w:u w:val="single" w:color="auto"/>
                <w:color w:val="0000FF"/>
              </w:rPr>
            </w:pPr>
            <w:hyperlink w:anchor="page92">
              <w:r>
                <w:rPr>
                  <w:rFonts w:ascii="Arial" w:cs="Arial" w:eastAsia="Arial" w:hAnsi="Arial"/>
                  <w:sz w:val="18"/>
                  <w:szCs w:val="18"/>
                  <w:b w:val="1"/>
                  <w:bCs w:val="1"/>
                  <w:u w:val="single" w:color="auto"/>
                  <w:color w:val="0000FF"/>
                </w:rPr>
                <w:t>PART III</w:t>
              </w:r>
            </w:hyperlink>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29"/>
        </w:trPr>
        <w:tc>
          <w:tcPr>
            <w:tcW w:w="1280" w:type="dxa"/>
            <w:vAlign w:val="bottom"/>
          </w:tcPr>
          <w:p>
            <w:pPr>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Item 10.</w:t>
              </w:r>
            </w:hyperlink>
          </w:p>
        </w:tc>
        <w:tc>
          <w:tcPr>
            <w:tcW w:w="6440" w:type="dxa"/>
            <w:vAlign w:val="bottom"/>
            <w:gridSpan w:val="9"/>
          </w:tcPr>
          <w:p>
            <w:pPr>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Directors, Executive Officers and Corporate Governance</w:t>
              </w:r>
            </w:hyperlink>
          </w:p>
        </w:tc>
        <w:tc>
          <w:tcPr>
            <w:tcW w:w="1700" w:type="dxa"/>
            <w:vAlign w:val="bottom"/>
            <w:gridSpan w:val="2"/>
          </w:tcPr>
          <w:p>
            <w:pPr>
              <w:jc w:val="center"/>
              <w:ind w:left="510"/>
              <w:spacing w:after="0"/>
              <w:rPr>
                <w:rFonts w:ascii="Arial" w:cs="Arial" w:eastAsia="Arial" w:hAnsi="Arial"/>
                <w:sz w:val="18"/>
                <w:szCs w:val="18"/>
                <w:u w:val="single" w:color="auto"/>
                <w:color w:val="0000FF"/>
                <w:w w:val="89"/>
              </w:rPr>
            </w:pPr>
            <w:hyperlink w:anchor="page92">
              <w:r>
                <w:rPr>
                  <w:rFonts w:ascii="Arial" w:cs="Arial" w:eastAsia="Arial" w:hAnsi="Arial"/>
                  <w:sz w:val="18"/>
                  <w:szCs w:val="18"/>
                  <w:u w:val="single" w:color="auto"/>
                  <w:color w:val="0000FF"/>
                  <w:w w:val="89"/>
                </w:rPr>
                <w:t>91</w:t>
              </w:r>
            </w:hyperlink>
          </w:p>
        </w:tc>
        <w:tc>
          <w:tcPr>
            <w:tcW w:w="200" w:type="dxa"/>
            <w:vAlign w:val="bottom"/>
          </w:tcPr>
          <w:p>
            <w:pPr>
              <w:spacing w:after="0"/>
              <w:rPr>
                <w:sz w:val="19"/>
                <w:szCs w:val="19"/>
                <w:color w:val="auto"/>
              </w:rPr>
            </w:pPr>
          </w:p>
        </w:tc>
      </w:tr>
      <w:tr>
        <w:trPr>
          <w:trHeight w:val="230"/>
        </w:trPr>
        <w:tc>
          <w:tcPr>
            <w:tcW w:w="1280" w:type="dxa"/>
            <w:vAlign w:val="bottom"/>
            <w:shd w:val="clear" w:color="auto" w:fill="CCEEFF"/>
          </w:tcPr>
          <w:p>
            <w:pPr>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Item 11.</w:t>
              </w:r>
            </w:hyperlink>
          </w:p>
        </w:tc>
        <w:tc>
          <w:tcPr>
            <w:tcW w:w="6440" w:type="dxa"/>
            <w:vAlign w:val="bottom"/>
            <w:gridSpan w:val="9"/>
            <w:shd w:val="clear" w:color="auto" w:fill="CCEEFF"/>
          </w:tcPr>
          <w:p>
            <w:pPr>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Executive Compensation</w:t>
              </w:r>
            </w:hyperlink>
          </w:p>
        </w:tc>
        <w:tc>
          <w:tcPr>
            <w:tcW w:w="1700" w:type="dxa"/>
            <w:vAlign w:val="bottom"/>
            <w:gridSpan w:val="2"/>
            <w:shd w:val="clear" w:color="auto" w:fill="CCEEFF"/>
          </w:tcPr>
          <w:p>
            <w:pPr>
              <w:jc w:val="center"/>
              <w:ind w:left="510"/>
              <w:spacing w:after="0"/>
              <w:rPr>
                <w:rFonts w:ascii="Arial" w:cs="Arial" w:eastAsia="Arial" w:hAnsi="Arial"/>
                <w:sz w:val="18"/>
                <w:szCs w:val="18"/>
                <w:u w:val="single" w:color="auto"/>
                <w:color w:val="0000FF"/>
                <w:w w:val="89"/>
              </w:rPr>
            </w:pPr>
            <w:hyperlink w:anchor="page92">
              <w:r>
                <w:rPr>
                  <w:rFonts w:ascii="Arial" w:cs="Arial" w:eastAsia="Arial" w:hAnsi="Arial"/>
                  <w:sz w:val="18"/>
                  <w:szCs w:val="18"/>
                  <w:u w:val="single" w:color="auto"/>
                  <w:color w:val="0000FF"/>
                  <w:w w:val="89"/>
                </w:rPr>
                <w:t>91</w:t>
              </w:r>
            </w:hyperlink>
          </w:p>
        </w:tc>
        <w:tc>
          <w:tcPr>
            <w:tcW w:w="200" w:type="dxa"/>
            <w:vAlign w:val="bottom"/>
            <w:shd w:val="clear" w:color="auto" w:fill="CCEEFF"/>
          </w:tcPr>
          <w:p>
            <w:pPr>
              <w:spacing w:after="0"/>
              <w:rPr>
                <w:sz w:val="19"/>
                <w:szCs w:val="19"/>
                <w:color w:val="auto"/>
              </w:rPr>
            </w:pPr>
          </w:p>
        </w:tc>
      </w:tr>
      <w:tr>
        <w:trPr>
          <w:trHeight w:val="189"/>
        </w:trPr>
        <w:tc>
          <w:tcPr>
            <w:tcW w:w="1280" w:type="dxa"/>
            <w:vAlign w:val="bottom"/>
          </w:tcPr>
          <w:p>
            <w:pPr>
              <w:spacing w:after="0" w:line="189" w:lineRule="exact"/>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Item 12.</w:t>
              </w:r>
            </w:hyperlink>
          </w:p>
        </w:tc>
        <w:tc>
          <w:tcPr>
            <w:tcW w:w="6440" w:type="dxa"/>
            <w:vAlign w:val="bottom"/>
            <w:gridSpan w:val="9"/>
          </w:tcPr>
          <w:p>
            <w:pPr>
              <w:spacing w:after="0" w:line="189" w:lineRule="exact"/>
              <w:rPr>
                <w:rFonts w:ascii="Arial" w:cs="Arial" w:eastAsia="Arial" w:hAnsi="Arial"/>
                <w:sz w:val="18"/>
                <w:szCs w:val="18"/>
                <w:color w:val="0000FF"/>
              </w:rPr>
            </w:pPr>
            <w:hyperlink w:anchor="page92">
              <w:r>
                <w:rPr>
                  <w:rFonts w:ascii="Arial" w:cs="Arial" w:eastAsia="Arial" w:hAnsi="Arial"/>
                  <w:sz w:val="18"/>
                  <w:szCs w:val="18"/>
                  <w:color w:val="0000FF"/>
                </w:rPr>
                <w:t>Security Ownership of Certain Beneficial Owners and Management and Related</w:t>
              </w:r>
            </w:hyperlink>
          </w:p>
        </w:tc>
        <w:tc>
          <w:tcPr>
            <w:tcW w:w="1700" w:type="dxa"/>
            <w:vAlign w:val="bottom"/>
            <w:gridSpan w:val="2"/>
          </w:tcPr>
          <w:p>
            <w:pPr>
              <w:jc w:val="center"/>
              <w:ind w:left="510"/>
              <w:spacing w:after="0" w:line="189" w:lineRule="exact"/>
              <w:rPr>
                <w:rFonts w:ascii="Arial" w:cs="Arial" w:eastAsia="Arial" w:hAnsi="Arial"/>
                <w:sz w:val="18"/>
                <w:szCs w:val="18"/>
                <w:u w:val="single" w:color="auto"/>
                <w:color w:val="0000FF"/>
                <w:w w:val="89"/>
              </w:rPr>
            </w:pPr>
            <w:hyperlink w:anchor="page92">
              <w:r>
                <w:rPr>
                  <w:rFonts w:ascii="Arial" w:cs="Arial" w:eastAsia="Arial" w:hAnsi="Arial"/>
                  <w:sz w:val="18"/>
                  <w:szCs w:val="18"/>
                  <w:u w:val="single" w:color="auto"/>
                  <w:color w:val="0000FF"/>
                  <w:w w:val="89"/>
                </w:rPr>
                <w:t>91</w:t>
              </w:r>
            </w:hyperlink>
          </w:p>
        </w:tc>
        <w:tc>
          <w:tcPr>
            <w:tcW w:w="200" w:type="dxa"/>
            <w:vAlign w:val="bottom"/>
          </w:tcPr>
          <w:p>
            <w:pPr>
              <w:spacing w:after="0"/>
              <w:rPr>
                <w:sz w:val="16"/>
                <w:szCs w:val="16"/>
                <w:color w:val="auto"/>
              </w:rPr>
            </w:pPr>
          </w:p>
        </w:tc>
      </w:tr>
      <w:tr>
        <w:trPr>
          <w:trHeight w:val="155"/>
        </w:trPr>
        <w:tc>
          <w:tcPr>
            <w:tcW w:w="1280" w:type="dxa"/>
            <w:vAlign w:val="bottom"/>
          </w:tcPr>
          <w:p>
            <w:pPr>
              <w:spacing w:after="0"/>
              <w:rPr>
                <w:sz w:val="13"/>
                <w:szCs w:val="13"/>
                <w:color w:val="auto"/>
              </w:rPr>
            </w:pPr>
          </w:p>
        </w:tc>
        <w:tc>
          <w:tcPr>
            <w:tcW w:w="578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92">
              <w:r>
                <w:rPr>
                  <w:rFonts w:ascii="Arial" w:cs="Arial" w:eastAsia="Arial" w:hAnsi="Arial"/>
                  <w:sz w:val="18"/>
                  <w:szCs w:val="18"/>
                  <w:color w:val="0000FF"/>
                </w:rPr>
                <w:t>Stockholder Matters</w:t>
              </w:r>
            </w:hyperlink>
          </w:p>
        </w:tc>
        <w:tc>
          <w:tcPr>
            <w:tcW w:w="66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0"/>
        </w:trPr>
        <w:tc>
          <w:tcPr>
            <w:tcW w:w="1280" w:type="dxa"/>
            <w:vAlign w:val="bottom"/>
            <w:shd w:val="clear" w:color="auto" w:fill="CCEEFF"/>
          </w:tcPr>
          <w:p>
            <w:pPr>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Item 13.</w:t>
              </w:r>
            </w:hyperlink>
          </w:p>
        </w:tc>
        <w:tc>
          <w:tcPr>
            <w:tcW w:w="6440" w:type="dxa"/>
            <w:vAlign w:val="bottom"/>
            <w:gridSpan w:val="9"/>
            <w:shd w:val="clear" w:color="auto" w:fill="CCEEFF"/>
          </w:tcPr>
          <w:p>
            <w:pPr>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Certain Relationships and Related Transactions, and Director Independence</w:t>
              </w:r>
            </w:hyperlink>
          </w:p>
        </w:tc>
        <w:tc>
          <w:tcPr>
            <w:tcW w:w="1700" w:type="dxa"/>
            <w:vAlign w:val="bottom"/>
            <w:gridSpan w:val="2"/>
            <w:shd w:val="clear" w:color="auto" w:fill="CCEEFF"/>
          </w:tcPr>
          <w:p>
            <w:pPr>
              <w:jc w:val="center"/>
              <w:ind w:left="510"/>
              <w:spacing w:after="0"/>
              <w:rPr>
                <w:rFonts w:ascii="Arial" w:cs="Arial" w:eastAsia="Arial" w:hAnsi="Arial"/>
                <w:sz w:val="18"/>
                <w:szCs w:val="18"/>
                <w:u w:val="single" w:color="auto"/>
                <w:color w:val="0000FF"/>
                <w:w w:val="89"/>
              </w:rPr>
            </w:pPr>
            <w:hyperlink w:anchor="page92">
              <w:r>
                <w:rPr>
                  <w:rFonts w:ascii="Arial" w:cs="Arial" w:eastAsia="Arial" w:hAnsi="Arial"/>
                  <w:sz w:val="18"/>
                  <w:szCs w:val="18"/>
                  <w:u w:val="single" w:color="auto"/>
                  <w:color w:val="0000FF"/>
                  <w:w w:val="89"/>
                </w:rPr>
                <w:t>91</w:t>
              </w:r>
            </w:hyperlink>
          </w:p>
        </w:tc>
        <w:tc>
          <w:tcPr>
            <w:tcW w:w="200" w:type="dxa"/>
            <w:vAlign w:val="bottom"/>
            <w:shd w:val="clear" w:color="auto" w:fill="CCEEFF"/>
          </w:tcPr>
          <w:p>
            <w:pPr>
              <w:spacing w:after="0"/>
              <w:rPr>
                <w:sz w:val="19"/>
                <w:szCs w:val="19"/>
                <w:color w:val="auto"/>
              </w:rPr>
            </w:pPr>
          </w:p>
        </w:tc>
      </w:tr>
      <w:tr>
        <w:trPr>
          <w:trHeight w:val="230"/>
        </w:trPr>
        <w:tc>
          <w:tcPr>
            <w:tcW w:w="1280" w:type="dxa"/>
            <w:vAlign w:val="bottom"/>
          </w:tcPr>
          <w:p>
            <w:pPr>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Item 14.</w:t>
              </w:r>
            </w:hyperlink>
          </w:p>
        </w:tc>
        <w:tc>
          <w:tcPr>
            <w:tcW w:w="6440" w:type="dxa"/>
            <w:vAlign w:val="bottom"/>
            <w:gridSpan w:val="9"/>
          </w:tcPr>
          <w:p>
            <w:pPr>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Principal Accounting Fees and Services</w:t>
              </w:r>
            </w:hyperlink>
          </w:p>
        </w:tc>
        <w:tc>
          <w:tcPr>
            <w:tcW w:w="1700" w:type="dxa"/>
            <w:vAlign w:val="bottom"/>
            <w:gridSpan w:val="2"/>
          </w:tcPr>
          <w:p>
            <w:pPr>
              <w:jc w:val="center"/>
              <w:ind w:left="510"/>
              <w:spacing w:after="0"/>
              <w:rPr>
                <w:rFonts w:ascii="Arial" w:cs="Arial" w:eastAsia="Arial" w:hAnsi="Arial"/>
                <w:sz w:val="18"/>
                <w:szCs w:val="18"/>
                <w:u w:val="single" w:color="auto"/>
                <w:color w:val="0000FF"/>
                <w:w w:val="89"/>
              </w:rPr>
            </w:pPr>
            <w:hyperlink w:anchor="page92">
              <w:r>
                <w:rPr>
                  <w:rFonts w:ascii="Arial" w:cs="Arial" w:eastAsia="Arial" w:hAnsi="Arial"/>
                  <w:sz w:val="18"/>
                  <w:szCs w:val="18"/>
                  <w:u w:val="single" w:color="auto"/>
                  <w:color w:val="0000FF"/>
                  <w:w w:val="89"/>
                </w:rPr>
                <w:t>91</w:t>
              </w:r>
            </w:hyperlink>
          </w:p>
        </w:tc>
        <w:tc>
          <w:tcPr>
            <w:tcW w:w="200" w:type="dxa"/>
            <w:vAlign w:val="bottom"/>
          </w:tcPr>
          <w:p>
            <w:pPr>
              <w:spacing w:after="0"/>
              <w:rPr>
                <w:sz w:val="19"/>
                <w:szCs w:val="19"/>
                <w:color w:val="auto"/>
              </w:rPr>
            </w:pPr>
          </w:p>
        </w:tc>
      </w:tr>
      <w:tr>
        <w:trPr>
          <w:trHeight w:val="324"/>
        </w:trPr>
        <w:tc>
          <w:tcPr>
            <w:tcW w:w="12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r>
      <w:tr>
        <w:trPr>
          <w:trHeight w:val="230"/>
        </w:trPr>
        <w:tc>
          <w:tcPr>
            <w:tcW w:w="1280" w:type="dxa"/>
            <w:vAlign w:val="bottom"/>
          </w:tcPr>
          <w:p>
            <w:pPr>
              <w:spacing w:after="0"/>
              <w:rPr>
                <w:rFonts w:ascii="Arial" w:cs="Arial" w:eastAsia="Arial" w:hAnsi="Arial"/>
                <w:sz w:val="18"/>
                <w:szCs w:val="18"/>
                <w:b w:val="1"/>
                <w:bCs w:val="1"/>
                <w:u w:val="single" w:color="auto"/>
                <w:color w:val="0000FF"/>
              </w:rPr>
            </w:pPr>
            <w:hyperlink w:anchor="page92">
              <w:r>
                <w:rPr>
                  <w:rFonts w:ascii="Arial" w:cs="Arial" w:eastAsia="Arial" w:hAnsi="Arial"/>
                  <w:sz w:val="18"/>
                  <w:szCs w:val="18"/>
                  <w:b w:val="1"/>
                  <w:bCs w:val="1"/>
                  <w:u w:val="single" w:color="auto"/>
                  <w:color w:val="0000FF"/>
                </w:rPr>
                <w:t>PART IV</w:t>
              </w:r>
            </w:hyperlink>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1280" w:type="dxa"/>
            <w:vAlign w:val="bottom"/>
            <w:shd w:val="clear" w:color="auto" w:fill="CCEEFF"/>
          </w:tcPr>
          <w:p>
            <w:pPr>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Item 15.</w:t>
              </w:r>
            </w:hyperlink>
          </w:p>
        </w:tc>
        <w:tc>
          <w:tcPr>
            <w:tcW w:w="6440" w:type="dxa"/>
            <w:vAlign w:val="bottom"/>
            <w:gridSpan w:val="9"/>
            <w:shd w:val="clear" w:color="auto" w:fill="CCEEFF"/>
          </w:tcPr>
          <w:p>
            <w:pPr>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Exhibits and Financial Statement Schedules</w:t>
              </w:r>
            </w:hyperlink>
          </w:p>
        </w:tc>
        <w:tc>
          <w:tcPr>
            <w:tcW w:w="1700" w:type="dxa"/>
            <w:vAlign w:val="bottom"/>
            <w:gridSpan w:val="2"/>
            <w:shd w:val="clear" w:color="auto" w:fill="CCEEFF"/>
          </w:tcPr>
          <w:p>
            <w:pPr>
              <w:jc w:val="center"/>
              <w:ind w:left="510"/>
              <w:spacing w:after="0"/>
              <w:rPr>
                <w:rFonts w:ascii="Arial" w:cs="Arial" w:eastAsia="Arial" w:hAnsi="Arial"/>
                <w:sz w:val="18"/>
                <w:szCs w:val="18"/>
                <w:u w:val="single" w:color="auto"/>
                <w:color w:val="0000FF"/>
                <w:w w:val="89"/>
              </w:rPr>
            </w:pPr>
            <w:hyperlink w:anchor="page92">
              <w:r>
                <w:rPr>
                  <w:rFonts w:ascii="Arial" w:cs="Arial" w:eastAsia="Arial" w:hAnsi="Arial"/>
                  <w:sz w:val="18"/>
                  <w:szCs w:val="18"/>
                  <w:u w:val="single" w:color="auto"/>
                  <w:color w:val="0000FF"/>
                  <w:w w:val="89"/>
                </w:rPr>
                <w:t>91</w:t>
              </w:r>
            </w:hyperlink>
          </w:p>
        </w:tc>
        <w:tc>
          <w:tcPr>
            <w:tcW w:w="200" w:type="dxa"/>
            <w:vAlign w:val="bottom"/>
            <w:shd w:val="clear" w:color="auto" w:fill="CCEEFF"/>
          </w:tcPr>
          <w:p>
            <w:pPr>
              <w:spacing w:after="0"/>
              <w:rPr>
                <w:sz w:val="19"/>
                <w:szCs w:val="19"/>
                <w:color w:val="auto"/>
              </w:rPr>
            </w:pPr>
          </w:p>
        </w:tc>
      </w:tr>
      <w:tr>
        <w:trPr>
          <w:trHeight w:val="229"/>
        </w:trPr>
        <w:tc>
          <w:tcPr>
            <w:tcW w:w="1280" w:type="dxa"/>
            <w:vAlign w:val="bottom"/>
          </w:tcPr>
          <w:p>
            <w:pPr>
              <w:spacing w:after="0"/>
              <w:rPr>
                <w:rFonts w:ascii="Arial" w:cs="Arial" w:eastAsia="Arial" w:hAnsi="Arial"/>
                <w:sz w:val="18"/>
                <w:szCs w:val="18"/>
                <w:u w:val="single" w:color="auto"/>
                <w:color w:val="0000FF"/>
              </w:rPr>
            </w:pPr>
            <w:hyperlink w:anchor="page98">
              <w:r>
                <w:rPr>
                  <w:rFonts w:ascii="Arial" w:cs="Arial" w:eastAsia="Arial" w:hAnsi="Arial"/>
                  <w:sz w:val="18"/>
                  <w:szCs w:val="18"/>
                  <w:u w:val="single" w:color="auto"/>
                  <w:color w:val="0000FF"/>
                </w:rPr>
                <w:t>Item 16.</w:t>
              </w:r>
            </w:hyperlink>
          </w:p>
        </w:tc>
        <w:tc>
          <w:tcPr>
            <w:tcW w:w="6440" w:type="dxa"/>
            <w:vAlign w:val="bottom"/>
            <w:gridSpan w:val="9"/>
          </w:tcPr>
          <w:p>
            <w:pPr>
              <w:spacing w:after="0"/>
              <w:rPr>
                <w:rFonts w:ascii="Arial" w:cs="Arial" w:eastAsia="Arial" w:hAnsi="Arial"/>
                <w:sz w:val="18"/>
                <w:szCs w:val="18"/>
                <w:u w:val="single" w:color="auto"/>
                <w:color w:val="0000FF"/>
              </w:rPr>
            </w:pPr>
            <w:hyperlink w:anchor="page98">
              <w:r>
                <w:rPr>
                  <w:rFonts w:ascii="Arial" w:cs="Arial" w:eastAsia="Arial" w:hAnsi="Arial"/>
                  <w:sz w:val="18"/>
                  <w:szCs w:val="18"/>
                  <w:u w:val="single" w:color="auto"/>
                  <w:color w:val="0000FF"/>
                </w:rPr>
                <w:t>Form 10-K Summary</w:t>
              </w:r>
            </w:hyperlink>
          </w:p>
        </w:tc>
        <w:tc>
          <w:tcPr>
            <w:tcW w:w="1700" w:type="dxa"/>
            <w:vAlign w:val="bottom"/>
            <w:gridSpan w:val="2"/>
          </w:tcPr>
          <w:p>
            <w:pPr>
              <w:jc w:val="center"/>
              <w:ind w:left="510"/>
              <w:spacing w:after="0"/>
              <w:rPr>
                <w:rFonts w:ascii="Arial" w:cs="Arial" w:eastAsia="Arial" w:hAnsi="Arial"/>
                <w:sz w:val="18"/>
                <w:szCs w:val="18"/>
                <w:u w:val="single" w:color="auto"/>
                <w:color w:val="0000FF"/>
                <w:w w:val="89"/>
              </w:rPr>
            </w:pPr>
            <w:hyperlink w:anchor="page98">
              <w:r>
                <w:rPr>
                  <w:rFonts w:ascii="Arial" w:cs="Arial" w:eastAsia="Arial" w:hAnsi="Arial"/>
                  <w:sz w:val="18"/>
                  <w:szCs w:val="18"/>
                  <w:u w:val="single" w:color="auto"/>
                  <w:color w:val="0000FF"/>
                  <w:w w:val="89"/>
                </w:rPr>
                <w:t>98</w:t>
              </w:r>
            </w:hyperlink>
          </w:p>
        </w:tc>
        <w:tc>
          <w:tcPr>
            <w:tcW w:w="200" w:type="dxa"/>
            <w:vAlign w:val="bottom"/>
          </w:tcPr>
          <w:p>
            <w:pPr>
              <w:spacing w:after="0"/>
              <w:rPr>
                <w:sz w:val="19"/>
                <w:szCs w:val="19"/>
                <w:color w:val="auto"/>
              </w:rPr>
            </w:pPr>
          </w:p>
        </w:tc>
      </w:tr>
      <w:tr>
        <w:trPr>
          <w:trHeight w:val="324"/>
        </w:trPr>
        <w:tc>
          <w:tcPr>
            <w:tcW w:w="2040" w:type="dxa"/>
            <w:vAlign w:val="bottom"/>
            <w:gridSpan w:val="2"/>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r>
      <w:tr>
        <w:trPr>
          <w:trHeight w:val="234"/>
        </w:trPr>
        <w:tc>
          <w:tcPr>
            <w:tcW w:w="7720" w:type="dxa"/>
            <w:vAlign w:val="bottom"/>
            <w:gridSpan w:val="10"/>
          </w:tcPr>
          <w:p>
            <w:pPr>
              <w:spacing w:after="0"/>
              <w:rPr>
                <w:rFonts w:ascii="Arial" w:cs="Arial" w:eastAsia="Arial" w:hAnsi="Arial"/>
                <w:sz w:val="18"/>
                <w:szCs w:val="18"/>
                <w:b w:val="1"/>
                <w:bCs w:val="1"/>
                <w:u w:val="single" w:color="auto"/>
                <w:color w:val="0000FF"/>
              </w:rPr>
            </w:pPr>
            <w:hyperlink w:anchor="page99">
              <w:r>
                <w:rPr>
                  <w:rFonts w:ascii="Arial" w:cs="Arial" w:eastAsia="Arial" w:hAnsi="Arial"/>
                  <w:sz w:val="18"/>
                  <w:szCs w:val="18"/>
                  <w:b w:val="1"/>
                  <w:bCs w:val="1"/>
                  <w:u w:val="single" w:color="auto"/>
                  <w:color w:val="0000FF"/>
                </w:rPr>
                <w:t>SIGNATURE PAGE</w:t>
              </w:r>
            </w:hyperlink>
          </w:p>
        </w:tc>
        <w:tc>
          <w:tcPr>
            <w:tcW w:w="1700" w:type="dxa"/>
            <w:vAlign w:val="bottom"/>
            <w:gridSpan w:val="2"/>
          </w:tcPr>
          <w:p>
            <w:pPr>
              <w:jc w:val="center"/>
              <w:ind w:left="510"/>
              <w:spacing w:after="0"/>
              <w:rPr>
                <w:rFonts w:ascii="Arial" w:cs="Arial" w:eastAsia="Arial" w:hAnsi="Arial"/>
                <w:sz w:val="18"/>
                <w:szCs w:val="18"/>
                <w:u w:val="single" w:color="auto"/>
                <w:color w:val="0000FF"/>
                <w:w w:val="89"/>
              </w:rPr>
            </w:pPr>
            <w:hyperlink w:anchor="page99">
              <w:r>
                <w:rPr>
                  <w:rFonts w:ascii="Arial" w:cs="Arial" w:eastAsia="Arial" w:hAnsi="Arial"/>
                  <w:sz w:val="18"/>
                  <w:szCs w:val="18"/>
                  <w:u w:val="single" w:color="auto"/>
                  <w:color w:val="0000FF"/>
                  <w:w w:val="89"/>
                </w:rPr>
                <w:t>99</w:t>
              </w:r>
            </w:hyperlink>
          </w:p>
        </w:tc>
        <w:tc>
          <w:tcPr>
            <w:tcW w:w="2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140"/>
        <w:spacing w:after="0" w:line="191" w:lineRule="auto"/>
        <w:rPr>
          <w:sz w:val="20"/>
          <w:szCs w:val="20"/>
          <w:color w:val="auto"/>
        </w:rPr>
      </w:pPr>
      <w:r>
        <w:rPr>
          <w:rFonts w:ascii="Arial" w:cs="Arial" w:eastAsia="Arial" w:hAnsi="Arial"/>
          <w:sz w:val="17"/>
          <w:szCs w:val="17"/>
          <w:color w:val="auto"/>
        </w:rPr>
        <w:t>"ARCALYST</w:t>
      </w:r>
      <w:r>
        <w:rPr>
          <w:rFonts w:ascii="Arial" w:cs="Arial" w:eastAsia="Arial" w:hAnsi="Arial"/>
          <w:sz w:val="22"/>
          <w:szCs w:val="22"/>
          <w:color w:val="auto"/>
          <w:vertAlign w:val="superscript"/>
        </w:rPr>
        <w:t>®</w:t>
      </w:r>
      <w:r>
        <w:rPr>
          <w:rFonts w:ascii="Arial" w:cs="Arial" w:eastAsia="Arial" w:hAnsi="Arial"/>
          <w:sz w:val="17"/>
          <w:szCs w:val="17"/>
          <w:color w:val="auto"/>
        </w:rPr>
        <w:t>," "Evkeeza</w:t>
      </w:r>
      <w:r>
        <w:rPr>
          <w:rFonts w:ascii="Arial" w:cs="Arial" w:eastAsia="Arial" w:hAnsi="Arial"/>
          <w:sz w:val="22"/>
          <w:szCs w:val="22"/>
          <w:color w:val="auto"/>
          <w:vertAlign w:val="superscript"/>
        </w:rPr>
        <w:t>™</w:t>
      </w:r>
      <w:r>
        <w:rPr>
          <w:rFonts w:ascii="Arial" w:cs="Arial" w:eastAsia="Arial" w:hAnsi="Arial"/>
          <w:sz w:val="17"/>
          <w:szCs w:val="17"/>
          <w:color w:val="auto"/>
        </w:rPr>
        <w:t>," "EYLEA</w:t>
      </w:r>
      <w:r>
        <w:rPr>
          <w:rFonts w:ascii="Arial" w:cs="Arial" w:eastAsia="Arial" w:hAnsi="Arial"/>
          <w:sz w:val="22"/>
          <w:szCs w:val="22"/>
          <w:color w:val="auto"/>
          <w:vertAlign w:val="superscript"/>
        </w:rPr>
        <w:t>®</w:t>
      </w:r>
      <w:r>
        <w:rPr>
          <w:rFonts w:ascii="Arial" w:cs="Arial" w:eastAsia="Arial" w:hAnsi="Arial"/>
          <w:sz w:val="17"/>
          <w:szCs w:val="17"/>
          <w:color w:val="auto"/>
        </w:rPr>
        <w:t>," "Inmazeb</w:t>
      </w:r>
      <w:r>
        <w:rPr>
          <w:rFonts w:ascii="Arial" w:cs="Arial" w:eastAsia="Arial" w:hAnsi="Arial"/>
          <w:sz w:val="22"/>
          <w:szCs w:val="22"/>
          <w:color w:val="auto"/>
          <w:vertAlign w:val="superscript"/>
        </w:rPr>
        <w:t>™</w:t>
      </w:r>
      <w:r>
        <w:rPr>
          <w:rFonts w:ascii="Arial" w:cs="Arial" w:eastAsia="Arial" w:hAnsi="Arial"/>
          <w:sz w:val="17"/>
          <w:szCs w:val="17"/>
          <w:color w:val="auto"/>
        </w:rPr>
        <w:t>," "Libtayo</w:t>
      </w:r>
      <w:r>
        <w:rPr>
          <w:rFonts w:ascii="Arial" w:cs="Arial" w:eastAsia="Arial" w:hAnsi="Arial"/>
          <w:sz w:val="22"/>
          <w:szCs w:val="22"/>
          <w:color w:val="auto"/>
          <w:vertAlign w:val="superscript"/>
        </w:rPr>
        <w:t>®</w:t>
      </w:r>
      <w:r>
        <w:rPr>
          <w:rFonts w:ascii="Arial" w:cs="Arial" w:eastAsia="Arial" w:hAnsi="Arial"/>
          <w:sz w:val="17"/>
          <w:szCs w:val="17"/>
          <w:color w:val="auto"/>
        </w:rPr>
        <w:t>" (in the United States), "Praluent</w:t>
      </w:r>
      <w:r>
        <w:rPr>
          <w:rFonts w:ascii="Arial" w:cs="Arial" w:eastAsia="Arial" w:hAnsi="Arial"/>
          <w:sz w:val="22"/>
          <w:szCs w:val="22"/>
          <w:color w:val="auto"/>
          <w:vertAlign w:val="superscript"/>
        </w:rPr>
        <w:t>®</w:t>
      </w:r>
      <w:r>
        <w:rPr>
          <w:rFonts w:ascii="Arial" w:cs="Arial" w:eastAsia="Arial" w:hAnsi="Arial"/>
          <w:sz w:val="17"/>
          <w:szCs w:val="17"/>
          <w:color w:val="auto"/>
        </w:rPr>
        <w:t>" (in the United States), "REGEN-COV</w:t>
      </w:r>
      <w:r>
        <w:rPr>
          <w:rFonts w:ascii="Arial" w:cs="Arial" w:eastAsia="Arial" w:hAnsi="Arial"/>
          <w:sz w:val="22"/>
          <w:szCs w:val="22"/>
          <w:color w:val="auto"/>
          <w:vertAlign w:val="superscript"/>
        </w:rPr>
        <w:t>™</w:t>
      </w:r>
      <w:r>
        <w:rPr>
          <w:rFonts w:ascii="Arial" w:cs="Arial" w:eastAsia="Arial" w:hAnsi="Arial"/>
          <w:sz w:val="17"/>
          <w:szCs w:val="17"/>
          <w:color w:val="auto"/>
        </w:rPr>
        <w:t>," Regeneron</w:t>
      </w:r>
      <w:r>
        <w:rPr>
          <w:rFonts w:ascii="Arial" w:cs="Arial" w:eastAsia="Arial" w:hAnsi="Arial"/>
          <w:sz w:val="22"/>
          <w:szCs w:val="22"/>
          <w:color w:val="auto"/>
          <w:vertAlign w:val="superscript"/>
        </w:rPr>
        <w:t>®</w:t>
      </w:r>
      <w:r>
        <w:rPr>
          <w:rFonts w:ascii="Arial" w:cs="Arial" w:eastAsia="Arial" w:hAnsi="Arial"/>
          <w:sz w:val="17"/>
          <w:szCs w:val="17"/>
          <w:color w:val="auto"/>
        </w:rPr>
        <w:t>," "Regeneron Genetics Center</w:t>
      </w:r>
      <w:r>
        <w:rPr>
          <w:rFonts w:ascii="Arial" w:cs="Arial" w:eastAsia="Arial" w:hAnsi="Arial"/>
          <w:sz w:val="22"/>
          <w:szCs w:val="22"/>
          <w:color w:val="auto"/>
          <w:vertAlign w:val="superscript"/>
        </w:rPr>
        <w:t>®</w:t>
      </w:r>
      <w:r>
        <w:rPr>
          <w:rFonts w:ascii="Arial" w:cs="Arial" w:eastAsia="Arial" w:hAnsi="Arial"/>
          <w:sz w:val="17"/>
          <w:szCs w:val="17"/>
          <w:color w:val="auto"/>
        </w:rPr>
        <w:t>," "</w:t>
      </w:r>
      <w:r>
        <w:rPr>
          <w:rFonts w:ascii="Arial" w:cs="Arial" w:eastAsia="Arial" w:hAnsi="Arial"/>
          <w:sz w:val="17"/>
          <w:szCs w:val="17"/>
          <w:i w:val="1"/>
          <w:iCs w:val="1"/>
          <w:color w:val="auto"/>
        </w:rPr>
        <w:t>Veloci-Bi</w:t>
      </w:r>
      <w:r>
        <w:rPr>
          <w:rFonts w:ascii="Arial" w:cs="Arial" w:eastAsia="Arial" w:hAnsi="Arial"/>
          <w:sz w:val="22"/>
          <w:szCs w:val="22"/>
          <w:color w:val="auto"/>
          <w:vertAlign w:val="superscript"/>
        </w:rPr>
        <w:t>®</w:t>
      </w:r>
      <w:r>
        <w:rPr>
          <w:rFonts w:ascii="Arial" w:cs="Arial" w:eastAsia="Arial" w:hAnsi="Arial"/>
          <w:sz w:val="17"/>
          <w:szCs w:val="17"/>
          <w:color w:val="auto"/>
        </w:rPr>
        <w:t>," "</w:t>
      </w:r>
      <w:r>
        <w:rPr>
          <w:rFonts w:ascii="Arial" w:cs="Arial" w:eastAsia="Arial" w:hAnsi="Arial"/>
          <w:sz w:val="17"/>
          <w:szCs w:val="17"/>
          <w:i w:val="1"/>
          <w:iCs w:val="1"/>
          <w:color w:val="auto"/>
        </w:rPr>
        <w:t>VelociGene</w:t>
      </w:r>
      <w:r>
        <w:rPr>
          <w:rFonts w:ascii="Arial" w:cs="Arial" w:eastAsia="Arial" w:hAnsi="Arial"/>
          <w:sz w:val="22"/>
          <w:szCs w:val="22"/>
          <w:color w:val="auto"/>
          <w:vertAlign w:val="superscript"/>
        </w:rPr>
        <w:t>®</w:t>
      </w:r>
      <w:r>
        <w:rPr>
          <w:rFonts w:ascii="Arial" w:cs="Arial" w:eastAsia="Arial" w:hAnsi="Arial"/>
          <w:sz w:val="17"/>
          <w:szCs w:val="17"/>
          <w:color w:val="auto"/>
        </w:rPr>
        <w:t>," "</w:t>
      </w:r>
      <w:r>
        <w:rPr>
          <w:rFonts w:ascii="Arial" w:cs="Arial" w:eastAsia="Arial" w:hAnsi="Arial"/>
          <w:sz w:val="17"/>
          <w:szCs w:val="17"/>
          <w:i w:val="1"/>
          <w:iCs w:val="1"/>
          <w:color w:val="auto"/>
        </w:rPr>
        <w:t>VelociHum</w:t>
      </w:r>
      <w:r>
        <w:rPr>
          <w:rFonts w:ascii="Arial" w:cs="Arial" w:eastAsia="Arial" w:hAnsi="Arial"/>
          <w:sz w:val="22"/>
          <w:szCs w:val="22"/>
          <w:color w:val="auto"/>
          <w:vertAlign w:val="superscript"/>
        </w:rPr>
        <w:t>®</w:t>
      </w:r>
      <w:r>
        <w:rPr>
          <w:rFonts w:ascii="Arial" w:cs="Arial" w:eastAsia="Arial" w:hAnsi="Arial"/>
          <w:sz w:val="17"/>
          <w:szCs w:val="17"/>
          <w:color w:val="auto"/>
        </w:rPr>
        <w:t>," "</w:t>
      </w:r>
      <w:r>
        <w:rPr>
          <w:rFonts w:ascii="Arial" w:cs="Arial" w:eastAsia="Arial" w:hAnsi="Arial"/>
          <w:sz w:val="17"/>
          <w:szCs w:val="17"/>
          <w:i w:val="1"/>
          <w:iCs w:val="1"/>
          <w:color w:val="auto"/>
        </w:rPr>
        <w:t>VelociMab</w:t>
      </w:r>
      <w:r>
        <w:rPr>
          <w:rFonts w:ascii="Arial" w:cs="Arial" w:eastAsia="Arial" w:hAnsi="Arial"/>
          <w:sz w:val="22"/>
          <w:szCs w:val="22"/>
          <w:color w:val="auto"/>
          <w:vertAlign w:val="superscript"/>
        </w:rPr>
        <w:t>®</w:t>
      </w:r>
      <w:r>
        <w:rPr>
          <w:rFonts w:ascii="Arial" w:cs="Arial" w:eastAsia="Arial" w:hAnsi="Arial"/>
          <w:sz w:val="17"/>
          <w:szCs w:val="17"/>
          <w:color w:val="auto"/>
        </w:rPr>
        <w:t>," "</w:t>
      </w:r>
      <w:r>
        <w:rPr>
          <w:rFonts w:ascii="Arial" w:cs="Arial" w:eastAsia="Arial" w:hAnsi="Arial"/>
          <w:sz w:val="17"/>
          <w:szCs w:val="17"/>
          <w:i w:val="1"/>
          <w:iCs w:val="1"/>
          <w:color w:val="auto"/>
        </w:rPr>
        <w:t>VelocImmune</w:t>
      </w:r>
      <w:r>
        <w:rPr>
          <w:rFonts w:ascii="Arial" w:cs="Arial" w:eastAsia="Arial" w:hAnsi="Arial"/>
          <w:sz w:val="22"/>
          <w:szCs w:val="22"/>
          <w:color w:val="auto"/>
          <w:vertAlign w:val="superscript"/>
        </w:rPr>
        <w:t>®</w:t>
      </w:r>
      <w:r>
        <w:rPr>
          <w:rFonts w:ascii="Arial" w:cs="Arial" w:eastAsia="Arial" w:hAnsi="Arial"/>
          <w:sz w:val="17"/>
          <w:szCs w:val="17"/>
          <w:color w:val="auto"/>
        </w:rPr>
        <w:t>," "</w:t>
      </w:r>
      <w:r>
        <w:rPr>
          <w:rFonts w:ascii="Arial" w:cs="Arial" w:eastAsia="Arial" w:hAnsi="Arial"/>
          <w:sz w:val="17"/>
          <w:szCs w:val="17"/>
          <w:i w:val="1"/>
          <w:iCs w:val="1"/>
          <w:color w:val="auto"/>
        </w:rPr>
        <w:t>VelociMouse</w:t>
      </w:r>
      <w:r>
        <w:rPr>
          <w:rFonts w:ascii="Arial" w:cs="Arial" w:eastAsia="Arial" w:hAnsi="Arial"/>
          <w:sz w:val="22"/>
          <w:szCs w:val="22"/>
          <w:color w:val="auto"/>
          <w:vertAlign w:val="superscript"/>
        </w:rPr>
        <w:t>®</w:t>
      </w:r>
      <w:r>
        <w:rPr>
          <w:rFonts w:ascii="Arial" w:cs="Arial" w:eastAsia="Arial" w:hAnsi="Arial"/>
          <w:sz w:val="17"/>
          <w:szCs w:val="17"/>
          <w:color w:val="auto"/>
        </w:rPr>
        <w:t>," "</w:t>
      </w:r>
      <w:r>
        <w:rPr>
          <w:rFonts w:ascii="Arial" w:cs="Arial" w:eastAsia="Arial" w:hAnsi="Arial"/>
          <w:sz w:val="17"/>
          <w:szCs w:val="17"/>
          <w:i w:val="1"/>
          <w:iCs w:val="1"/>
          <w:color w:val="auto"/>
        </w:rPr>
        <w:t>VelociSuite</w:t>
      </w:r>
      <w:r>
        <w:rPr>
          <w:rFonts w:ascii="Arial" w:cs="Arial" w:eastAsia="Arial" w:hAnsi="Arial"/>
          <w:sz w:val="22"/>
          <w:szCs w:val="22"/>
          <w:color w:val="auto"/>
          <w:vertAlign w:val="superscript"/>
        </w:rPr>
        <w:t>®</w:t>
      </w:r>
      <w:r>
        <w:rPr>
          <w:rFonts w:ascii="Arial" w:cs="Arial" w:eastAsia="Arial" w:hAnsi="Arial"/>
          <w:sz w:val="17"/>
          <w:szCs w:val="17"/>
          <w:color w:val="auto"/>
        </w:rPr>
        <w:t>," "</w:t>
      </w:r>
      <w:r>
        <w:rPr>
          <w:rFonts w:ascii="Arial" w:cs="Arial" w:eastAsia="Arial" w:hAnsi="Arial"/>
          <w:sz w:val="17"/>
          <w:szCs w:val="17"/>
          <w:i w:val="1"/>
          <w:iCs w:val="1"/>
          <w:color w:val="auto"/>
        </w:rPr>
        <w:t>VelociT</w:t>
      </w:r>
      <w:r>
        <w:rPr>
          <w:rFonts w:ascii="Arial" w:cs="Arial" w:eastAsia="Arial" w:hAnsi="Arial"/>
          <w:sz w:val="22"/>
          <w:szCs w:val="22"/>
          <w:color w:val="auto"/>
          <w:vertAlign w:val="superscript"/>
        </w:rPr>
        <w:t>™</w:t>
      </w:r>
      <w:r>
        <w:rPr>
          <w:rFonts w:ascii="Arial" w:cs="Arial" w:eastAsia="Arial" w:hAnsi="Arial"/>
          <w:sz w:val="17"/>
          <w:szCs w:val="17"/>
          <w:color w:val="auto"/>
        </w:rPr>
        <w:t>," and "ZALTRAP</w:t>
      </w:r>
      <w:r>
        <w:rPr>
          <w:rFonts w:ascii="Arial" w:cs="Arial" w:eastAsia="Arial" w:hAnsi="Arial"/>
          <w:sz w:val="22"/>
          <w:szCs w:val="22"/>
          <w:color w:val="auto"/>
          <w:vertAlign w:val="superscript"/>
        </w:rPr>
        <w:t>®</w:t>
      </w:r>
      <w:r>
        <w:rPr>
          <w:rFonts w:ascii="Arial" w:cs="Arial" w:eastAsia="Arial" w:hAnsi="Arial"/>
          <w:sz w:val="17"/>
          <w:szCs w:val="17"/>
          <w:color w:val="auto"/>
        </w:rPr>
        <w:t>" are trademarks of Regeneron Pharmaceuticals, Inc. Trademarks and trade names of other companies appearing in this report are, to the knowledge of Regeneron Pharmaceuticals, Inc.,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884555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30" w:right="45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6"/>
          <w:szCs w:val="16"/>
          <w:i w:val="1"/>
          <w:iCs w:val="1"/>
          <w:color w:val="auto"/>
        </w:rPr>
        <w:t>This Annual Report on Form 10-K contains forward-looking statements that involve risks and uncertainties relating to future events and the future performance of Regeneron Pharmaceuticals, Inc. (where applicable, together with its subsidiaries, "Regeneron," "Company,"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impact of SARS-CoV-2 (the virus that has caused the COVID-19 pandemic) on Regeneron's business and its employees, collaborators, and suppliers and other third parties on which Regeneron relies, Regeneron's and its collaborators’ ability to continue to conduct research and clinical programs, Regeneron's ability to manage its supply chain, net product sales of products marketed or otherwise commercialized by Regeneron and/or its collaborators (collectively, "Regeneron’s Products"), and the global economy; the nature, timing, and possible success and therapeutic applications of Regeneron's Products and product candidates being developed by Regeneron and/or its collaborators (collectively, "Regeneron's Product Candidates") and research and clinical programs now underway or planned, including without limitation EYLEA</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(aflibercept) Injection, Dupixent</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xml:space="preserve"> (dupilumab) Injection, Libtayo</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xml:space="preserve"> (cemiplimab) Injection, Praluent</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xml:space="preserve"> (alirocumab) Injection, Kevzara</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xml:space="preserve"> (sarilumab) Injection, Inmazeb</w:t>
      </w:r>
      <w:r>
        <w:rPr>
          <w:rFonts w:ascii="Arial" w:cs="Arial" w:eastAsia="Arial" w:hAnsi="Arial"/>
          <w:sz w:val="9"/>
          <w:szCs w:val="9"/>
          <w:color w:val="auto"/>
        </w:rPr>
        <w:t>TM</w:t>
      </w:r>
      <w:r>
        <w:rPr>
          <w:rFonts w:ascii="Arial" w:cs="Arial" w:eastAsia="Arial" w:hAnsi="Arial"/>
          <w:sz w:val="16"/>
          <w:szCs w:val="16"/>
          <w:i w:val="1"/>
          <w:iCs w:val="1"/>
          <w:color w:val="auto"/>
        </w:rPr>
        <w:t xml:space="preserve"> (atoltivimab, maftivimab, and odesivimab-ebgn), REGEN-COV™ (casirivimab and imdevimab), fasinumab, Evkeeza</w:t>
      </w:r>
      <w:r>
        <w:rPr>
          <w:rFonts w:ascii="Arial" w:cs="Arial" w:eastAsia="Arial" w:hAnsi="Arial"/>
          <w:sz w:val="9"/>
          <w:szCs w:val="9"/>
          <w:color w:val="auto"/>
        </w:rPr>
        <w:t>TM</w:t>
      </w:r>
      <w:r>
        <w:rPr>
          <w:rFonts w:ascii="Arial" w:cs="Arial" w:eastAsia="Arial" w:hAnsi="Arial"/>
          <w:sz w:val="16"/>
          <w:szCs w:val="16"/>
          <w:i w:val="1"/>
          <w:iCs w:val="1"/>
          <w:color w:val="auto"/>
        </w:rPr>
        <w:t xml:space="preserve"> (evinacumab), garetosmab, pozelimab, odronextamab, itepekimab, REGN5458, REGN5713-5714-5715, Regeneron's other oncology programs (including its costimulatory bispecific portfolio), Regeneron's and its collaborators' earlier-stage programs, and the use of human genetics in Regeneron's research programs; the likelihood and timing of achieving any of our anticipated development milestones referenced in this report; safety issues resulting from the administration of Regeneron's Products and Regeneron's Product Candidates in patients, including serious complications or side effects in connection with the use of Regeneron's Products and Regeneron's Product Candidates in clinical trials; the likelihood, timing, and scope of possible regulatory approval and commercial launch of our late-stage product candidates and new indications for Regeneron's Products, including without limitation EYLEA, Dupixent, Libtayo, Praluent, Kevzara, REGEN-COV, fasinumab, Evkeeza, garetosmab, pozelimab, odronextamab, itepekimab, REGN5458, and REGN5713-5714-5715; the extent to which the results from the research and development programs conducted by us and/or our collaborators may be replicated in other studies and/or lead to advancement of product candidates to clinical trials, therapeutic applications, or regulatory approval; ongoing regulatory obligations and oversight impacting Regeneron's Products (such as EYLEA, Dupixent, Libtayo, Praluent, and Kevzara), research and clinical programs, and business, including those relating to patient privacy; determinations by regulatory and administrative governmental authorities which may delay or restrict our ability to continue to develop or commercialize Regeneron's Products and Regeneron's Product Candidates; competing drugs and product candidates that may be superior to, or more cost effective than, Regeneron's Products and Regeneron's Product Candidates; uncertainty of market acceptance and commercial success of Regeneron's Products and Regeneron's Product Candidates and the impact of studies (whether conducted by Regeneron or others and whether mandated or voluntary) on the commercial success of Regeneron's Products and Regeneron's Product Candidates; our ability to manufacture and manage supply chains for multiple products and product candidates; the ability of our collaborators, suppliers, or other third parties (as applicable) to perform manufacturing, filling, finishing, packaging, labeling, distribution, and other steps related to Regeneron's Products and Regeneron's Product Candidates; the availability and extent of reimbursement of Regeneron’s Products from third-party payors, including private payor healthcare and insurance programs, health maintenance organizations, pharmacy benefit management companies, and government programs such as Medicare and Medicaid (including the impact of the recently issued "most-favored-nation" interim final rule); coverage and reimbursement determinations by such payors and new policies and procedures adopted by such payors; unanticipated expenses; the costs of developing, producing, and selling products; our ability to meet any of our financial projections or guidance, including without limitation capital expenditures, and changes to the assumptions underlying those projections or guidance; the potential for any license or collaboration agreement, including our agreements with Sanofi, Bayer, and Teva Pharmaceutical Industries Ltd. (or their respective affiliated companies, as applicable), as well as Regeneron's agreement with Roche relating to REGEN-COV, to be cancelled or terminated; and risks associated with intellectual property of other parties and pending or future litigation relating thereto (including without limitation the patent litigation and other related proceedings relating to EYLEA, Dupixent, Praluent, and REGEN-COV described further in Note 15 to our Consolidated Financial Statements included in this report), other litigation and other proceedings and government investigations relating to the Company and/or its operations (including without limitation those described in Note 15 to our Consolidated Financial Statements included in this report), the ultimate outcome of any such proceedings and investigations, and the impact any of the foregoing may have on our business, prospects, operating results, and financial condition. These statements are made based on management's current beliefs and judgment, and the reader is cautioned not to rely on any such statements. In evaluating such statements, shareholders and potential investors should specifically consider the various factors identified under Part I, Item 1A. "Risk Factors," which could cause actual events and results to differ materially from those indicated by such forward-looking statements. We do not undertake any obligation to update (publicly or otherwise) any forward-looking statement, whether as a result of new information, future events, or otherwise.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Regeneron Pharmaceuticals, Inc. is a fully integrated biotechnology company that discovers, invents, develops, manufactures, and commercializes medicines for the treatment of serious diseases. Our commercialized medicines and product candidates in development are designed to help patients with eye diseases, allergic and inflammatory diseases, cancer, cardiovascular and metabolic diseases, pain, infectious diseases, and rare diseases.</w:t>
      </w:r>
    </w:p>
    <w:p>
      <w:pPr>
        <w:spacing w:after="0" w:line="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core business strategy is to maintain a strong foundation in basic scientific research and discovery-enabling technologies, and to build on that foundation with our clinical development, manufacturing, and commercial capabilities. Our objective is to continue to be an integrated, multi-product biotechnology company that provides patients and medical professionals with important options for preventing and treating human diseases.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information is summarized as follows:</w:t>
      </w:r>
    </w:p>
    <w:p>
      <w:pPr>
        <w:spacing w:after="0" w:line="275" w:lineRule="exact"/>
        <w:rPr>
          <w:sz w:val="20"/>
          <w:szCs w:val="20"/>
          <w:color w:val="auto"/>
        </w:rPr>
      </w:pPr>
    </w:p>
    <w:tbl>
      <w:tblPr>
        <w:tblLayout w:type="fixed"/>
        <w:tblInd w:w="216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7"/>
          </w:tcPr>
          <w:p>
            <w:pPr>
              <w:jc w:val="right"/>
              <w:ind w:right="61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35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i w:val="1"/>
                <w:iCs w:val="1"/>
                <w:color w:val="auto"/>
              </w:rPr>
              <w:t>(In millions, except per share data)</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line="223" w:lineRule="exact"/>
              <w:rPr>
                <w:sz w:val="20"/>
                <w:szCs w:val="20"/>
                <w:color w:val="auto"/>
              </w:rPr>
            </w:pPr>
            <w:r>
              <w:rPr>
                <w:rFonts w:ascii="Arial" w:cs="Arial" w:eastAsia="Arial" w:hAnsi="Arial"/>
                <w:sz w:val="18"/>
                <w:szCs w:val="18"/>
                <w:b w:val="1"/>
                <w:bCs w:val="1"/>
                <w:color w:val="auto"/>
              </w:rPr>
              <w:t>2019</w:t>
            </w:r>
            <w:r>
              <w:rPr>
                <w:rFonts w:ascii="Arial" w:cs="Arial" w:eastAsia="Arial" w:hAnsi="Arial"/>
                <w:sz w:val="23"/>
                <w:szCs w:val="23"/>
                <w:b w:val="1"/>
                <w:bCs w:val="1"/>
                <w:color w:val="auto"/>
                <w:vertAlign w:val="superscript"/>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0"/>
              <w:spacing w:after="0" w:line="223" w:lineRule="exact"/>
              <w:rPr>
                <w:sz w:val="20"/>
                <w:szCs w:val="20"/>
                <w:color w:val="auto"/>
              </w:rPr>
            </w:pPr>
            <w:r>
              <w:rPr>
                <w:rFonts w:ascii="Arial" w:cs="Arial" w:eastAsia="Arial" w:hAnsi="Arial"/>
                <w:sz w:val="18"/>
                <w:szCs w:val="18"/>
                <w:b w:val="1"/>
                <w:bCs w:val="1"/>
                <w:color w:val="auto"/>
              </w:rPr>
              <w:t>2018</w:t>
            </w:r>
            <w:r>
              <w:rPr>
                <w:rFonts w:ascii="Arial" w:cs="Arial" w:eastAsia="Arial" w:hAnsi="Arial"/>
                <w:sz w:val="23"/>
                <w:szCs w:val="23"/>
                <w:b w:val="1"/>
                <w:bCs w:val="1"/>
                <w:color w:val="auto"/>
                <w:vertAlign w:val="superscript"/>
              </w:rPr>
              <w:t>*</w:t>
            </w:r>
          </w:p>
        </w:tc>
      </w:tr>
      <w:tr>
        <w:trPr>
          <w:trHeight w:val="223"/>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5,145.6</w:t>
            </w:r>
          </w:p>
        </w:tc>
      </w:tr>
      <w:tr>
        <w:trPr>
          <w:trHeight w:val="229"/>
        </w:trPr>
        <w:tc>
          <w:tcPr>
            <w:tcW w:w="354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3,513.2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2,115.8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2,444.4</w:t>
            </w:r>
          </w:p>
        </w:tc>
      </w:tr>
      <w:tr>
        <w:trPr>
          <w:trHeight w:val="229"/>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diluted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r>
    </w:tbl>
    <w:p>
      <w:pPr>
        <w:spacing w:after="0" w:line="98" w:lineRule="exact"/>
        <w:rPr>
          <w:sz w:val="20"/>
          <w:szCs w:val="20"/>
          <w:color w:val="auto"/>
        </w:rPr>
      </w:pPr>
    </w:p>
    <w:p>
      <w:pPr>
        <w:ind w:left="2380" w:right="2260" w:firstLine="2"/>
        <w:spacing w:after="0"/>
        <w:tabs>
          <w:tab w:leader="none" w:pos="2473"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Certain revisions have been made to the previously reported revenues for the years ended December 31, 2019 and 2018. See Note 1 to our Consolidated Financial Statements for further details.</w:t>
      </w:r>
    </w:p>
    <w:p>
      <w:pPr>
        <w:spacing w:after="0" w:line="22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purposes of this report, references to our products encompass products marketed or otherwise commercialized by us and/or our collaborators and references to our product candidates encompass product candidates in development by us and/or our collaborators (in the case of collaborated products or product candidates under the terms of the applicable collaboration agreements), unless otherwise stated or required by the context.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Products that have received marketing approval are summarized in the table below.</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Territory</w:t>
            </w:r>
          </w:p>
        </w:tc>
        <w:tc>
          <w:tcPr>
            <w:tcW w:w="9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r>
        <w:trPr>
          <w:trHeight w:val="237"/>
        </w:trPr>
        <w:tc>
          <w:tcPr>
            <w:tcW w:w="280" w:type="dxa"/>
            <w:vAlign w:val="bottom"/>
          </w:tcPr>
          <w:p>
            <w:pPr>
              <w:spacing w:after="0"/>
              <w:rPr>
                <w:sz w:val="20"/>
                <w:szCs w:val="20"/>
                <w:color w:val="auto"/>
              </w:rPr>
            </w:pPr>
          </w:p>
        </w:tc>
        <w:tc>
          <w:tcPr>
            <w:tcW w:w="3060" w:type="dxa"/>
            <w:vAlign w:val="bottom"/>
            <w:tcBorders>
              <w:bottom w:val="single" w:sz="8" w:color="auto"/>
            </w:tcBorders>
          </w:tcPr>
          <w:p>
            <w:pPr>
              <w:ind w:left="1220"/>
              <w:spacing w:after="0"/>
              <w:rPr>
                <w:sz w:val="20"/>
                <w:szCs w:val="20"/>
                <w:color w:val="auto"/>
              </w:rPr>
            </w:pPr>
            <w:r>
              <w:rPr>
                <w:rFonts w:ascii="Arial" w:cs="Arial" w:eastAsia="Arial" w:hAnsi="Arial"/>
                <w:sz w:val="18"/>
                <w:szCs w:val="18"/>
                <w:b w:val="1"/>
                <w:bCs w:val="1"/>
                <w:color w:val="auto"/>
              </w:rPr>
              <w:t>Product</w:t>
            </w:r>
          </w:p>
        </w:tc>
        <w:tc>
          <w:tcPr>
            <w:tcW w:w="180" w:type="dxa"/>
            <w:vAlign w:val="bottom"/>
            <w:tcBorders>
              <w:bottom w:val="single" w:sz="8" w:color="CCEEFF"/>
            </w:tcBorders>
          </w:tcPr>
          <w:p>
            <w:pPr>
              <w:spacing w:after="0"/>
              <w:rPr>
                <w:sz w:val="20"/>
                <w:szCs w:val="20"/>
                <w:color w:val="auto"/>
              </w:rPr>
            </w:pPr>
          </w:p>
        </w:tc>
        <w:tc>
          <w:tcPr>
            <w:tcW w:w="3420" w:type="dxa"/>
            <w:vAlign w:val="bottom"/>
            <w:tcBorders>
              <w:bottom w:val="single" w:sz="8" w:color="auto"/>
            </w:tcBorders>
          </w:tcPr>
          <w:p>
            <w:pPr>
              <w:ind w:left="1220"/>
              <w:spacing w:after="0"/>
              <w:rPr>
                <w:sz w:val="20"/>
                <w:szCs w:val="20"/>
                <w:color w:val="auto"/>
              </w:rPr>
            </w:pPr>
            <w:r>
              <w:rPr>
                <w:rFonts w:ascii="Arial" w:cs="Arial" w:eastAsia="Arial" w:hAnsi="Arial"/>
                <w:sz w:val="18"/>
                <w:szCs w:val="18"/>
                <w:b w:val="1"/>
                <w:bCs w:val="1"/>
                <w:color w:val="auto"/>
              </w:rPr>
              <w:t>Disease Area</w:t>
            </w:r>
          </w:p>
        </w:tc>
        <w:tc>
          <w:tcPr>
            <w:tcW w:w="1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U.S.</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rPr>
              <w:t>EU</w:t>
            </w: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Japan</w:t>
            </w: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spacing w:after="0" w:line="236" w:lineRule="exact"/>
              <w:rPr>
                <w:sz w:val="20"/>
                <w:szCs w:val="20"/>
                <w:color w:val="auto"/>
              </w:rPr>
            </w:pPr>
            <w:r>
              <w:rPr>
                <w:rFonts w:ascii="Arial" w:cs="Arial" w:eastAsia="Arial" w:hAnsi="Arial"/>
                <w:sz w:val="18"/>
                <w:szCs w:val="18"/>
                <w:b w:val="1"/>
                <w:bCs w:val="1"/>
                <w:color w:val="auto"/>
                <w:w w:val="92"/>
              </w:rPr>
              <w:t>ROW</w:t>
            </w:r>
            <w:r>
              <w:rPr>
                <w:rFonts w:ascii="Arial" w:cs="Arial" w:eastAsia="Arial" w:hAnsi="Arial"/>
                <w:sz w:val="23"/>
                <w:szCs w:val="23"/>
                <w:b w:val="1"/>
                <w:bCs w:val="1"/>
                <w:color w:val="auto"/>
                <w:w w:val="92"/>
                <w:vertAlign w:val="superscript"/>
              </w:rPr>
              <w:t>(4)</w:t>
            </w:r>
          </w:p>
        </w:tc>
        <w:tc>
          <w:tcPr>
            <w:tcW w:w="260" w:type="dxa"/>
            <w:vAlign w:val="bottom"/>
          </w:tcPr>
          <w:p>
            <w:pPr>
              <w:spacing w:after="0"/>
              <w:rPr>
                <w:sz w:val="20"/>
                <w:szCs w:val="20"/>
                <w:color w:val="auto"/>
              </w:rPr>
            </w:pPr>
          </w:p>
        </w:tc>
      </w:tr>
      <w:tr>
        <w:trPr>
          <w:trHeight w:val="169"/>
        </w:trPr>
        <w:tc>
          <w:tcPr>
            <w:tcW w:w="280" w:type="dxa"/>
            <w:vAlign w:val="bottom"/>
          </w:tcPr>
          <w:p>
            <w:pPr>
              <w:spacing w:after="0"/>
              <w:rPr>
                <w:sz w:val="14"/>
                <w:szCs w:val="14"/>
                <w:color w:val="auto"/>
              </w:rPr>
            </w:pPr>
          </w:p>
        </w:tc>
        <w:tc>
          <w:tcPr>
            <w:tcW w:w="30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EYLEA (aflibercept) Injection</w:t>
            </w:r>
            <w:r>
              <w:rPr>
                <w:rFonts w:ascii="Arial" w:cs="Arial" w:eastAsia="Arial" w:hAnsi="Arial"/>
                <w:sz w:val="19"/>
                <w:szCs w:val="19"/>
                <w:color w:val="auto"/>
                <w:vertAlign w:val="superscript"/>
              </w:rPr>
              <w:t>(1)</w:t>
            </w:r>
          </w:p>
        </w:tc>
        <w:tc>
          <w:tcPr>
            <w:tcW w:w="180" w:type="dxa"/>
            <w:vAlign w:val="bottom"/>
            <w:shd w:val="clear" w:color="auto" w:fill="CCEEFF"/>
          </w:tcPr>
          <w:p>
            <w:pPr>
              <w:ind w:left="60"/>
              <w:spacing w:after="0" w:line="169" w:lineRule="exact"/>
              <w:rPr>
                <w:sz w:val="20"/>
                <w:szCs w:val="20"/>
                <w:color w:val="auto"/>
              </w:rPr>
            </w:pPr>
            <w:r>
              <w:rPr>
                <w:rFonts w:ascii="Arial" w:cs="Arial" w:eastAsia="Arial" w:hAnsi="Arial"/>
                <w:sz w:val="18"/>
                <w:szCs w:val="18"/>
                <w:color w:val="auto"/>
              </w:rPr>
              <w:t>-</w:t>
            </w:r>
          </w:p>
        </w:tc>
        <w:tc>
          <w:tcPr>
            <w:tcW w:w="342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w w:val="90"/>
              </w:rPr>
              <w:t>Neovascular age-related macular degeneration</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99"/>
              </w:rPr>
              <w:t>a</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center"/>
              <w:ind w:left="230"/>
              <w:spacing w:after="0" w:line="169" w:lineRule="exact"/>
              <w:rPr>
                <w:sz w:val="20"/>
                <w:szCs w:val="20"/>
                <w:color w:val="auto"/>
              </w:rPr>
            </w:pPr>
            <w:r>
              <w:rPr>
                <w:rFonts w:ascii="Arial" w:cs="Arial" w:eastAsia="Arial" w:hAnsi="Arial"/>
                <w:sz w:val="18"/>
                <w:szCs w:val="18"/>
                <w:color w:val="auto"/>
                <w:w w:val="99"/>
              </w:rPr>
              <w:t>a</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center"/>
              <w:ind w:right="120"/>
              <w:spacing w:after="0" w:line="169" w:lineRule="exact"/>
              <w:rPr>
                <w:sz w:val="20"/>
                <w:szCs w:val="20"/>
                <w:color w:val="auto"/>
              </w:rPr>
            </w:pPr>
            <w:r>
              <w:rPr>
                <w:rFonts w:ascii="Arial" w:cs="Arial" w:eastAsia="Arial" w:hAnsi="Arial"/>
                <w:sz w:val="18"/>
                <w:szCs w:val="18"/>
                <w:color w:val="auto"/>
                <w:w w:val="99"/>
              </w:rPr>
              <w:t>a</w:t>
            </w:r>
          </w:p>
        </w:tc>
        <w:tc>
          <w:tcPr>
            <w:tcW w:w="90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99"/>
              </w:rPr>
              <w:t>a</w:t>
            </w:r>
          </w:p>
        </w:tc>
        <w:tc>
          <w:tcPr>
            <w:tcW w:w="260" w:type="dxa"/>
            <w:vAlign w:val="bottom"/>
          </w:tcPr>
          <w:p>
            <w:pPr>
              <w:spacing w:after="0"/>
              <w:rPr>
                <w:sz w:val="14"/>
                <w:szCs w:val="14"/>
                <w:color w:val="auto"/>
              </w:rPr>
            </w:pPr>
          </w:p>
        </w:tc>
      </w:tr>
      <w:tr>
        <w:trPr>
          <w:trHeight w:val="230"/>
        </w:trPr>
        <w:tc>
          <w:tcPr>
            <w:tcW w:w="280" w:type="dxa"/>
            <w:vAlign w:val="bottom"/>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("wet AMD")</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tcPr>
          <w:p>
            <w:pPr>
              <w:spacing w:after="0"/>
              <w:rPr>
                <w:sz w:val="19"/>
                <w:szCs w:val="19"/>
                <w:color w:val="auto"/>
              </w:rPr>
            </w:pPr>
          </w:p>
        </w:tc>
      </w:tr>
      <w:tr>
        <w:trPr>
          <w:trHeight w:val="230"/>
        </w:trPr>
        <w:tc>
          <w:tcPr>
            <w:tcW w:w="280" w:type="dxa"/>
            <w:vAlign w:val="bottom"/>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Diabetic macular edema ("DME")</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99"/>
              </w:rPr>
              <w:t>a</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a</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w:t>
            </w:r>
          </w:p>
        </w:tc>
        <w:tc>
          <w:tcPr>
            <w:tcW w:w="260" w:type="dxa"/>
            <w:vAlign w:val="bottom"/>
          </w:tcPr>
          <w:p>
            <w:pPr>
              <w:spacing w:after="0"/>
              <w:rPr>
                <w:sz w:val="19"/>
                <w:szCs w:val="19"/>
                <w:color w:val="auto"/>
              </w:rPr>
            </w:pPr>
          </w:p>
        </w:tc>
      </w:tr>
      <w:tr>
        <w:trPr>
          <w:trHeight w:val="175"/>
        </w:trPr>
        <w:tc>
          <w:tcPr>
            <w:tcW w:w="280" w:type="dxa"/>
            <w:vAlign w:val="bottom"/>
          </w:tcPr>
          <w:p>
            <w:pPr>
              <w:spacing w:after="0"/>
              <w:rPr>
                <w:sz w:val="15"/>
                <w:szCs w:val="15"/>
                <w:color w:val="auto"/>
              </w:rPr>
            </w:pPr>
          </w:p>
        </w:tc>
        <w:tc>
          <w:tcPr>
            <w:tcW w:w="3060" w:type="dxa"/>
            <w:vAlign w:val="bottom"/>
            <w:shd w:val="clear" w:color="auto" w:fill="CCEEFF"/>
          </w:tcPr>
          <w:p>
            <w:pPr>
              <w:spacing w:after="0"/>
              <w:rPr>
                <w:sz w:val="15"/>
                <w:szCs w:val="15"/>
                <w:color w:val="auto"/>
              </w:rPr>
            </w:pPr>
          </w:p>
        </w:tc>
        <w:tc>
          <w:tcPr>
            <w:tcW w:w="18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w:t>
            </w:r>
          </w:p>
        </w:tc>
        <w:tc>
          <w:tcPr>
            <w:tcW w:w="34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Macular edema following retinal vein</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a</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99"/>
              </w:rPr>
              <w:t>a</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9"/>
              </w:rPr>
              <w:t>a</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a</w:t>
            </w:r>
          </w:p>
        </w:tc>
        <w:tc>
          <w:tcPr>
            <w:tcW w:w="260" w:type="dxa"/>
            <w:vAlign w:val="bottom"/>
          </w:tcPr>
          <w:p>
            <w:pPr>
              <w:spacing w:after="0"/>
              <w:rPr>
                <w:sz w:val="15"/>
                <w:szCs w:val="15"/>
                <w:color w:val="auto"/>
              </w:rPr>
            </w:pPr>
          </w:p>
        </w:tc>
      </w:tr>
      <w:tr>
        <w:trPr>
          <w:trHeight w:val="175"/>
        </w:trPr>
        <w:tc>
          <w:tcPr>
            <w:tcW w:w="280" w:type="dxa"/>
            <w:vAlign w:val="bottom"/>
          </w:tcPr>
          <w:p>
            <w:pPr>
              <w:spacing w:after="0"/>
              <w:rPr>
                <w:sz w:val="15"/>
                <w:szCs w:val="15"/>
                <w:color w:val="auto"/>
              </w:rPr>
            </w:pPr>
          </w:p>
        </w:tc>
        <w:tc>
          <w:tcPr>
            <w:tcW w:w="3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occlusion ("RVO"), which includes macular</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tcPr>
          <w:p>
            <w:pPr>
              <w:spacing w:after="0"/>
              <w:rPr>
                <w:sz w:val="15"/>
                <w:szCs w:val="15"/>
                <w:color w:val="auto"/>
              </w:rPr>
            </w:pPr>
          </w:p>
        </w:tc>
      </w:tr>
      <w:tr>
        <w:trPr>
          <w:trHeight w:val="175"/>
        </w:trPr>
        <w:tc>
          <w:tcPr>
            <w:tcW w:w="280" w:type="dxa"/>
            <w:vAlign w:val="bottom"/>
          </w:tcPr>
          <w:p>
            <w:pPr>
              <w:spacing w:after="0"/>
              <w:rPr>
                <w:sz w:val="15"/>
                <w:szCs w:val="15"/>
                <w:color w:val="auto"/>
              </w:rPr>
            </w:pPr>
          </w:p>
        </w:tc>
        <w:tc>
          <w:tcPr>
            <w:tcW w:w="3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4"/>
              </w:rPr>
              <w:t>edema following central retinal vein occlusion</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tcPr>
          <w:p>
            <w:pPr>
              <w:spacing w:after="0"/>
              <w:rPr>
                <w:sz w:val="15"/>
                <w:szCs w:val="15"/>
                <w:color w:val="auto"/>
              </w:rPr>
            </w:pPr>
          </w:p>
        </w:tc>
      </w:tr>
      <w:tr>
        <w:trPr>
          <w:trHeight w:val="175"/>
        </w:trPr>
        <w:tc>
          <w:tcPr>
            <w:tcW w:w="280" w:type="dxa"/>
            <w:vAlign w:val="bottom"/>
          </w:tcPr>
          <w:p>
            <w:pPr>
              <w:spacing w:after="0"/>
              <w:rPr>
                <w:sz w:val="15"/>
                <w:szCs w:val="15"/>
                <w:color w:val="auto"/>
              </w:rPr>
            </w:pPr>
          </w:p>
        </w:tc>
        <w:tc>
          <w:tcPr>
            <w:tcW w:w="3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("CRVO") and macular edema following</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tcPr>
          <w:p>
            <w:pPr>
              <w:spacing w:after="0"/>
              <w:rPr>
                <w:sz w:val="15"/>
                <w:szCs w:val="15"/>
                <w:color w:val="auto"/>
              </w:rPr>
            </w:pPr>
          </w:p>
        </w:tc>
      </w:tr>
      <w:tr>
        <w:trPr>
          <w:trHeight w:val="230"/>
        </w:trPr>
        <w:tc>
          <w:tcPr>
            <w:tcW w:w="280" w:type="dxa"/>
            <w:vAlign w:val="bottom"/>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branch retinal vein occlusion ("BRVO")</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tcPr>
          <w:p>
            <w:pPr>
              <w:spacing w:after="0"/>
              <w:rPr>
                <w:sz w:val="19"/>
                <w:szCs w:val="19"/>
                <w:color w:val="auto"/>
              </w:rPr>
            </w:pPr>
          </w:p>
        </w:tc>
      </w:tr>
      <w:tr>
        <w:trPr>
          <w:trHeight w:val="175"/>
        </w:trPr>
        <w:tc>
          <w:tcPr>
            <w:tcW w:w="280" w:type="dxa"/>
            <w:vAlign w:val="bottom"/>
          </w:tcPr>
          <w:p>
            <w:pPr>
              <w:spacing w:after="0"/>
              <w:rPr>
                <w:sz w:val="15"/>
                <w:szCs w:val="15"/>
                <w:color w:val="auto"/>
              </w:rPr>
            </w:pPr>
          </w:p>
        </w:tc>
        <w:tc>
          <w:tcPr>
            <w:tcW w:w="3060" w:type="dxa"/>
            <w:vAlign w:val="bottom"/>
            <w:shd w:val="clear" w:color="auto" w:fill="CCEEFF"/>
          </w:tcPr>
          <w:p>
            <w:pPr>
              <w:spacing w:after="0"/>
              <w:rPr>
                <w:sz w:val="15"/>
                <w:szCs w:val="15"/>
                <w:color w:val="auto"/>
              </w:rPr>
            </w:pPr>
          </w:p>
        </w:tc>
        <w:tc>
          <w:tcPr>
            <w:tcW w:w="18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w:t>
            </w:r>
          </w:p>
        </w:tc>
        <w:tc>
          <w:tcPr>
            <w:tcW w:w="34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Myopic choroidal neovascularization</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99"/>
              </w:rPr>
              <w:t>a</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9"/>
              </w:rPr>
              <w:t>a</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a</w:t>
            </w:r>
          </w:p>
        </w:tc>
        <w:tc>
          <w:tcPr>
            <w:tcW w:w="260" w:type="dxa"/>
            <w:vAlign w:val="bottom"/>
          </w:tcPr>
          <w:p>
            <w:pPr>
              <w:spacing w:after="0"/>
              <w:rPr>
                <w:sz w:val="15"/>
                <w:szCs w:val="15"/>
                <w:color w:val="auto"/>
              </w:rPr>
            </w:pPr>
          </w:p>
        </w:tc>
      </w:tr>
      <w:tr>
        <w:trPr>
          <w:trHeight w:val="230"/>
        </w:trPr>
        <w:tc>
          <w:tcPr>
            <w:tcW w:w="280" w:type="dxa"/>
            <w:vAlign w:val="bottom"/>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("mCNV")</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tcPr>
          <w:p>
            <w:pPr>
              <w:spacing w:after="0"/>
              <w:rPr>
                <w:sz w:val="19"/>
                <w:szCs w:val="19"/>
                <w:color w:val="auto"/>
              </w:rPr>
            </w:pPr>
          </w:p>
        </w:tc>
      </w:tr>
      <w:tr>
        <w:trPr>
          <w:trHeight w:val="230"/>
        </w:trPr>
        <w:tc>
          <w:tcPr>
            <w:tcW w:w="280" w:type="dxa"/>
            <w:vAlign w:val="bottom"/>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Diabetic retinopathy</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tcPr>
          <w:p>
            <w:pPr>
              <w:spacing w:after="0"/>
              <w:rPr>
                <w:sz w:val="19"/>
                <w:szCs w:val="19"/>
                <w:color w:val="auto"/>
              </w:rPr>
            </w:pPr>
          </w:p>
        </w:tc>
      </w:tr>
      <w:tr>
        <w:trPr>
          <w:trHeight w:val="243"/>
        </w:trPr>
        <w:tc>
          <w:tcPr>
            <w:tcW w:w="280" w:type="dxa"/>
            <w:vAlign w:val="bottom"/>
          </w:tcPr>
          <w:p>
            <w:pPr>
              <w:spacing w:after="0"/>
              <w:rPr>
                <w:sz w:val="21"/>
                <w:szCs w:val="21"/>
                <w:color w:val="auto"/>
              </w:rPr>
            </w:pPr>
          </w:p>
        </w:tc>
        <w:tc>
          <w:tcPr>
            <w:tcW w:w="3060" w:type="dxa"/>
            <w:vAlign w:val="bottom"/>
            <w:shd w:val="clear" w:color="auto" w:fill="CCEEFF"/>
          </w:tcPr>
          <w:p>
            <w:pPr>
              <w:spacing w:after="0"/>
              <w:rPr>
                <w:sz w:val="21"/>
                <w:szCs w:val="21"/>
                <w:color w:val="auto"/>
              </w:rPr>
            </w:pP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Neovascular glaucoma ("NVG")</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a</w:t>
            </w:r>
          </w:p>
        </w:tc>
        <w:tc>
          <w:tcPr>
            <w:tcW w:w="900" w:type="dxa"/>
            <w:vAlign w:val="bottom"/>
            <w:shd w:val="clear" w:color="auto" w:fill="CCEEFF"/>
          </w:tcPr>
          <w:p>
            <w:pPr>
              <w:spacing w:after="0"/>
              <w:rPr>
                <w:sz w:val="21"/>
                <w:szCs w:val="21"/>
                <w:color w:val="auto"/>
              </w:rPr>
            </w:pPr>
          </w:p>
        </w:tc>
        <w:tc>
          <w:tcPr>
            <w:tcW w:w="260" w:type="dxa"/>
            <w:vAlign w:val="bottom"/>
          </w:tcPr>
          <w:p>
            <w:pPr>
              <w:spacing w:after="0"/>
              <w:rPr>
                <w:sz w:val="21"/>
                <w:szCs w:val="21"/>
                <w:color w:val="auto"/>
              </w:rPr>
            </w:pPr>
          </w:p>
        </w:tc>
      </w:tr>
      <w:tr>
        <w:trPr>
          <w:trHeight w:val="229"/>
        </w:trPr>
        <w:tc>
          <w:tcPr>
            <w:tcW w:w="280" w:type="dxa"/>
            <w:vAlign w:val="bottom"/>
          </w:tcPr>
          <w:p>
            <w:pPr>
              <w:spacing w:after="0"/>
              <w:rPr>
                <w:sz w:val="19"/>
                <w:szCs w:val="19"/>
                <w:color w:val="auto"/>
              </w:rPr>
            </w:pPr>
          </w:p>
        </w:tc>
        <w:tc>
          <w:tcPr>
            <w:tcW w:w="3060" w:type="dxa"/>
            <w:vAlign w:val="bottom"/>
          </w:tcPr>
          <w:p>
            <w:pPr>
              <w:spacing w:after="0" w:line="229" w:lineRule="exact"/>
              <w:rPr>
                <w:sz w:val="20"/>
                <w:szCs w:val="20"/>
                <w:color w:val="auto"/>
              </w:rPr>
            </w:pPr>
            <w:r>
              <w:rPr>
                <w:rFonts w:ascii="Arial" w:cs="Arial" w:eastAsia="Arial" w:hAnsi="Arial"/>
                <w:sz w:val="18"/>
                <w:szCs w:val="18"/>
                <w:color w:val="auto"/>
              </w:rPr>
              <w:t>Dupixent (dupilumab) Injection</w:t>
            </w:r>
            <w:r>
              <w:rPr>
                <w:rFonts w:ascii="Arial" w:cs="Arial" w:eastAsia="Arial" w:hAnsi="Arial"/>
                <w:sz w:val="23"/>
                <w:szCs w:val="23"/>
                <w:color w:val="auto"/>
                <w:vertAlign w:val="superscript"/>
              </w:rPr>
              <w:t>(2)</w:t>
            </w:r>
          </w:p>
        </w:tc>
        <w:tc>
          <w:tcPr>
            <w:tcW w:w="180" w:type="dxa"/>
            <w:vAlign w:val="bottom"/>
          </w:tcPr>
          <w:p>
            <w:pPr>
              <w:ind w:left="60"/>
              <w:spacing w:after="0"/>
              <w:rPr>
                <w:sz w:val="20"/>
                <w:szCs w:val="20"/>
                <w:color w:val="auto"/>
              </w:rPr>
            </w:pPr>
            <w:r>
              <w:rPr>
                <w:rFonts w:ascii="Arial" w:cs="Arial" w:eastAsia="Arial" w:hAnsi="Arial"/>
                <w:sz w:val="18"/>
                <w:szCs w:val="18"/>
                <w:color w:val="auto"/>
              </w:rPr>
              <w:t>-</w:t>
            </w:r>
          </w:p>
        </w:tc>
        <w:tc>
          <w:tcPr>
            <w:tcW w:w="3420" w:type="dxa"/>
            <w:vAlign w:val="bottom"/>
          </w:tcPr>
          <w:p>
            <w:pPr>
              <w:spacing w:after="0" w:line="229" w:lineRule="exact"/>
              <w:rPr>
                <w:sz w:val="20"/>
                <w:szCs w:val="20"/>
                <w:color w:val="auto"/>
              </w:rPr>
            </w:pPr>
            <w:r>
              <w:rPr>
                <w:rFonts w:ascii="Arial" w:cs="Arial" w:eastAsia="Arial" w:hAnsi="Arial"/>
                <w:sz w:val="18"/>
                <w:szCs w:val="18"/>
                <w:color w:val="auto"/>
                <w:w w:val="91"/>
              </w:rPr>
              <w:t>Atopic dermatitis (in adults and adolescents)</w:t>
            </w:r>
            <w:r>
              <w:rPr>
                <w:rFonts w:ascii="Arial" w:cs="Arial" w:eastAsia="Arial" w:hAnsi="Arial"/>
                <w:sz w:val="23"/>
                <w:szCs w:val="23"/>
                <w:color w:val="auto"/>
                <w:w w:val="91"/>
                <w:vertAlign w:val="superscript"/>
              </w:rPr>
              <w:t>(5)</w:t>
            </w:r>
          </w:p>
        </w:tc>
        <w:tc>
          <w:tcPr>
            <w:tcW w:w="1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100" w:type="dxa"/>
            <w:vAlign w:val="bottom"/>
          </w:tcPr>
          <w:p>
            <w:pPr>
              <w:spacing w:after="0"/>
              <w:rPr>
                <w:sz w:val="19"/>
                <w:szCs w:val="19"/>
                <w:color w:val="auto"/>
              </w:rPr>
            </w:pPr>
          </w:p>
        </w:tc>
        <w:tc>
          <w:tcPr>
            <w:tcW w:w="580" w:type="dxa"/>
            <w:vAlign w:val="bottom"/>
          </w:tcPr>
          <w:p>
            <w:pPr>
              <w:jc w:val="center"/>
              <w:ind w:left="230"/>
              <w:spacing w:after="0"/>
              <w:rPr>
                <w:sz w:val="20"/>
                <w:szCs w:val="20"/>
                <w:color w:val="auto"/>
              </w:rPr>
            </w:pPr>
            <w:r>
              <w:rPr>
                <w:rFonts w:ascii="Arial" w:cs="Arial" w:eastAsia="Arial" w:hAnsi="Arial"/>
                <w:sz w:val="18"/>
                <w:szCs w:val="18"/>
                <w:color w:val="auto"/>
                <w:w w:val="99"/>
              </w:rPr>
              <w:t>a</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a</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a</w:t>
            </w:r>
          </w:p>
        </w:tc>
      </w:tr>
      <w:tr>
        <w:trPr>
          <w:trHeight w:val="176"/>
        </w:trPr>
        <w:tc>
          <w:tcPr>
            <w:tcW w:w="28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3600" w:type="dxa"/>
            <w:vAlign w:val="bottom"/>
            <w:gridSpan w:val="2"/>
          </w:tcPr>
          <w:p>
            <w:pPr>
              <w:ind w:left="60"/>
              <w:spacing w:after="0" w:line="176" w:lineRule="exact"/>
              <w:rPr>
                <w:sz w:val="20"/>
                <w:szCs w:val="20"/>
                <w:color w:val="auto"/>
              </w:rPr>
            </w:pPr>
            <w:r>
              <w:rPr>
                <w:rFonts w:ascii="Arial" w:cs="Arial" w:eastAsia="Arial" w:hAnsi="Arial"/>
                <w:sz w:val="18"/>
                <w:szCs w:val="18"/>
                <w:color w:val="auto"/>
                <w:w w:val="96"/>
              </w:rPr>
              <w:t>- Atopic dermatitis (in pediatrics 6–11 years of</w:t>
            </w:r>
          </w:p>
        </w:tc>
        <w:tc>
          <w:tcPr>
            <w:tcW w:w="12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a</w:t>
            </w:r>
          </w:p>
        </w:tc>
        <w:tc>
          <w:tcPr>
            <w:tcW w:w="100" w:type="dxa"/>
            <w:vAlign w:val="bottom"/>
          </w:tcPr>
          <w:p>
            <w:pPr>
              <w:spacing w:after="0"/>
              <w:rPr>
                <w:sz w:val="15"/>
                <w:szCs w:val="15"/>
                <w:color w:val="auto"/>
              </w:rPr>
            </w:pPr>
          </w:p>
        </w:tc>
        <w:tc>
          <w:tcPr>
            <w:tcW w:w="580" w:type="dxa"/>
            <w:vAlign w:val="bottom"/>
          </w:tcPr>
          <w:p>
            <w:pPr>
              <w:jc w:val="center"/>
              <w:ind w:left="230"/>
              <w:spacing w:after="0" w:line="176" w:lineRule="exact"/>
              <w:rPr>
                <w:sz w:val="20"/>
                <w:szCs w:val="20"/>
                <w:color w:val="auto"/>
              </w:rPr>
            </w:pPr>
            <w:r>
              <w:rPr>
                <w:rFonts w:ascii="Arial" w:cs="Arial" w:eastAsia="Arial" w:hAnsi="Arial"/>
                <w:sz w:val="18"/>
                <w:szCs w:val="18"/>
                <w:color w:val="auto"/>
                <w:w w:val="99"/>
              </w:rPr>
              <w:t>a</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99"/>
              </w:rPr>
              <w:t>a</w:t>
            </w:r>
          </w:p>
        </w:tc>
      </w:tr>
      <w:tr>
        <w:trPr>
          <w:trHeight w:val="229"/>
        </w:trPr>
        <w:tc>
          <w:tcPr>
            <w:tcW w:w="2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age)</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30"/>
        </w:trPr>
        <w:tc>
          <w:tcPr>
            <w:tcW w:w="2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3600" w:type="dxa"/>
            <w:vAlign w:val="bottom"/>
            <w:gridSpan w:val="2"/>
          </w:tcPr>
          <w:p>
            <w:pPr>
              <w:ind w:left="60"/>
              <w:spacing w:after="0"/>
              <w:rPr>
                <w:sz w:val="20"/>
                <w:szCs w:val="20"/>
                <w:color w:val="auto"/>
              </w:rPr>
            </w:pPr>
            <w:r>
              <w:rPr>
                <w:rFonts w:ascii="Arial" w:cs="Arial" w:eastAsia="Arial" w:hAnsi="Arial"/>
                <w:sz w:val="18"/>
                <w:szCs w:val="18"/>
                <w:color w:val="auto"/>
              </w:rPr>
              <w:t>- Asthma (in adults and adolescents)</w:t>
            </w:r>
          </w:p>
        </w:tc>
        <w:tc>
          <w:tcPr>
            <w:tcW w:w="1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100" w:type="dxa"/>
            <w:vAlign w:val="bottom"/>
          </w:tcPr>
          <w:p>
            <w:pPr>
              <w:spacing w:after="0"/>
              <w:rPr>
                <w:sz w:val="19"/>
                <w:szCs w:val="19"/>
                <w:color w:val="auto"/>
              </w:rPr>
            </w:pPr>
          </w:p>
        </w:tc>
        <w:tc>
          <w:tcPr>
            <w:tcW w:w="580" w:type="dxa"/>
            <w:vAlign w:val="bottom"/>
          </w:tcPr>
          <w:p>
            <w:pPr>
              <w:jc w:val="center"/>
              <w:ind w:left="230"/>
              <w:spacing w:after="0"/>
              <w:rPr>
                <w:sz w:val="20"/>
                <w:szCs w:val="20"/>
                <w:color w:val="auto"/>
              </w:rPr>
            </w:pPr>
            <w:r>
              <w:rPr>
                <w:rFonts w:ascii="Arial" w:cs="Arial" w:eastAsia="Arial" w:hAnsi="Arial"/>
                <w:sz w:val="18"/>
                <w:szCs w:val="18"/>
                <w:color w:val="auto"/>
                <w:w w:val="99"/>
              </w:rPr>
              <w:t>a</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a</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a</w:t>
            </w:r>
          </w:p>
        </w:tc>
      </w:tr>
      <w:tr>
        <w:trPr>
          <w:trHeight w:val="176"/>
        </w:trPr>
        <w:tc>
          <w:tcPr>
            <w:tcW w:w="28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3600" w:type="dxa"/>
            <w:vAlign w:val="bottom"/>
            <w:gridSpan w:val="2"/>
          </w:tcPr>
          <w:p>
            <w:pPr>
              <w:ind w:left="60"/>
              <w:spacing w:after="0" w:line="176" w:lineRule="exact"/>
              <w:rPr>
                <w:sz w:val="20"/>
                <w:szCs w:val="20"/>
                <w:color w:val="auto"/>
              </w:rPr>
            </w:pPr>
            <w:r>
              <w:rPr>
                <w:rFonts w:ascii="Arial" w:cs="Arial" w:eastAsia="Arial" w:hAnsi="Arial"/>
                <w:sz w:val="18"/>
                <w:szCs w:val="18"/>
                <w:color w:val="auto"/>
              </w:rPr>
              <w:t>- Chronic rhinosinusitis with nasal polyposis</w:t>
            </w:r>
          </w:p>
        </w:tc>
        <w:tc>
          <w:tcPr>
            <w:tcW w:w="12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a</w:t>
            </w:r>
          </w:p>
        </w:tc>
        <w:tc>
          <w:tcPr>
            <w:tcW w:w="100" w:type="dxa"/>
            <w:vAlign w:val="bottom"/>
          </w:tcPr>
          <w:p>
            <w:pPr>
              <w:spacing w:after="0"/>
              <w:rPr>
                <w:sz w:val="15"/>
                <w:szCs w:val="15"/>
                <w:color w:val="auto"/>
              </w:rPr>
            </w:pPr>
          </w:p>
        </w:tc>
        <w:tc>
          <w:tcPr>
            <w:tcW w:w="580" w:type="dxa"/>
            <w:vAlign w:val="bottom"/>
          </w:tcPr>
          <w:p>
            <w:pPr>
              <w:jc w:val="center"/>
              <w:ind w:left="230"/>
              <w:spacing w:after="0" w:line="176" w:lineRule="exact"/>
              <w:rPr>
                <w:sz w:val="20"/>
                <w:szCs w:val="20"/>
                <w:color w:val="auto"/>
              </w:rPr>
            </w:pPr>
            <w:r>
              <w:rPr>
                <w:rFonts w:ascii="Arial" w:cs="Arial" w:eastAsia="Arial" w:hAnsi="Arial"/>
                <w:sz w:val="18"/>
                <w:szCs w:val="18"/>
                <w:color w:val="auto"/>
                <w:w w:val="99"/>
              </w:rPr>
              <w:t>a</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9"/>
              </w:rPr>
              <w:t>a</w:t>
            </w:r>
          </w:p>
        </w:tc>
        <w:tc>
          <w:tcPr>
            <w:tcW w:w="116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99"/>
              </w:rPr>
              <w:t>a</w:t>
            </w:r>
          </w:p>
        </w:tc>
      </w:tr>
      <w:tr>
        <w:trPr>
          <w:trHeight w:val="229"/>
        </w:trPr>
        <w:tc>
          <w:tcPr>
            <w:tcW w:w="2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("CRSwNP")</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175"/>
        </w:trPr>
        <w:tc>
          <w:tcPr>
            <w:tcW w:w="280" w:type="dxa"/>
            <w:vAlign w:val="bottom"/>
          </w:tcPr>
          <w:p>
            <w:pPr>
              <w:spacing w:after="0"/>
              <w:rPr>
                <w:sz w:val="15"/>
                <w:szCs w:val="15"/>
                <w:color w:val="auto"/>
              </w:rPr>
            </w:pPr>
          </w:p>
        </w:tc>
        <w:tc>
          <w:tcPr>
            <w:tcW w:w="306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Libtayo (cemiplimab) Injection</w:t>
            </w:r>
            <w:r>
              <w:rPr>
                <w:rFonts w:ascii="Arial" w:cs="Arial" w:eastAsia="Arial" w:hAnsi="Arial"/>
                <w:sz w:val="20"/>
                <w:szCs w:val="20"/>
                <w:color w:val="auto"/>
                <w:vertAlign w:val="superscript"/>
              </w:rPr>
              <w:t>(2)</w:t>
            </w:r>
          </w:p>
        </w:tc>
        <w:tc>
          <w:tcPr>
            <w:tcW w:w="3600" w:type="dxa"/>
            <w:vAlign w:val="bottom"/>
            <w:gridSpan w:val="2"/>
            <w:shd w:val="clear" w:color="auto" w:fill="CCEEFF"/>
          </w:tcPr>
          <w:p>
            <w:pPr>
              <w:ind w:left="60"/>
              <w:spacing w:after="0" w:line="176" w:lineRule="exact"/>
              <w:rPr>
                <w:sz w:val="20"/>
                <w:szCs w:val="20"/>
                <w:color w:val="auto"/>
              </w:rPr>
            </w:pPr>
            <w:r>
              <w:rPr>
                <w:rFonts w:ascii="Arial" w:cs="Arial" w:eastAsia="Arial" w:hAnsi="Arial"/>
                <w:sz w:val="18"/>
                <w:szCs w:val="18"/>
                <w:color w:val="auto"/>
              </w:rPr>
              <w:t>- Metastatic or locally advanced cutaneous</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a</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99"/>
              </w:rPr>
              <w:t>a</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a</w:t>
            </w:r>
          </w:p>
        </w:tc>
        <w:tc>
          <w:tcPr>
            <w:tcW w:w="260" w:type="dxa"/>
            <w:vAlign w:val="bottom"/>
          </w:tcPr>
          <w:p>
            <w:pPr>
              <w:spacing w:after="0"/>
              <w:rPr>
                <w:sz w:val="15"/>
                <w:szCs w:val="15"/>
                <w:color w:val="auto"/>
              </w:rPr>
            </w:pPr>
          </w:p>
        </w:tc>
      </w:tr>
      <w:tr>
        <w:trPr>
          <w:trHeight w:val="230"/>
        </w:trPr>
        <w:tc>
          <w:tcPr>
            <w:tcW w:w="280" w:type="dxa"/>
            <w:vAlign w:val="bottom"/>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squamous cell carcinoma ("CSCC")</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tcPr>
          <w:p>
            <w:pPr>
              <w:spacing w:after="0"/>
              <w:rPr>
                <w:sz w:val="19"/>
                <w:szCs w:val="19"/>
                <w:color w:val="auto"/>
              </w:rPr>
            </w:pPr>
          </w:p>
        </w:tc>
      </w:tr>
      <w:tr>
        <w:trPr>
          <w:trHeight w:val="891"/>
        </w:trPr>
        <w:tc>
          <w:tcPr>
            <w:tcW w:w="2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600" w:type="dxa"/>
            <w:vAlign w:val="bottom"/>
            <w:gridSpan w:val="2"/>
          </w:tcPr>
          <w:p>
            <w:pPr>
              <w:ind w:left="22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58"/>
        </w:trPr>
        <w:tc>
          <w:tcPr>
            <w:tcW w:w="28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Territory</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08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 xml:space="preserve">Product </w:t>
            </w:r>
            <w:r>
              <w:rPr>
                <w:rFonts w:ascii="Arial" w:cs="Arial" w:eastAsia="Arial" w:hAnsi="Arial"/>
                <w:sz w:val="18"/>
                <w:szCs w:val="18"/>
                <w:b w:val="1"/>
                <w:bCs w:val="1"/>
                <w:i w:val="1"/>
                <w:iCs w:val="1"/>
                <w:color w:val="auto"/>
              </w:rPr>
              <w:t>(continued)</w:t>
            </w:r>
          </w:p>
        </w:tc>
        <w:tc>
          <w:tcPr>
            <w:tcW w:w="1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3420" w:type="dxa"/>
            <w:vAlign w:val="bottom"/>
            <w:tcBorders>
              <w:bottom w:val="single" w:sz="8" w:color="auto"/>
            </w:tcBorders>
          </w:tcPr>
          <w:p>
            <w:pPr>
              <w:ind w:left="1200"/>
              <w:spacing w:after="0"/>
              <w:rPr>
                <w:sz w:val="20"/>
                <w:szCs w:val="20"/>
                <w:color w:val="auto"/>
              </w:rPr>
            </w:pPr>
            <w:r>
              <w:rPr>
                <w:rFonts w:ascii="Arial" w:cs="Arial" w:eastAsia="Arial" w:hAnsi="Arial"/>
                <w:sz w:val="18"/>
                <w:szCs w:val="18"/>
                <w:b w:val="1"/>
                <w:bCs w:val="1"/>
                <w:color w:val="auto"/>
              </w:rPr>
              <w:t>Disease Area</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U.S.</w:t>
            </w:r>
          </w:p>
        </w:tc>
        <w:tc>
          <w:tcPr>
            <w:tcW w:w="100" w:type="dxa"/>
            <w:vAlign w:val="bottom"/>
          </w:tcPr>
          <w:p>
            <w:pPr>
              <w:spacing w:after="0"/>
              <w:rPr>
                <w:sz w:val="20"/>
                <w:szCs w:val="20"/>
                <w:color w:val="auto"/>
              </w:rPr>
            </w:pPr>
          </w:p>
        </w:tc>
        <w:tc>
          <w:tcPr>
            <w:tcW w:w="58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rPr>
              <w:t>EU</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Japan</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center"/>
              <w:spacing w:after="0" w:line="236" w:lineRule="exact"/>
              <w:rPr>
                <w:sz w:val="20"/>
                <w:szCs w:val="20"/>
                <w:color w:val="auto"/>
              </w:rPr>
            </w:pPr>
            <w:r>
              <w:rPr>
                <w:rFonts w:ascii="Arial" w:cs="Arial" w:eastAsia="Arial" w:hAnsi="Arial"/>
                <w:sz w:val="18"/>
                <w:szCs w:val="18"/>
                <w:b w:val="1"/>
                <w:bCs w:val="1"/>
                <w:color w:val="auto"/>
                <w:w w:val="92"/>
              </w:rPr>
              <w:t>ROW</w:t>
            </w:r>
            <w:r>
              <w:rPr>
                <w:rFonts w:ascii="Arial" w:cs="Arial" w:eastAsia="Arial" w:hAnsi="Arial"/>
                <w:sz w:val="23"/>
                <w:szCs w:val="23"/>
                <w:b w:val="1"/>
                <w:bCs w:val="1"/>
                <w:color w:val="auto"/>
                <w:w w:val="92"/>
                <w:vertAlign w:val="superscript"/>
              </w:rPr>
              <w:t>(4)</w:t>
            </w:r>
          </w:p>
        </w:tc>
        <w:tc>
          <w:tcPr>
            <w:tcW w:w="0" w:type="dxa"/>
            <w:vAlign w:val="bottom"/>
          </w:tcPr>
          <w:p>
            <w:pPr>
              <w:spacing w:after="0"/>
              <w:rPr>
                <w:sz w:val="1"/>
                <w:szCs w:val="1"/>
                <w:color w:val="auto"/>
              </w:rPr>
            </w:pPr>
          </w:p>
        </w:tc>
      </w:tr>
      <w:tr>
        <w:trPr>
          <w:trHeight w:val="169"/>
        </w:trPr>
        <w:tc>
          <w:tcPr>
            <w:tcW w:w="3080" w:type="dxa"/>
            <w:vAlign w:val="bottom"/>
          </w:tcPr>
          <w:p>
            <w:pPr>
              <w:spacing w:after="0" w:line="169" w:lineRule="exact"/>
              <w:rPr>
                <w:sz w:val="20"/>
                <w:szCs w:val="20"/>
                <w:color w:val="auto"/>
              </w:rPr>
            </w:pPr>
            <w:r>
              <w:rPr>
                <w:rFonts w:ascii="Arial" w:cs="Arial" w:eastAsia="Arial" w:hAnsi="Arial"/>
                <w:sz w:val="15"/>
                <w:szCs w:val="15"/>
                <w:color w:val="auto"/>
              </w:rPr>
              <w:t>Praluent (alirocumab) Injection</w:t>
            </w:r>
            <w:r>
              <w:rPr>
                <w:rFonts w:ascii="Arial" w:cs="Arial" w:eastAsia="Arial" w:hAnsi="Arial"/>
                <w:sz w:val="19"/>
                <w:szCs w:val="19"/>
                <w:color w:val="auto"/>
                <w:vertAlign w:val="superscript"/>
              </w:rPr>
              <w:t>(3)</w:t>
            </w:r>
          </w:p>
        </w:tc>
        <w:tc>
          <w:tcPr>
            <w:tcW w:w="180" w:type="dxa"/>
            <w:vAlign w:val="bottom"/>
            <w:vMerge w:val="continue"/>
          </w:tcPr>
          <w:p>
            <w:pPr>
              <w:spacing w:after="0"/>
              <w:rPr>
                <w:sz w:val="14"/>
                <w:szCs w:val="14"/>
                <w:color w:val="auto"/>
              </w:rPr>
            </w:pPr>
          </w:p>
        </w:tc>
        <w:tc>
          <w:tcPr>
            <w:tcW w:w="3420" w:type="dxa"/>
            <w:vAlign w:val="bottom"/>
          </w:tcPr>
          <w:p>
            <w:pPr>
              <w:spacing w:after="0" w:line="169" w:lineRule="exact"/>
              <w:rPr>
                <w:sz w:val="20"/>
                <w:szCs w:val="20"/>
                <w:color w:val="auto"/>
              </w:rPr>
            </w:pPr>
            <w:r>
              <w:rPr>
                <w:rFonts w:ascii="Arial" w:cs="Arial" w:eastAsia="Arial" w:hAnsi="Arial"/>
                <w:sz w:val="18"/>
                <w:szCs w:val="18"/>
                <w:color w:val="auto"/>
              </w:rPr>
              <w:t>LDL-lowering in heterozygous familial</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line="169" w:lineRule="exact"/>
              <w:rPr>
                <w:sz w:val="20"/>
                <w:szCs w:val="20"/>
                <w:color w:val="auto"/>
              </w:rPr>
            </w:pPr>
            <w:r>
              <w:rPr>
                <w:rFonts w:ascii="Arial" w:cs="Arial" w:eastAsia="Arial" w:hAnsi="Arial"/>
                <w:sz w:val="18"/>
                <w:szCs w:val="18"/>
                <w:color w:val="auto"/>
                <w:w w:val="99"/>
              </w:rPr>
              <w:t>a</w:t>
            </w:r>
          </w:p>
        </w:tc>
        <w:tc>
          <w:tcPr>
            <w:tcW w:w="580" w:type="dxa"/>
            <w:vAlign w:val="bottom"/>
          </w:tcPr>
          <w:p>
            <w:pPr>
              <w:jc w:val="center"/>
              <w:ind w:left="230"/>
              <w:spacing w:after="0" w:line="169" w:lineRule="exact"/>
              <w:rPr>
                <w:sz w:val="20"/>
                <w:szCs w:val="20"/>
                <w:color w:val="auto"/>
              </w:rPr>
            </w:pPr>
            <w:r>
              <w:rPr>
                <w:rFonts w:ascii="Arial" w:cs="Arial" w:eastAsia="Arial" w:hAnsi="Arial"/>
                <w:sz w:val="18"/>
                <w:szCs w:val="18"/>
                <w:color w:val="auto"/>
                <w:w w:val="99"/>
              </w:rPr>
              <w:t>a</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87"/>
              </w:rPr>
              <w:t>(7)</w:t>
            </w:r>
          </w:p>
        </w:tc>
        <w:tc>
          <w:tcPr>
            <w:tcW w:w="100" w:type="dxa"/>
            <w:vAlign w:val="bottom"/>
          </w:tcPr>
          <w:p>
            <w:pPr>
              <w:spacing w:after="0"/>
              <w:rPr>
                <w:sz w:val="14"/>
                <w:szCs w:val="14"/>
                <w:color w:val="auto"/>
              </w:rPr>
            </w:pPr>
          </w:p>
        </w:tc>
        <w:tc>
          <w:tcPr>
            <w:tcW w:w="900" w:type="dxa"/>
            <w:vAlign w:val="bottom"/>
          </w:tcPr>
          <w:p>
            <w:pPr>
              <w:jc w:val="center"/>
              <w:spacing w:after="0" w:line="169" w:lineRule="exact"/>
              <w:rPr>
                <w:sz w:val="20"/>
                <w:szCs w:val="20"/>
                <w:color w:val="auto"/>
              </w:rPr>
            </w:pPr>
            <w:r>
              <w:rPr>
                <w:rFonts w:ascii="Arial" w:cs="Arial" w:eastAsia="Arial" w:hAnsi="Arial"/>
                <w:sz w:val="18"/>
                <w:szCs w:val="18"/>
                <w:color w:val="auto"/>
                <w:w w:val="99"/>
              </w:rPr>
              <w:t>a</w:t>
            </w:r>
          </w:p>
        </w:tc>
        <w:tc>
          <w:tcPr>
            <w:tcW w:w="0" w:type="dxa"/>
            <w:vAlign w:val="bottom"/>
          </w:tcPr>
          <w:p>
            <w:pPr>
              <w:spacing w:after="0"/>
              <w:rPr>
                <w:sz w:val="1"/>
                <w:szCs w:val="1"/>
                <w:color w:val="auto"/>
              </w:rPr>
            </w:pPr>
          </w:p>
        </w:tc>
      </w:tr>
      <w:tr>
        <w:trPr>
          <w:trHeight w:val="176"/>
        </w:trPr>
        <w:tc>
          <w:tcPr>
            <w:tcW w:w="3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20" w:type="dxa"/>
            <w:vAlign w:val="bottom"/>
            <w:gridSpan w:val="2"/>
          </w:tcPr>
          <w:p>
            <w:pPr>
              <w:spacing w:after="0" w:line="176" w:lineRule="exact"/>
              <w:rPr>
                <w:sz w:val="20"/>
                <w:szCs w:val="20"/>
                <w:color w:val="auto"/>
              </w:rPr>
            </w:pPr>
            <w:r>
              <w:rPr>
                <w:rFonts w:ascii="Arial" w:cs="Arial" w:eastAsia="Arial" w:hAnsi="Arial"/>
                <w:sz w:val="18"/>
                <w:szCs w:val="18"/>
                <w:color w:val="auto"/>
              </w:rPr>
              <w:t>hypercholesterolemia ("HeFH") or clinical</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20" w:type="dxa"/>
            <w:vAlign w:val="bottom"/>
            <w:gridSpan w:val="2"/>
          </w:tcPr>
          <w:p>
            <w:pPr>
              <w:spacing w:after="0" w:line="176" w:lineRule="exact"/>
              <w:rPr>
                <w:sz w:val="20"/>
                <w:szCs w:val="20"/>
                <w:color w:val="auto"/>
              </w:rPr>
            </w:pPr>
            <w:r>
              <w:rPr>
                <w:rFonts w:ascii="Arial" w:cs="Arial" w:eastAsia="Arial" w:hAnsi="Arial"/>
                <w:sz w:val="18"/>
                <w:szCs w:val="18"/>
                <w:color w:val="auto"/>
              </w:rPr>
              <w:t>atherosclerotic cardiovascular disease</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("ASCVD") (in adults)</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80" w:type="dxa"/>
            <w:vAlign w:val="bottom"/>
          </w:tcPr>
          <w:p>
            <w:pPr>
              <w:spacing w:after="0"/>
              <w:rPr>
                <w:sz w:val="15"/>
                <w:szCs w:val="15"/>
                <w:color w:val="auto"/>
              </w:rPr>
            </w:pPr>
          </w:p>
        </w:tc>
        <w:tc>
          <w:tcPr>
            <w:tcW w:w="3700" w:type="dxa"/>
            <w:vAlign w:val="bottom"/>
            <w:gridSpan w:val="3"/>
          </w:tcPr>
          <w:p>
            <w:pPr>
              <w:ind w:left="40"/>
              <w:spacing w:after="0" w:line="176" w:lineRule="exact"/>
              <w:rPr>
                <w:sz w:val="20"/>
                <w:szCs w:val="20"/>
                <w:color w:val="auto"/>
              </w:rPr>
            </w:pPr>
            <w:r>
              <w:rPr>
                <w:rFonts w:ascii="Arial" w:cs="Arial" w:eastAsia="Arial" w:hAnsi="Arial"/>
                <w:sz w:val="18"/>
                <w:szCs w:val="18"/>
                <w:color w:val="auto"/>
                <w:w w:val="99"/>
              </w:rPr>
              <w:t>- Cardiovascular risk reduction in patients with</w:t>
            </w:r>
          </w:p>
        </w:tc>
        <w:tc>
          <w:tcPr>
            <w:tcW w:w="10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9"/>
              </w:rPr>
              <w:t>a</w:t>
            </w:r>
          </w:p>
        </w:tc>
        <w:tc>
          <w:tcPr>
            <w:tcW w:w="580" w:type="dxa"/>
            <w:vAlign w:val="bottom"/>
          </w:tcPr>
          <w:p>
            <w:pPr>
              <w:jc w:val="center"/>
              <w:ind w:left="230"/>
              <w:spacing w:after="0" w:line="176" w:lineRule="exact"/>
              <w:rPr>
                <w:sz w:val="20"/>
                <w:szCs w:val="20"/>
                <w:color w:val="auto"/>
              </w:rPr>
            </w:pPr>
            <w:r>
              <w:rPr>
                <w:rFonts w:ascii="Arial" w:cs="Arial" w:eastAsia="Arial" w:hAnsi="Arial"/>
                <w:sz w:val="18"/>
                <w:szCs w:val="18"/>
                <w:color w:val="auto"/>
                <w:w w:val="99"/>
              </w:rPr>
              <w:t>a</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a</w:t>
            </w:r>
          </w:p>
        </w:tc>
        <w:tc>
          <w:tcPr>
            <w:tcW w:w="0" w:type="dxa"/>
            <w:vAlign w:val="bottom"/>
          </w:tcPr>
          <w:p>
            <w:pPr>
              <w:spacing w:after="0"/>
              <w:rPr>
                <w:sz w:val="1"/>
                <w:szCs w:val="1"/>
                <w:color w:val="auto"/>
              </w:rPr>
            </w:pPr>
          </w:p>
        </w:tc>
      </w:tr>
      <w:tr>
        <w:trPr>
          <w:trHeight w:val="229"/>
        </w:trPr>
        <w:tc>
          <w:tcPr>
            <w:tcW w:w="3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established cardiovascular disease</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Kevzara (sarilumab) Solution for</w:t>
            </w:r>
          </w:p>
        </w:tc>
        <w:tc>
          <w:tcPr>
            <w:tcW w:w="3700" w:type="dxa"/>
            <w:vAlign w:val="bottom"/>
            <w:gridSpan w:val="3"/>
            <w:shd w:val="clear" w:color="auto" w:fill="CCEEFF"/>
          </w:tcPr>
          <w:p>
            <w:pPr>
              <w:ind w:left="40"/>
              <w:spacing w:after="0" w:line="176" w:lineRule="exact"/>
              <w:rPr>
                <w:sz w:val="20"/>
                <w:szCs w:val="20"/>
                <w:color w:val="auto"/>
              </w:rPr>
            </w:pPr>
            <w:r>
              <w:rPr>
                <w:rFonts w:ascii="Arial" w:cs="Arial" w:eastAsia="Arial" w:hAnsi="Arial"/>
                <w:sz w:val="18"/>
                <w:szCs w:val="18"/>
                <w:color w:val="auto"/>
              </w:rPr>
              <w:t>- Rheumatoid arthritis ("RA") (in adults)</w:t>
            </w:r>
          </w:p>
        </w:tc>
        <w:tc>
          <w:tcPr>
            <w:tcW w:w="1000" w:type="dxa"/>
            <w:vAlign w:val="bottom"/>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9"/>
              </w:rPr>
              <w:t>a</w:t>
            </w:r>
          </w:p>
        </w:tc>
        <w:tc>
          <w:tcPr>
            <w:tcW w:w="580" w:type="dxa"/>
            <w:vAlign w:val="bottom"/>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99"/>
              </w:rPr>
              <w:t>a</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9"/>
              </w:rPr>
              <w:t>a</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a</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Subcutaneous Injection</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80" w:type="dxa"/>
            <w:vAlign w:val="bottom"/>
          </w:tcPr>
          <w:p>
            <w:pPr>
              <w:spacing w:after="0" w:line="176" w:lineRule="exact"/>
              <w:rPr>
                <w:sz w:val="20"/>
                <w:szCs w:val="20"/>
                <w:color w:val="auto"/>
              </w:rPr>
            </w:pPr>
            <w:r>
              <w:rPr>
                <w:rFonts w:ascii="Arial" w:cs="Arial" w:eastAsia="Arial" w:hAnsi="Arial"/>
                <w:sz w:val="18"/>
                <w:szCs w:val="18"/>
                <w:color w:val="auto"/>
              </w:rPr>
              <w:t>Inmazeb (atoltivimab, maftivimab, and</w:t>
            </w:r>
          </w:p>
        </w:tc>
        <w:tc>
          <w:tcPr>
            <w:tcW w:w="3700" w:type="dxa"/>
            <w:vAlign w:val="bottom"/>
            <w:gridSpan w:val="3"/>
          </w:tcPr>
          <w:p>
            <w:pPr>
              <w:ind w:left="40"/>
              <w:spacing w:after="0" w:line="176" w:lineRule="exact"/>
              <w:rPr>
                <w:sz w:val="20"/>
                <w:szCs w:val="20"/>
                <w:color w:val="auto"/>
              </w:rPr>
            </w:pPr>
            <w:r>
              <w:rPr>
                <w:rFonts w:ascii="Arial" w:cs="Arial" w:eastAsia="Arial" w:hAnsi="Arial"/>
                <w:sz w:val="18"/>
                <w:szCs w:val="18"/>
                <w:color w:val="auto"/>
              </w:rPr>
              <w:t xml:space="preserve">- Infection caused by </w:t>
            </w:r>
            <w:r>
              <w:rPr>
                <w:rFonts w:ascii="Arial" w:cs="Arial" w:eastAsia="Arial" w:hAnsi="Arial"/>
                <w:sz w:val="18"/>
                <w:szCs w:val="18"/>
                <w:i w:val="1"/>
                <w:iCs w:val="1"/>
                <w:color w:val="auto"/>
              </w:rPr>
              <w:t>Zaire ebolavirus</w:t>
            </w:r>
          </w:p>
        </w:tc>
        <w:tc>
          <w:tcPr>
            <w:tcW w:w="10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9"/>
              </w:rPr>
              <w:t>a</w:t>
            </w: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080" w:type="dxa"/>
            <w:vAlign w:val="bottom"/>
          </w:tcPr>
          <w:p>
            <w:pPr>
              <w:spacing w:after="0"/>
              <w:rPr>
                <w:sz w:val="20"/>
                <w:szCs w:val="20"/>
                <w:color w:val="auto"/>
              </w:rPr>
            </w:pPr>
            <w:r>
              <w:rPr>
                <w:rFonts w:ascii="Arial" w:cs="Arial" w:eastAsia="Arial" w:hAnsi="Arial"/>
                <w:sz w:val="18"/>
                <w:szCs w:val="18"/>
                <w:color w:val="auto"/>
              </w:rPr>
              <w:t>odesivimab-ebgn) Injection</w:t>
            </w:r>
          </w:p>
        </w:tc>
        <w:tc>
          <w:tcPr>
            <w:tcW w:w="1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ARCALYST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(rilonacept) Injection for</w:t>
            </w:r>
          </w:p>
        </w:tc>
        <w:tc>
          <w:tcPr>
            <w:tcW w:w="3700" w:type="dxa"/>
            <w:vAlign w:val="bottom"/>
            <w:gridSpan w:val="3"/>
            <w:shd w:val="clear" w:color="auto" w:fill="CCEEFF"/>
          </w:tcPr>
          <w:p>
            <w:pPr>
              <w:ind w:left="40"/>
              <w:spacing w:after="0" w:line="176" w:lineRule="exact"/>
              <w:rPr>
                <w:sz w:val="20"/>
                <w:szCs w:val="20"/>
                <w:color w:val="auto"/>
              </w:rPr>
            </w:pPr>
            <w:r>
              <w:rPr>
                <w:rFonts w:ascii="Arial" w:cs="Arial" w:eastAsia="Arial" w:hAnsi="Arial"/>
                <w:sz w:val="18"/>
                <w:szCs w:val="18"/>
                <w:color w:val="auto"/>
              </w:rPr>
              <w:t>- Cryopyrin-Associated Periodic Syndromes</w:t>
            </w:r>
          </w:p>
        </w:tc>
        <w:tc>
          <w:tcPr>
            <w:tcW w:w="1000" w:type="dxa"/>
            <w:vAlign w:val="bottom"/>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9"/>
              </w:rPr>
              <w:t>a</w:t>
            </w: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Subcutaneous Use</w:t>
            </w:r>
            <w:r>
              <w:rPr>
                <w:rFonts w:ascii="Arial" w:cs="Arial" w:eastAsia="Arial" w:hAnsi="Arial"/>
                <w:sz w:val="20"/>
                <w:szCs w:val="20"/>
                <w:color w:val="auto"/>
                <w:vertAlign w:val="superscript"/>
              </w:rPr>
              <w:t>(8)</w:t>
            </w:r>
          </w:p>
        </w:tc>
        <w:tc>
          <w:tcPr>
            <w:tcW w:w="180" w:type="dxa"/>
            <w:vAlign w:val="bottom"/>
            <w:shd w:val="clear" w:color="auto" w:fill="CCEEFF"/>
          </w:tcPr>
          <w:p>
            <w:pPr>
              <w:spacing w:after="0"/>
              <w:rPr>
                <w:sz w:val="15"/>
                <w:szCs w:val="15"/>
                <w:color w:val="auto"/>
              </w:rPr>
            </w:pPr>
          </w:p>
        </w:tc>
        <w:tc>
          <w:tcPr>
            <w:tcW w:w="35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("CAPS"), including Familial Cold Auto-</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5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inflammatory Syndrome ("FCAS") and</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Muckle-Wells Syndrome ("MWS")</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80" w:type="dxa"/>
            <w:vAlign w:val="bottom"/>
            <w:shd w:val="clear" w:color="auto" w:fill="CCEEFF"/>
          </w:tcPr>
          <w:p>
            <w:pPr>
              <w:spacing w:after="0"/>
              <w:rPr>
                <w:sz w:val="15"/>
                <w:szCs w:val="15"/>
                <w:color w:val="auto"/>
              </w:rPr>
            </w:pPr>
          </w:p>
        </w:tc>
        <w:tc>
          <w:tcPr>
            <w:tcW w:w="3700" w:type="dxa"/>
            <w:vAlign w:val="bottom"/>
            <w:gridSpan w:val="3"/>
            <w:shd w:val="clear" w:color="auto" w:fill="CCEEFF"/>
          </w:tcPr>
          <w:p>
            <w:pPr>
              <w:ind w:left="40"/>
              <w:spacing w:after="0" w:line="176" w:lineRule="exact"/>
              <w:rPr>
                <w:sz w:val="20"/>
                <w:szCs w:val="20"/>
                <w:color w:val="auto"/>
              </w:rPr>
            </w:pPr>
            <w:r>
              <w:rPr>
                <w:rFonts w:ascii="Arial" w:cs="Arial" w:eastAsia="Arial" w:hAnsi="Arial"/>
                <w:sz w:val="18"/>
                <w:szCs w:val="18"/>
                <w:color w:val="auto"/>
              </w:rPr>
              <w:t>- Deficiency of Interleukin-1 Receptor</w:t>
            </w:r>
          </w:p>
        </w:tc>
        <w:tc>
          <w:tcPr>
            <w:tcW w:w="1000" w:type="dxa"/>
            <w:vAlign w:val="bottom"/>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9"/>
              </w:rPr>
              <w:t>a</w:t>
            </w: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Antagonist ("DIRA") (in adults and pediatrics)</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80" w:type="dxa"/>
            <w:vAlign w:val="bottom"/>
          </w:tcPr>
          <w:p>
            <w:pPr>
              <w:spacing w:after="0" w:line="176" w:lineRule="exact"/>
              <w:rPr>
                <w:sz w:val="20"/>
                <w:szCs w:val="20"/>
                <w:color w:val="auto"/>
              </w:rPr>
            </w:pPr>
            <w:r>
              <w:rPr>
                <w:rFonts w:ascii="Arial" w:cs="Arial" w:eastAsia="Arial" w:hAnsi="Arial"/>
                <w:sz w:val="16"/>
                <w:szCs w:val="16"/>
                <w:color w:val="auto"/>
              </w:rPr>
              <w:t>ZALTRAP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(ziv-aflibercept) Injection for</w:t>
            </w:r>
          </w:p>
        </w:tc>
        <w:tc>
          <w:tcPr>
            <w:tcW w:w="3700" w:type="dxa"/>
            <w:vAlign w:val="bottom"/>
            <w:gridSpan w:val="3"/>
          </w:tcPr>
          <w:p>
            <w:pPr>
              <w:ind w:left="40"/>
              <w:spacing w:after="0" w:line="176" w:lineRule="exact"/>
              <w:rPr>
                <w:sz w:val="20"/>
                <w:szCs w:val="20"/>
                <w:color w:val="auto"/>
              </w:rPr>
            </w:pPr>
            <w:r>
              <w:rPr>
                <w:rFonts w:ascii="Arial" w:cs="Arial" w:eastAsia="Arial" w:hAnsi="Arial"/>
                <w:sz w:val="18"/>
                <w:szCs w:val="18"/>
                <w:color w:val="auto"/>
              </w:rPr>
              <w:t>- Metastatic colorectal cancer ("mCRC")</w:t>
            </w:r>
          </w:p>
        </w:tc>
        <w:tc>
          <w:tcPr>
            <w:tcW w:w="10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9"/>
              </w:rPr>
              <w:t>a</w:t>
            </w:r>
          </w:p>
        </w:tc>
        <w:tc>
          <w:tcPr>
            <w:tcW w:w="580" w:type="dxa"/>
            <w:vAlign w:val="bottom"/>
          </w:tcPr>
          <w:p>
            <w:pPr>
              <w:jc w:val="center"/>
              <w:ind w:left="230"/>
              <w:spacing w:after="0" w:line="176" w:lineRule="exact"/>
              <w:rPr>
                <w:sz w:val="20"/>
                <w:szCs w:val="20"/>
                <w:color w:val="auto"/>
              </w:rPr>
            </w:pPr>
            <w:r>
              <w:rPr>
                <w:rFonts w:ascii="Arial" w:cs="Arial" w:eastAsia="Arial" w:hAnsi="Arial"/>
                <w:sz w:val="18"/>
                <w:szCs w:val="18"/>
                <w:color w:val="auto"/>
                <w:w w:val="99"/>
              </w:rPr>
              <w:t>a</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9"/>
              </w:rPr>
              <w:t>a</w:t>
            </w: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a</w:t>
            </w:r>
          </w:p>
        </w:tc>
        <w:tc>
          <w:tcPr>
            <w:tcW w:w="0" w:type="dxa"/>
            <w:vAlign w:val="bottom"/>
          </w:tcPr>
          <w:p>
            <w:pPr>
              <w:spacing w:after="0"/>
              <w:rPr>
                <w:sz w:val="1"/>
                <w:szCs w:val="1"/>
                <w:color w:val="auto"/>
              </w:rPr>
            </w:pPr>
          </w:p>
        </w:tc>
      </w:tr>
      <w:tr>
        <w:trPr>
          <w:trHeight w:val="312"/>
        </w:trPr>
        <w:tc>
          <w:tcPr>
            <w:tcW w:w="3080" w:type="dxa"/>
            <w:vAlign w:val="bottom"/>
          </w:tcPr>
          <w:p>
            <w:pPr>
              <w:spacing w:after="0"/>
              <w:rPr>
                <w:sz w:val="20"/>
                <w:szCs w:val="20"/>
                <w:color w:val="auto"/>
              </w:rPr>
            </w:pPr>
            <w:r>
              <w:rPr>
                <w:rFonts w:ascii="Arial" w:cs="Arial" w:eastAsia="Arial" w:hAnsi="Arial"/>
                <w:sz w:val="18"/>
                <w:szCs w:val="18"/>
                <w:color w:val="auto"/>
              </w:rPr>
              <w:t>Intravenous Infusion</w:t>
            </w:r>
            <w:r>
              <w:rPr>
                <w:rFonts w:ascii="Arial" w:cs="Arial" w:eastAsia="Arial" w:hAnsi="Arial"/>
                <w:sz w:val="23"/>
                <w:szCs w:val="23"/>
                <w:color w:val="auto"/>
                <w:vertAlign w:val="superscript"/>
              </w:rPr>
              <w:t>(6)</w:t>
            </w:r>
          </w:p>
        </w:tc>
        <w:tc>
          <w:tcPr>
            <w:tcW w:w="1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500" w:right="700"/>
        <w:spacing w:after="0"/>
        <w:rPr>
          <w:sz w:val="20"/>
          <w:szCs w:val="20"/>
          <w:color w:val="auto"/>
        </w:rPr>
      </w:pPr>
      <w:r>
        <w:rPr>
          <w:rFonts w:ascii="Arial" w:cs="Arial" w:eastAsia="Arial" w:hAnsi="Arial"/>
          <w:sz w:val="16"/>
          <w:szCs w:val="16"/>
          <w:color w:val="auto"/>
        </w:rPr>
        <w:t>Note 1: Refer to "Net Product Sales of Regeneron-Discovered Products" section below for information regarding whether net product sales for a particular product are recorded by us, Bayer, or Sanofi</w:t>
      </w:r>
    </w:p>
    <w:p>
      <w:pPr>
        <w:spacing w:after="0" w:line="1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Note 2: Refer to product label in each territory for specific information</w:t>
      </w:r>
    </w:p>
    <w:p>
      <w:pPr>
        <w:spacing w:after="0" w:line="20" w:lineRule="exact"/>
        <w:rPr>
          <w:sz w:val="20"/>
          <w:szCs w:val="20"/>
          <w:color w:val="auto"/>
        </w:rPr>
      </w:pPr>
    </w:p>
    <w:p>
      <w:pPr>
        <w:ind w:left="660" w:hanging="155"/>
        <w:spacing w:after="0"/>
        <w:tabs>
          <w:tab w:leader="none" w:pos="660" w:val="left"/>
        </w:tabs>
        <w:numPr>
          <w:ilvl w:val="0"/>
          <w:numId w:val="4"/>
        </w:numPr>
        <w:rPr>
          <w:rFonts w:ascii="Arial" w:cs="Arial" w:eastAsia="Arial" w:hAnsi="Arial"/>
          <w:sz w:val="19"/>
          <w:szCs w:val="19"/>
          <w:color w:val="auto"/>
          <w:vertAlign w:val="superscript"/>
        </w:rPr>
      </w:pPr>
      <w:r>
        <w:rPr>
          <w:rFonts w:ascii="Arial" w:cs="Arial" w:eastAsia="Arial" w:hAnsi="Arial"/>
          <w:sz w:val="15"/>
          <w:szCs w:val="15"/>
          <w:color w:val="auto"/>
        </w:rPr>
        <w:t>In collaboration with Bayer (outside the United States)</w:t>
      </w:r>
    </w:p>
    <w:p>
      <w:pPr>
        <w:spacing w:after="0" w:line="23" w:lineRule="exact"/>
        <w:rPr>
          <w:rFonts w:ascii="Arial" w:cs="Arial" w:eastAsia="Arial" w:hAnsi="Arial"/>
          <w:sz w:val="19"/>
          <w:szCs w:val="19"/>
          <w:color w:val="auto"/>
          <w:vertAlign w:val="superscript"/>
        </w:rPr>
      </w:pPr>
    </w:p>
    <w:p>
      <w:pPr>
        <w:ind w:left="660" w:hanging="155"/>
        <w:spacing w:after="0" w:line="211" w:lineRule="auto"/>
        <w:tabs>
          <w:tab w:leader="none" w:pos="660" w:val="left"/>
        </w:tabs>
        <w:numPr>
          <w:ilvl w:val="0"/>
          <w:numId w:val="4"/>
        </w:numPr>
        <w:rPr>
          <w:rFonts w:ascii="Arial" w:cs="Arial" w:eastAsia="Arial" w:hAnsi="Arial"/>
          <w:sz w:val="19"/>
          <w:szCs w:val="19"/>
          <w:color w:val="auto"/>
          <w:vertAlign w:val="superscript"/>
        </w:rPr>
      </w:pPr>
      <w:r>
        <w:rPr>
          <w:rFonts w:ascii="Arial" w:cs="Arial" w:eastAsia="Arial" w:hAnsi="Arial"/>
          <w:sz w:val="15"/>
          <w:szCs w:val="15"/>
          <w:color w:val="auto"/>
        </w:rPr>
        <w:t>In collaboration with Sanofi</w:t>
      </w:r>
    </w:p>
    <w:p>
      <w:pPr>
        <w:spacing w:after="0" w:line="23" w:lineRule="exact"/>
        <w:rPr>
          <w:rFonts w:ascii="Arial" w:cs="Arial" w:eastAsia="Arial" w:hAnsi="Arial"/>
          <w:sz w:val="19"/>
          <w:szCs w:val="19"/>
          <w:color w:val="auto"/>
          <w:vertAlign w:val="superscript"/>
        </w:rPr>
      </w:pPr>
    </w:p>
    <w:p>
      <w:pPr>
        <w:ind w:left="500" w:right="480" w:firstLine="5"/>
        <w:spacing w:after="0" w:line="221" w:lineRule="auto"/>
        <w:tabs>
          <w:tab w:leader="none" w:pos="663" w:val="left"/>
        </w:tabs>
        <w:numPr>
          <w:ilvl w:val="0"/>
          <w:numId w:val="4"/>
        </w:numPr>
        <w:rPr>
          <w:rFonts w:ascii="Arial" w:cs="Arial" w:eastAsia="Arial" w:hAnsi="Arial"/>
          <w:sz w:val="19"/>
          <w:szCs w:val="19"/>
          <w:color w:val="auto"/>
          <w:vertAlign w:val="superscript"/>
        </w:rPr>
      </w:pPr>
      <w:r>
        <w:rPr>
          <w:rFonts w:ascii="Arial" w:cs="Arial" w:eastAsia="Arial" w:hAnsi="Arial"/>
          <w:sz w:val="15"/>
          <w:szCs w:val="15"/>
          <w:color w:val="auto"/>
        </w:rPr>
        <w:t>In collaboration with Sanofi prior to April 2020. Effective April 2020, the Company is solely responsible for the development and commercialization of Praluent in the United States, and Sanofi is solely responsible for the development and commercialization of Praluent outside of the United States. Pursuant to the April 2020 agreement, Sanofi pays us a royalty on net product sales of Praluent outside the United States. Refer to "Collaboration, License, and Other Agreements - Sanofi" section below for further details.</w:t>
      </w:r>
    </w:p>
    <w:p>
      <w:pPr>
        <w:spacing w:after="0" w:line="10" w:lineRule="exact"/>
        <w:rPr>
          <w:rFonts w:ascii="Arial" w:cs="Arial" w:eastAsia="Arial" w:hAnsi="Arial"/>
          <w:sz w:val="19"/>
          <w:szCs w:val="19"/>
          <w:color w:val="auto"/>
          <w:vertAlign w:val="superscript"/>
        </w:rPr>
      </w:pPr>
    </w:p>
    <w:p>
      <w:pPr>
        <w:ind w:left="500" w:right="720" w:firstLine="5"/>
        <w:spacing w:after="0" w:line="226" w:lineRule="auto"/>
        <w:tabs>
          <w:tab w:leader="none" w:pos="663" w:val="left"/>
        </w:tabs>
        <w:numPr>
          <w:ilvl w:val="0"/>
          <w:numId w:val="4"/>
        </w:numPr>
        <w:rPr>
          <w:rFonts w:ascii="Arial" w:cs="Arial" w:eastAsia="Arial" w:hAnsi="Arial"/>
          <w:sz w:val="19"/>
          <w:szCs w:val="19"/>
          <w:color w:val="auto"/>
          <w:vertAlign w:val="superscript"/>
        </w:rPr>
      </w:pPr>
      <w:r>
        <w:rPr>
          <w:rFonts w:ascii="Arial" w:cs="Arial" w:eastAsia="Arial" w:hAnsi="Arial"/>
          <w:sz w:val="15"/>
          <w:szCs w:val="15"/>
          <w:color w:val="auto"/>
        </w:rPr>
        <w:t>Rest of world. Checkmark in this column indicates that the product has received marketing approval in at least one country outside of the United States, European Union ("EU"), or Japan.</w:t>
      </w:r>
    </w:p>
    <w:p>
      <w:pPr>
        <w:ind w:left="660" w:hanging="155"/>
        <w:spacing w:after="0" w:line="237" w:lineRule="auto"/>
        <w:tabs>
          <w:tab w:leader="none" w:pos="660" w:val="left"/>
        </w:tabs>
        <w:numPr>
          <w:ilvl w:val="0"/>
          <w:numId w:val="4"/>
        </w:numPr>
        <w:rPr>
          <w:rFonts w:ascii="Arial" w:cs="Arial" w:eastAsia="Arial" w:hAnsi="Arial"/>
          <w:sz w:val="19"/>
          <w:szCs w:val="19"/>
          <w:color w:val="auto"/>
          <w:vertAlign w:val="superscript"/>
        </w:rPr>
      </w:pPr>
      <w:r>
        <w:rPr>
          <w:rFonts w:ascii="Arial" w:cs="Arial" w:eastAsia="Arial" w:hAnsi="Arial"/>
          <w:sz w:val="15"/>
          <w:szCs w:val="15"/>
          <w:color w:val="auto"/>
        </w:rPr>
        <w:t>Approval in Japan is for adults and adolescents 15 years of age and older</w:t>
      </w:r>
    </w:p>
    <w:p>
      <w:pPr>
        <w:spacing w:after="0" w:line="23" w:lineRule="exact"/>
        <w:rPr>
          <w:rFonts w:ascii="Arial" w:cs="Arial" w:eastAsia="Arial" w:hAnsi="Arial"/>
          <w:sz w:val="19"/>
          <w:szCs w:val="19"/>
          <w:color w:val="auto"/>
          <w:vertAlign w:val="superscript"/>
        </w:rPr>
      </w:pPr>
    </w:p>
    <w:p>
      <w:pPr>
        <w:ind w:left="500" w:right="500" w:firstLine="5"/>
        <w:spacing w:after="0" w:line="217" w:lineRule="auto"/>
        <w:tabs>
          <w:tab w:leader="none" w:pos="663" w:val="left"/>
        </w:tabs>
        <w:numPr>
          <w:ilvl w:val="0"/>
          <w:numId w:val="4"/>
        </w:numPr>
        <w:rPr>
          <w:rFonts w:ascii="Arial" w:cs="Arial" w:eastAsia="Arial" w:hAnsi="Arial"/>
          <w:sz w:val="19"/>
          <w:szCs w:val="19"/>
          <w:color w:val="auto"/>
          <w:vertAlign w:val="superscript"/>
        </w:rPr>
      </w:pPr>
      <w:r>
        <w:rPr>
          <w:rFonts w:ascii="Arial" w:cs="Arial" w:eastAsia="Arial" w:hAnsi="Arial"/>
          <w:sz w:val="15"/>
          <w:szCs w:val="15"/>
          <w:color w:val="auto"/>
        </w:rPr>
        <w:t>Pursuant to a 2015 amended and restated ZALTRAP agreement, Sanofi is solely responsible for the development and commercialization of ZALTRAP, and Sanofi pays us a percentage of aggregate net product sales of ZALTRAP</w:t>
      </w:r>
    </w:p>
    <w:p>
      <w:pPr>
        <w:ind w:left="660" w:hanging="155"/>
        <w:spacing w:after="0" w:line="237" w:lineRule="auto"/>
        <w:tabs>
          <w:tab w:leader="none" w:pos="660" w:val="left"/>
        </w:tabs>
        <w:numPr>
          <w:ilvl w:val="0"/>
          <w:numId w:val="4"/>
        </w:numPr>
        <w:rPr>
          <w:rFonts w:ascii="Arial" w:cs="Arial" w:eastAsia="Arial" w:hAnsi="Arial"/>
          <w:sz w:val="19"/>
          <w:szCs w:val="19"/>
          <w:color w:val="auto"/>
          <w:vertAlign w:val="superscript"/>
        </w:rPr>
      </w:pPr>
      <w:r>
        <w:rPr>
          <w:rFonts w:ascii="Arial" w:cs="Arial" w:eastAsia="Arial" w:hAnsi="Arial"/>
          <w:sz w:val="15"/>
          <w:szCs w:val="15"/>
          <w:color w:val="auto"/>
        </w:rPr>
        <w:t>No longer marketed by Sanofi in Japan due to injunction (see Note 15 to our Consolidated Financial Statements for further details)</w:t>
      </w:r>
    </w:p>
    <w:p>
      <w:pPr>
        <w:spacing w:after="0" w:line="23" w:lineRule="exact"/>
        <w:rPr>
          <w:rFonts w:ascii="Arial" w:cs="Arial" w:eastAsia="Arial" w:hAnsi="Arial"/>
          <w:sz w:val="19"/>
          <w:szCs w:val="19"/>
          <w:color w:val="auto"/>
          <w:vertAlign w:val="superscript"/>
        </w:rPr>
      </w:pPr>
    </w:p>
    <w:p>
      <w:pPr>
        <w:ind w:left="500" w:right="320" w:firstLine="5"/>
        <w:spacing w:after="0" w:line="222" w:lineRule="auto"/>
        <w:tabs>
          <w:tab w:leader="none" w:pos="663" w:val="left"/>
        </w:tabs>
        <w:numPr>
          <w:ilvl w:val="0"/>
          <w:numId w:val="4"/>
        </w:numPr>
        <w:rPr>
          <w:rFonts w:ascii="Arial" w:cs="Arial" w:eastAsia="Arial" w:hAnsi="Arial"/>
          <w:sz w:val="19"/>
          <w:szCs w:val="19"/>
          <w:color w:val="auto"/>
          <w:vertAlign w:val="superscript"/>
        </w:rPr>
      </w:pPr>
      <w:r>
        <w:rPr>
          <w:rFonts w:ascii="Arial" w:cs="Arial" w:eastAsia="Arial" w:hAnsi="Arial"/>
          <w:sz w:val="15"/>
          <w:szCs w:val="15"/>
          <w:color w:val="auto"/>
        </w:rPr>
        <w:t>Pursuant to a 2017 license agreement with Kiniksa Pharmaceuticals, Ltd., we granted Kiniksa the right to develop and commercialize certain new indications for ARCALYST. We currently maintain exclusive rights to ARCALYST in the United States for existing indications. Commencing with the receipt of marketing approval by Kiniksa for the first new indication of ARCALYST in the United States, we will grant U.S. commercial rights to ARCALYST for all approved indications and Kiniksa will pay us a share of ARCALYST profits. Refer to "Collaboration, License, and Other Agreements - Kiniksa" section below for further details.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Information - Product Updates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Inmazeb</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Inmazeb is a cocktail of three fully-human monoclonal antibodies that each bind to the Ebola virus at different points, which may serve to increase efficacy, reduce the development of viral sequences that lead to resistance, and potentially enable utility in future outbreaks as viruses continue to evolve. In October 2020, the U.S. Food and Drug Administration ("FDA") approved Inmazeb for the treatment of infection caused by </w:t>
      </w:r>
      <w:r>
        <w:rPr>
          <w:rFonts w:ascii="Arial" w:cs="Arial" w:eastAsia="Arial" w:hAnsi="Arial"/>
          <w:sz w:val="18"/>
          <w:szCs w:val="18"/>
          <w:i w:val="1"/>
          <w:iCs w:val="1"/>
          <w:color w:val="auto"/>
        </w:rPr>
        <w:t>Zaire ebolavirus</w:t>
      </w:r>
      <w:r>
        <w:rPr>
          <w:rFonts w:ascii="Arial" w:cs="Arial" w:eastAsia="Arial" w:hAnsi="Arial"/>
          <w:sz w:val="18"/>
          <w:szCs w:val="18"/>
          <w:color w:val="auto"/>
        </w:rPr>
        <w:t xml:space="preserve"> in adult and pediatric patients, including newborns of mothers who have tested positive for the infection. In connection with this approval, we were also granted a material threat medical countermeasure priority review voucher by the FDA.</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REGEN-COV - Emergency Use Authorization</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November 2020, REGEN-COV (antibody cocktail casirivimab and imdevimab administered together) received Emergency Use Authorization ("EUA") from the FDA for the treatment of mild to moderate COVID-19 in adults, as well as in pediatric patients at least 12 years of age and weighing at least 40 kg, who have received positive results of direct SARS-CoV-2 viral testing and are</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at high risk for progressing to severe COVID-19 and/or hospitalization. The EUA is temporary and does not replace a formal Biologics License Application ("BLA") submission review and approval process. This use is authorized only for the duration of the declaration that circumstances exist justifying the authorization of the emergency use, unless terminated or revoked sooner. See information regarding ongoing clinical trials of REGEN-COV below.</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Product Sales of Regeneron-Discovered Products</w:t>
      </w:r>
    </w:p>
    <w:p>
      <w:pPr>
        <w:spacing w:after="0" w:line="200" w:lineRule="exact"/>
        <w:rPr>
          <w:sz w:val="20"/>
          <w:szCs w:val="20"/>
          <w:color w:val="auto"/>
        </w:rPr>
      </w:pP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Net Product</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gridSpan w:val="8"/>
          </w:tcPr>
          <w:p>
            <w:pPr>
              <w:jc w:val="center"/>
              <w:ind w:right="240"/>
              <w:spacing w:after="0"/>
              <w:rPr>
                <w:sz w:val="20"/>
                <w:szCs w:val="20"/>
                <w:color w:val="auto"/>
              </w:rPr>
            </w:pPr>
            <w:r>
              <w:rPr>
                <w:rFonts w:ascii="Arial" w:cs="Arial" w:eastAsia="Arial" w:hAnsi="Arial"/>
                <w:sz w:val="18"/>
                <w:szCs w:val="18"/>
                <w:b w:val="1"/>
                <w:bCs w:val="1"/>
                <w:color w:val="auto"/>
                <w:w w:val="90"/>
              </w:rPr>
              <w:t>Year Ended December 31,</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1280" w:type="dxa"/>
            <w:vAlign w:val="bottom"/>
            <w:gridSpan w:val="2"/>
            <w:vMerge w:val="restart"/>
          </w:tcPr>
          <w:p>
            <w:pPr>
              <w:jc w:val="center"/>
              <w:ind w:right="100"/>
              <w:spacing w:after="0" w:line="162" w:lineRule="exact"/>
              <w:rPr>
                <w:sz w:val="20"/>
                <w:szCs w:val="20"/>
                <w:color w:val="auto"/>
              </w:rPr>
            </w:pPr>
            <w:r>
              <w:rPr>
                <w:rFonts w:ascii="Arial" w:cs="Arial" w:eastAsia="Arial" w:hAnsi="Arial"/>
                <w:sz w:val="18"/>
                <w:szCs w:val="18"/>
                <w:b w:val="1"/>
                <w:bCs w:val="1"/>
                <w:color w:val="auto"/>
                <w:w w:val="80"/>
              </w:rPr>
              <w:t>Sales</w:t>
            </w: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150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7"/>
                <w:szCs w:val="17"/>
                <w:b w:val="1"/>
                <w:bCs w:val="1"/>
                <w:color w:val="auto"/>
                <w:w w:val="95"/>
              </w:rPr>
              <w:t>Recorded by</w:t>
            </w: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5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Regeneron</w:t>
            </w:r>
          </w:p>
        </w:tc>
        <w:tc>
          <w:tcPr>
            <w:tcW w:w="160" w:type="dxa"/>
            <w:vAlign w:val="bottom"/>
          </w:tcPr>
          <w:p>
            <w:pPr>
              <w:spacing w:after="0"/>
              <w:rPr>
                <w:sz w:val="20"/>
                <w:szCs w:val="20"/>
                <w:color w:val="auto"/>
              </w:rPr>
            </w:pPr>
          </w:p>
        </w:tc>
        <w:tc>
          <w:tcPr>
            <w:tcW w:w="780" w:type="dxa"/>
            <w:vAlign w:val="bottom"/>
            <w:gridSpan w:val="2"/>
          </w:tcPr>
          <w:p>
            <w:pPr>
              <w:ind w:left="100"/>
              <w:spacing w:after="0"/>
              <w:rPr>
                <w:sz w:val="20"/>
                <w:szCs w:val="20"/>
                <w:color w:val="auto"/>
              </w:rPr>
            </w:pPr>
            <w:r>
              <w:rPr>
                <w:rFonts w:ascii="Arial" w:cs="Arial" w:eastAsia="Arial" w:hAnsi="Arial"/>
                <w:sz w:val="18"/>
                <w:szCs w:val="18"/>
                <w:b w:val="1"/>
                <w:bCs w:val="1"/>
                <w:color w:val="auto"/>
              </w:rPr>
              <w:t>U.S.</w:t>
            </w:r>
          </w:p>
        </w:tc>
        <w:tc>
          <w:tcPr>
            <w:tcW w:w="140" w:type="dxa"/>
            <w:vAlign w:val="bottom"/>
          </w:tcPr>
          <w:p>
            <w:pPr>
              <w:spacing w:after="0"/>
              <w:rPr>
                <w:sz w:val="20"/>
                <w:szCs w:val="20"/>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b w:val="1"/>
                <w:bCs w:val="1"/>
                <w:color w:val="auto"/>
              </w:rPr>
              <w:t>ROW</w:t>
            </w:r>
          </w:p>
        </w:tc>
        <w:tc>
          <w:tcPr>
            <w:tcW w:w="160" w:type="dxa"/>
            <w:vAlign w:val="bottom"/>
          </w:tcPr>
          <w:p>
            <w:pPr>
              <w:spacing w:after="0"/>
              <w:rPr>
                <w:sz w:val="20"/>
                <w:szCs w:val="20"/>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780" w:type="dxa"/>
            <w:vAlign w:val="bottom"/>
            <w:gridSpan w:val="2"/>
          </w:tcPr>
          <w:p>
            <w:pPr>
              <w:ind w:left="100"/>
              <w:spacing w:after="0"/>
              <w:rPr>
                <w:sz w:val="20"/>
                <w:szCs w:val="20"/>
                <w:color w:val="auto"/>
              </w:rPr>
            </w:pPr>
            <w:r>
              <w:rPr>
                <w:rFonts w:ascii="Arial" w:cs="Arial" w:eastAsia="Arial" w:hAnsi="Arial"/>
                <w:sz w:val="18"/>
                <w:szCs w:val="18"/>
                <w:b w:val="1"/>
                <w:bCs w:val="1"/>
                <w:color w:val="auto"/>
              </w:rPr>
              <w:t>U.S.</w:t>
            </w:r>
          </w:p>
        </w:tc>
        <w:tc>
          <w:tcPr>
            <w:tcW w:w="160" w:type="dxa"/>
            <w:vAlign w:val="bottom"/>
          </w:tcPr>
          <w:p>
            <w:pPr>
              <w:spacing w:after="0"/>
              <w:rPr>
                <w:sz w:val="20"/>
                <w:szCs w:val="20"/>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ROW</w:t>
            </w:r>
          </w:p>
        </w:tc>
        <w:tc>
          <w:tcPr>
            <w:tcW w:w="180" w:type="dxa"/>
            <w:vAlign w:val="bottom"/>
          </w:tcPr>
          <w:p>
            <w:pPr>
              <w:spacing w:after="0"/>
              <w:rPr>
                <w:sz w:val="20"/>
                <w:szCs w:val="20"/>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780" w:type="dxa"/>
            <w:vAlign w:val="bottom"/>
            <w:gridSpan w:val="2"/>
          </w:tcPr>
          <w:p>
            <w:pPr>
              <w:ind w:left="100"/>
              <w:spacing w:after="0"/>
              <w:rPr>
                <w:sz w:val="20"/>
                <w:szCs w:val="20"/>
                <w:color w:val="auto"/>
              </w:rPr>
            </w:pPr>
            <w:r>
              <w:rPr>
                <w:rFonts w:ascii="Arial" w:cs="Arial" w:eastAsia="Arial" w:hAnsi="Arial"/>
                <w:sz w:val="18"/>
                <w:szCs w:val="18"/>
                <w:b w:val="1"/>
                <w:bCs w:val="1"/>
                <w:color w:val="auto"/>
              </w:rPr>
              <w:t>U.S.</w:t>
            </w:r>
          </w:p>
        </w:tc>
        <w:tc>
          <w:tcPr>
            <w:tcW w:w="140" w:type="dxa"/>
            <w:vAlign w:val="bottom"/>
          </w:tcPr>
          <w:p>
            <w:pPr>
              <w:spacing w:after="0"/>
              <w:rPr>
                <w:sz w:val="20"/>
                <w:szCs w:val="20"/>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b w:val="1"/>
                <w:bCs w:val="1"/>
                <w:color w:val="auto"/>
              </w:rPr>
              <w:t>ROW</w:t>
            </w:r>
          </w:p>
        </w:tc>
        <w:tc>
          <w:tcPr>
            <w:tcW w:w="16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150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EYLEA</w:t>
            </w:r>
            <w:r>
              <w:rPr>
                <w:rFonts w:ascii="Arial" w:cs="Arial" w:eastAsia="Arial" w:hAnsi="Arial"/>
                <w:sz w:val="23"/>
                <w:szCs w:val="23"/>
                <w:color w:val="auto"/>
                <w:vertAlign w:val="superscript"/>
              </w:rPr>
              <w:t>(a)</w:t>
            </w: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U.S.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4,947.2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2,961.5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7,908.7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4,644.2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2,897.4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7,541.6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4,076.7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2,668.9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6,745.6</w:t>
            </w:r>
          </w:p>
        </w:tc>
        <w:tc>
          <w:tcPr>
            <w:tcW w:w="0" w:type="dxa"/>
            <w:vAlign w:val="bottom"/>
          </w:tcPr>
          <w:p>
            <w:pPr>
              <w:spacing w:after="0"/>
              <w:rPr>
                <w:sz w:val="1"/>
                <w:szCs w:val="1"/>
                <w:color w:val="auto"/>
              </w:rPr>
            </w:pPr>
          </w:p>
        </w:tc>
      </w:tr>
      <w:tr>
        <w:trPr>
          <w:trHeight w:val="229"/>
        </w:trPr>
        <w:tc>
          <w:tcPr>
            <w:tcW w:w="1500" w:type="dxa"/>
            <w:vAlign w:val="bottom"/>
          </w:tcPr>
          <w:p>
            <w:pPr>
              <w:ind w:left="20"/>
              <w:spacing w:after="0"/>
              <w:rPr>
                <w:sz w:val="20"/>
                <w:szCs w:val="20"/>
                <w:color w:val="auto"/>
              </w:rPr>
            </w:pPr>
            <w:r>
              <w:rPr>
                <w:rFonts w:ascii="Arial" w:cs="Arial" w:eastAsia="Arial" w:hAnsi="Arial"/>
                <w:sz w:val="18"/>
                <w:szCs w:val="18"/>
                <w:color w:val="auto"/>
              </w:rPr>
              <w:t>Dupixent</w:t>
            </w:r>
          </w:p>
        </w:tc>
        <w:tc>
          <w:tcPr>
            <w:tcW w:w="128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(b)</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6"/>
              </w:rPr>
              <w:t>3,226.2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818.6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6"/>
              </w:rPr>
              <w:t>4,044.8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6"/>
              </w:rPr>
              <w:t>1,871.2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444.4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6"/>
              </w:rPr>
              <w:t>2,315.6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776.3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922.0</w:t>
            </w: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Libtayo</w:t>
            </w:r>
            <w:r>
              <w:rPr>
                <w:rFonts w:ascii="Arial" w:cs="Arial" w:eastAsia="Arial" w:hAnsi="Arial"/>
                <w:sz w:val="23"/>
                <w:szCs w:val="23"/>
                <w:color w:val="auto"/>
                <w:vertAlign w:val="superscript"/>
              </w:rPr>
              <w:t>(b)</w:t>
            </w:r>
          </w:p>
        </w:tc>
        <w:tc>
          <w:tcPr>
            <w:tcW w:w="12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U.S.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30"/>
        </w:trPr>
        <w:tc>
          <w:tcPr>
            <w:tcW w:w="1500" w:type="dxa"/>
            <w:vAlign w:val="bottom"/>
          </w:tcPr>
          <w:p>
            <w:pPr>
              <w:ind w:left="20"/>
              <w:spacing w:after="0" w:line="230" w:lineRule="exact"/>
              <w:rPr>
                <w:sz w:val="20"/>
                <w:szCs w:val="20"/>
                <w:color w:val="auto"/>
              </w:rPr>
            </w:pPr>
            <w:r>
              <w:rPr>
                <w:rFonts w:ascii="Arial" w:cs="Arial" w:eastAsia="Arial" w:hAnsi="Arial"/>
                <w:sz w:val="18"/>
                <w:szCs w:val="18"/>
                <w:color w:val="auto"/>
              </w:rPr>
              <w:t>Praluent</w:t>
            </w:r>
            <w:r>
              <w:rPr>
                <w:rFonts w:ascii="Arial" w:cs="Arial" w:eastAsia="Arial" w:hAnsi="Arial"/>
                <w:sz w:val="23"/>
                <w:szCs w:val="23"/>
                <w:color w:val="auto"/>
                <w:vertAlign w:val="superscript"/>
              </w:rPr>
              <w:t>(c)</w:t>
            </w:r>
          </w:p>
        </w:tc>
        <w:tc>
          <w:tcPr>
            <w:tcW w:w="128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U.S.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186.0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172.8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358.8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288.7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181.3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125.5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306.8</w:t>
            </w: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Kevzara</w:t>
            </w:r>
          </w:p>
        </w:tc>
        <w:tc>
          <w:tcPr>
            <w:tcW w:w="12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3"/>
              </w:rPr>
              <w:t>(b)</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29"/>
        </w:trPr>
        <w:tc>
          <w:tcPr>
            <w:tcW w:w="1500" w:type="dxa"/>
            <w:vAlign w:val="bottom"/>
          </w:tcPr>
          <w:p>
            <w:pPr>
              <w:ind w:left="20"/>
              <w:spacing w:after="0" w:line="230" w:lineRule="exact"/>
              <w:rPr>
                <w:sz w:val="20"/>
                <w:szCs w:val="20"/>
                <w:color w:val="auto"/>
              </w:rPr>
            </w:pPr>
            <w:r>
              <w:rPr>
                <w:rFonts w:ascii="Arial" w:cs="Arial" w:eastAsia="Arial" w:hAnsi="Arial"/>
                <w:sz w:val="18"/>
                <w:szCs w:val="18"/>
                <w:color w:val="auto"/>
              </w:rPr>
              <w:t>REGEN-COV</w:t>
            </w:r>
            <w:r>
              <w:rPr>
                <w:rFonts w:ascii="Arial" w:cs="Arial" w:eastAsia="Arial" w:hAnsi="Arial"/>
                <w:sz w:val="23"/>
                <w:szCs w:val="23"/>
                <w:color w:val="auto"/>
                <w:vertAlign w:val="superscript"/>
              </w:rPr>
              <w:t>(d)</w:t>
            </w:r>
          </w:p>
        </w:tc>
        <w:tc>
          <w:tcPr>
            <w:tcW w:w="128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U.S.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ZALTRAP</w:t>
            </w:r>
          </w:p>
        </w:tc>
        <w:tc>
          <w:tcPr>
            <w:tcW w:w="12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3"/>
              </w:rPr>
              <w:t>(b)</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30"/>
        </w:trPr>
        <w:tc>
          <w:tcPr>
            <w:tcW w:w="1500" w:type="dxa"/>
            <w:vAlign w:val="bottom"/>
          </w:tcPr>
          <w:p>
            <w:pPr>
              <w:ind w:left="20"/>
              <w:spacing w:after="0"/>
              <w:rPr>
                <w:sz w:val="20"/>
                <w:szCs w:val="20"/>
                <w:color w:val="auto"/>
              </w:rPr>
            </w:pPr>
            <w:r>
              <w:rPr>
                <w:rFonts w:ascii="Arial" w:cs="Arial" w:eastAsia="Arial" w:hAnsi="Arial"/>
                <w:sz w:val="18"/>
                <w:szCs w:val="18"/>
                <w:color w:val="auto"/>
              </w:rPr>
              <w:t>ARCALYST</w:t>
            </w:r>
          </w:p>
        </w:tc>
        <w:tc>
          <w:tcPr>
            <w:tcW w:w="128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U.S.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280" w:right="160" w:firstLine="2"/>
        <w:spacing w:after="0" w:line="226" w:lineRule="auto"/>
        <w:tabs>
          <w:tab w:leader="none" w:pos="437" w:val="left"/>
        </w:tabs>
        <w:numPr>
          <w:ilvl w:val="0"/>
          <w:numId w:val="5"/>
        </w:numPr>
        <w:rPr>
          <w:rFonts w:ascii="Arial" w:cs="Arial" w:eastAsia="Arial" w:hAnsi="Arial"/>
          <w:sz w:val="19"/>
          <w:szCs w:val="19"/>
          <w:color w:val="auto"/>
          <w:vertAlign w:val="superscript"/>
        </w:rPr>
      </w:pPr>
      <w:r>
        <w:rPr>
          <w:rFonts w:ascii="Arial" w:cs="Arial" w:eastAsia="Arial" w:hAnsi="Arial"/>
          <w:sz w:val="15"/>
          <w:szCs w:val="15"/>
          <w:color w:val="auto"/>
        </w:rPr>
        <w:t>Regeneron records net product sales of EYLEA in the United States. Bayer records net product sales of EYLEA outside the United States. The Company records its share of profits/losses in connection with sales of EYLEA outside the United States within Bayer collaboration revenue.</w:t>
      </w:r>
    </w:p>
    <w:p>
      <w:pPr>
        <w:spacing w:after="0" w:line="9" w:lineRule="exact"/>
        <w:rPr>
          <w:rFonts w:ascii="Arial" w:cs="Arial" w:eastAsia="Arial" w:hAnsi="Arial"/>
          <w:sz w:val="19"/>
          <w:szCs w:val="19"/>
          <w:color w:val="auto"/>
          <w:vertAlign w:val="superscript"/>
        </w:rPr>
      </w:pPr>
    </w:p>
    <w:p>
      <w:pPr>
        <w:ind w:left="280" w:right="100" w:firstLine="2"/>
        <w:spacing w:after="0" w:line="225" w:lineRule="auto"/>
        <w:tabs>
          <w:tab w:leader="none" w:pos="443" w:val="left"/>
        </w:tabs>
        <w:numPr>
          <w:ilvl w:val="0"/>
          <w:numId w:val="5"/>
        </w:numPr>
        <w:rPr>
          <w:rFonts w:ascii="Arial" w:cs="Arial" w:eastAsia="Arial" w:hAnsi="Arial"/>
          <w:sz w:val="19"/>
          <w:szCs w:val="19"/>
          <w:color w:val="auto"/>
          <w:vertAlign w:val="superscript"/>
        </w:rPr>
      </w:pPr>
      <w:r>
        <w:rPr>
          <w:rFonts w:ascii="Arial" w:cs="Arial" w:eastAsia="Arial" w:hAnsi="Arial"/>
          <w:sz w:val="15"/>
          <w:szCs w:val="15"/>
          <w:color w:val="auto"/>
        </w:rPr>
        <w:t>Regeneron records net product sales of Libtayo in the United States. Sanofi records net product sales of Libtayo outside the United States and global net product sales of Dupixent, Kevzara, and ZALTRAP. The Company records its share of profits/losses within Sanofi collaboration revenue in connection with (i) sales of Libtayo outside the United States, and (ii) global sales of Dupixent and Kevzara. Sanofi pays the Company a percentage of net sales of ZALTRAP.</w:t>
      </w:r>
    </w:p>
    <w:p>
      <w:pPr>
        <w:spacing w:after="0" w:line="11" w:lineRule="exact"/>
        <w:rPr>
          <w:rFonts w:ascii="Arial" w:cs="Arial" w:eastAsia="Arial" w:hAnsi="Arial"/>
          <w:sz w:val="19"/>
          <w:szCs w:val="19"/>
          <w:color w:val="auto"/>
          <w:vertAlign w:val="superscript"/>
        </w:rPr>
      </w:pPr>
    </w:p>
    <w:p>
      <w:pPr>
        <w:ind w:left="280" w:right="260" w:firstLine="2"/>
        <w:spacing w:after="0" w:line="225" w:lineRule="auto"/>
        <w:tabs>
          <w:tab w:leader="none" w:pos="437" w:val="left"/>
        </w:tabs>
        <w:numPr>
          <w:ilvl w:val="0"/>
          <w:numId w:val="5"/>
        </w:numPr>
        <w:rPr>
          <w:rFonts w:ascii="Arial" w:cs="Arial" w:eastAsia="Arial" w:hAnsi="Arial"/>
          <w:sz w:val="19"/>
          <w:szCs w:val="19"/>
          <w:color w:val="auto"/>
          <w:vertAlign w:val="superscript"/>
        </w:rPr>
      </w:pPr>
      <w:r>
        <w:rPr>
          <w:rFonts w:ascii="Arial" w:cs="Arial" w:eastAsia="Arial" w:hAnsi="Arial"/>
          <w:sz w:val="15"/>
          <w:szCs w:val="15"/>
          <w:color w:val="auto"/>
        </w:rPr>
        <w:t>Effective April 1, 2020, Regeneron records net product sales of Praluent in the United States. Also effective April 1, 2020, Sanofi records net product sales of Praluent outside the United States and pays the Company a royalty on such sales. Previously, Sanofi recorded global net product sales of Praluent and the Company recorded its share of profits/losses in connection with such sales within Sanofi collaboration revenue. Refer to "Products" section above and "Collaboration, License, and Other Agreements - Sanofi" section below for further details.</w:t>
      </w:r>
    </w:p>
    <w:p>
      <w:pPr>
        <w:spacing w:after="0" w:line="7" w:lineRule="exact"/>
        <w:rPr>
          <w:rFonts w:ascii="Arial" w:cs="Arial" w:eastAsia="Arial" w:hAnsi="Arial"/>
          <w:sz w:val="19"/>
          <w:szCs w:val="19"/>
          <w:color w:val="auto"/>
          <w:vertAlign w:val="superscript"/>
        </w:rPr>
      </w:pPr>
    </w:p>
    <w:p>
      <w:pPr>
        <w:ind w:left="280" w:right="200" w:firstLine="2"/>
        <w:spacing w:after="0" w:line="237" w:lineRule="auto"/>
        <w:tabs>
          <w:tab w:leader="none" w:pos="443" w:val="left"/>
        </w:tabs>
        <w:numPr>
          <w:ilvl w:val="0"/>
          <w:numId w:val="5"/>
        </w:numPr>
        <w:rPr>
          <w:rFonts w:ascii="Arial" w:cs="Arial" w:eastAsia="Arial" w:hAnsi="Arial"/>
          <w:sz w:val="19"/>
          <w:szCs w:val="19"/>
          <w:color w:val="auto"/>
          <w:vertAlign w:val="superscript"/>
        </w:rPr>
      </w:pPr>
      <w:r>
        <w:rPr>
          <w:rFonts w:ascii="Arial" w:cs="Arial" w:eastAsia="Arial" w:hAnsi="Arial"/>
          <w:sz w:val="15"/>
          <w:szCs w:val="15"/>
          <w:color w:val="auto"/>
        </w:rPr>
        <w:t>Regeneron records net product sales of REGEN-COV in connection with its agreements with the U.S. government. Refer to "Agreements Related to COVID-19 - U.S. Government" below for further details.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Programs in Clinical Development</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Product candidates in clinical development, which are being developed by us and/or our collaborators, are summarized in the table below. We believe that our ability to develop product candidates is enhanced by the application of our </w:t>
      </w:r>
      <w:r>
        <w:rPr>
          <w:rFonts w:ascii="Arial" w:cs="Arial" w:eastAsia="Arial" w:hAnsi="Arial"/>
          <w:sz w:val="18"/>
          <w:szCs w:val="18"/>
          <w:i w:val="1"/>
          <w:iCs w:val="1"/>
          <w:color w:val="auto"/>
        </w:rPr>
        <w:t>VelociSuite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platforms (refer to "Research and Development Technologies - </w:t>
      </w:r>
      <w:r>
        <w:rPr>
          <w:rFonts w:ascii="Arial" w:cs="Arial" w:eastAsia="Arial" w:hAnsi="Arial"/>
          <w:sz w:val="18"/>
          <w:szCs w:val="18"/>
          <w:i w:val="1"/>
          <w:iCs w:val="1"/>
          <w:color w:val="auto"/>
        </w:rPr>
        <w:t>VelociSuite</w:t>
      </w:r>
      <w:r>
        <w:rPr>
          <w:rFonts w:ascii="Arial" w:cs="Arial" w:eastAsia="Arial" w:hAnsi="Arial"/>
          <w:sz w:val="18"/>
          <w:szCs w:val="18"/>
          <w:color w:val="auto"/>
        </w:rPr>
        <w:t>" section below). We continue to invest in the development of enabling technologies to assist in our efforts to identify, develop, manufacture, and commercialize new product candidates.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There are numerous uncertainties associated with drug development, including uncertainties related to safety and efficacy data from each phase of drug development (including any post-approval studies), uncertainties related to the enrollment and performance of clinical trials, changes in regulatory requirements, changes to drug pricing and reimbursement regulations and requirements, and changes in the competitive landscape affecting a product candidate. The planning, execution, and results of our clinical programs are significant factors that can affect our operating and financial results.</w:t>
      </w:r>
    </w:p>
    <w:p>
      <w:pPr>
        <w:spacing w:after="0" w:line="9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and our collaborators conduct clinical trials in multiple countries across the world. The COVID-19 pandemic and the restrictions adopted around the globe to reduce the spread of the disease have impacted and will continue to impact our clinical development programs. We continue to evaluate the impact of the COVID-19 pandemic on an individual trial basis and oversee trial management while also working to ensure patient safety and provide sufficient supply of product candidates for the studies. At this time, we expect fully enrolled clinical studies to remain generally on track. However, the ongoing pandemic continues to impact clinical trial execution in many regions across the world for us and our collaborators. The ultimate impact (including possible delays in recruiting and/or obtaining data) resulting from the COVID-19 pandemic will depend, among other factors, on the extent of the pandemic in the areas with study sites and patient populations. It is possible that the COVID-19 pandemic may cause clinical disruptions beyond those we have described. In addition, there may be delays in the timing of regulatory review and other projected milestones discussed in the table below.</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Refer to Part I, Item 1A. "Risk Factors" for a description of these and other risks and uncertainties that may affect our clinical programs, including those related to the COVID-19 pandemic.</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Clinical Program</w:t>
            </w:r>
          </w:p>
        </w:tc>
        <w:tc>
          <w:tcPr>
            <w:tcW w:w="118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Phase 1</w:t>
            </w:r>
          </w:p>
        </w:tc>
        <w:tc>
          <w:tcPr>
            <w:tcW w:w="154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Phase 2</w:t>
            </w:r>
          </w:p>
        </w:tc>
        <w:tc>
          <w:tcPr>
            <w:tcW w:w="1700" w:type="dxa"/>
            <w:vAlign w:val="bottom"/>
            <w:gridSpan w:val="3"/>
            <w:vMerge w:val="restart"/>
          </w:tcPr>
          <w:p>
            <w:pPr>
              <w:ind w:left="460"/>
              <w:spacing w:after="0"/>
              <w:rPr>
                <w:sz w:val="20"/>
                <w:szCs w:val="20"/>
                <w:color w:val="auto"/>
              </w:rPr>
            </w:pPr>
            <w:r>
              <w:rPr>
                <w:rFonts w:ascii="Arial" w:cs="Arial" w:eastAsia="Arial" w:hAnsi="Arial"/>
                <w:sz w:val="18"/>
                <w:szCs w:val="18"/>
                <w:b w:val="1"/>
                <w:bCs w:val="1"/>
                <w:color w:val="auto"/>
              </w:rPr>
              <w:t>Phase 3</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Regulatory</w:t>
            </w:r>
          </w:p>
        </w:tc>
        <w:tc>
          <w:tcPr>
            <w:tcW w:w="1920" w:type="dxa"/>
            <w:vAlign w:val="bottom"/>
            <w:gridSpan w:val="2"/>
          </w:tcPr>
          <w:p>
            <w:pPr>
              <w:ind w:left="360"/>
              <w:spacing w:after="0"/>
              <w:rPr>
                <w:sz w:val="20"/>
                <w:szCs w:val="20"/>
                <w:color w:val="auto"/>
              </w:rPr>
            </w:pPr>
            <w:r>
              <w:rPr>
                <w:rFonts w:ascii="Arial" w:cs="Arial" w:eastAsia="Arial" w:hAnsi="Arial"/>
                <w:sz w:val="18"/>
                <w:szCs w:val="18"/>
                <w:b w:val="1"/>
                <w:bCs w:val="1"/>
                <w:color w:val="auto"/>
              </w:rPr>
              <w:t>2020 and 2021</w:t>
            </w:r>
          </w:p>
        </w:tc>
        <w:tc>
          <w:tcPr>
            <w:tcW w:w="1840" w:type="dxa"/>
            <w:vAlign w:val="bottom"/>
          </w:tcPr>
          <w:p>
            <w:pPr>
              <w:ind w:left="280"/>
              <w:spacing w:after="0"/>
              <w:rPr>
                <w:sz w:val="20"/>
                <w:szCs w:val="20"/>
                <w:color w:val="auto"/>
              </w:rPr>
            </w:pPr>
            <w:r>
              <w:rPr>
                <w:rFonts w:ascii="Arial" w:cs="Arial" w:eastAsia="Arial" w:hAnsi="Arial"/>
                <w:sz w:val="18"/>
                <w:szCs w:val="18"/>
                <w:b w:val="1"/>
                <w:bCs w:val="1"/>
                <w:color w:val="auto"/>
              </w:rPr>
              <w:t>Select Upcoming</w:t>
            </w:r>
          </w:p>
        </w:tc>
        <w:tc>
          <w:tcPr>
            <w:tcW w:w="0" w:type="dxa"/>
            <w:vAlign w:val="bottom"/>
          </w:tcPr>
          <w:p>
            <w:pPr>
              <w:spacing w:after="0"/>
              <w:rPr>
                <w:sz w:val="1"/>
                <w:szCs w:val="1"/>
                <w:color w:val="auto"/>
              </w:rPr>
            </w:pPr>
          </w:p>
        </w:tc>
      </w:tr>
      <w:tr>
        <w:trPr>
          <w:trHeight w:val="229"/>
        </w:trPr>
        <w:tc>
          <w:tcPr>
            <w:tcW w:w="1860" w:type="dxa"/>
            <w:vAlign w:val="bottom"/>
            <w:gridSpan w:val="2"/>
            <w:vMerge w:val="continue"/>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700" w:type="dxa"/>
            <w:vAlign w:val="bottom"/>
            <w:gridSpan w:val="3"/>
            <w:vMerge w:val="continue"/>
          </w:tcPr>
          <w:p>
            <w:pPr>
              <w:spacing w:after="0"/>
              <w:rPr>
                <w:sz w:val="19"/>
                <w:szCs w:val="19"/>
                <w:color w:val="auto"/>
              </w:rPr>
            </w:pPr>
          </w:p>
        </w:tc>
        <w:tc>
          <w:tcPr>
            <w:tcW w:w="1200" w:type="dxa"/>
            <w:vAlign w:val="bottom"/>
            <w:gridSpan w:val="2"/>
          </w:tcPr>
          <w:p>
            <w:pPr>
              <w:jc w:val="center"/>
              <w:ind w:right="200"/>
              <w:spacing w:after="0" w:line="230" w:lineRule="exact"/>
              <w:rPr>
                <w:sz w:val="20"/>
                <w:szCs w:val="20"/>
                <w:color w:val="auto"/>
              </w:rPr>
            </w:pPr>
            <w:r>
              <w:rPr>
                <w:rFonts w:ascii="Arial" w:cs="Arial" w:eastAsia="Arial" w:hAnsi="Arial"/>
                <w:sz w:val="18"/>
                <w:szCs w:val="18"/>
                <w:b w:val="1"/>
                <w:bCs w:val="1"/>
                <w:color w:val="auto"/>
                <w:w w:val="88"/>
              </w:rPr>
              <w:t>Review</w:t>
            </w:r>
            <w:r>
              <w:rPr>
                <w:rFonts w:ascii="Arial" w:cs="Arial" w:eastAsia="Arial" w:hAnsi="Arial"/>
                <w:sz w:val="23"/>
                <w:szCs w:val="23"/>
                <w:b w:val="1"/>
                <w:bCs w:val="1"/>
                <w:color w:val="auto"/>
                <w:w w:val="88"/>
                <w:vertAlign w:val="superscript"/>
              </w:rPr>
              <w:t>(i)</w:t>
            </w:r>
          </w:p>
        </w:tc>
        <w:tc>
          <w:tcPr>
            <w:tcW w:w="1920" w:type="dxa"/>
            <w:vAlign w:val="bottom"/>
            <w:gridSpan w:val="2"/>
          </w:tcPr>
          <w:p>
            <w:pPr>
              <w:ind w:left="360"/>
              <w:spacing w:after="0"/>
              <w:rPr>
                <w:sz w:val="20"/>
                <w:szCs w:val="20"/>
                <w:color w:val="auto"/>
              </w:rPr>
            </w:pPr>
            <w:r>
              <w:rPr>
                <w:rFonts w:ascii="Arial" w:cs="Arial" w:eastAsia="Arial" w:hAnsi="Arial"/>
                <w:sz w:val="18"/>
                <w:szCs w:val="18"/>
                <w:b w:val="1"/>
                <w:bCs w:val="1"/>
                <w:color w:val="auto"/>
              </w:rPr>
              <w:t>Events to Date</w:t>
            </w:r>
          </w:p>
        </w:tc>
        <w:tc>
          <w:tcPr>
            <w:tcW w:w="1840" w:type="dxa"/>
            <w:vAlign w:val="bottom"/>
          </w:tcPr>
          <w:p>
            <w:pPr>
              <w:ind w:left="440"/>
              <w:spacing w:after="0" w:line="230" w:lineRule="exact"/>
              <w:rPr>
                <w:sz w:val="20"/>
                <w:szCs w:val="20"/>
                <w:color w:val="auto"/>
              </w:rPr>
            </w:pPr>
            <w:r>
              <w:rPr>
                <w:rFonts w:ascii="Arial" w:cs="Arial" w:eastAsia="Arial" w:hAnsi="Arial"/>
                <w:sz w:val="18"/>
                <w:szCs w:val="18"/>
                <w:b w:val="1"/>
                <w:bCs w:val="1"/>
                <w:color w:val="auto"/>
              </w:rPr>
              <w:t>Milestones</w:t>
            </w:r>
            <w:r>
              <w:rPr>
                <w:rFonts w:ascii="Arial" w:cs="Arial" w:eastAsia="Arial" w:hAnsi="Arial"/>
                <w:sz w:val="23"/>
                <w:szCs w:val="23"/>
                <w:b w:val="1"/>
                <w:bCs w:val="1"/>
                <w:color w:val="auto"/>
                <w:vertAlign w:val="superscript"/>
              </w:rPr>
              <w:t>(k)</w:t>
            </w:r>
          </w:p>
        </w:tc>
        <w:tc>
          <w:tcPr>
            <w:tcW w:w="0" w:type="dxa"/>
            <w:vAlign w:val="bottom"/>
          </w:tcPr>
          <w:p>
            <w:pPr>
              <w:spacing w:after="0"/>
              <w:rPr>
                <w:sz w:val="1"/>
                <w:szCs w:val="1"/>
                <w:color w:val="auto"/>
              </w:rPr>
            </w:pPr>
          </w:p>
        </w:tc>
      </w:tr>
      <w:tr>
        <w:trPr>
          <w:trHeight w:val="75"/>
        </w:trPr>
        <w:tc>
          <w:tcPr>
            <w:tcW w:w="17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5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78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10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46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700" w:type="dxa"/>
            <w:vAlign w:val="bottom"/>
            <w:gridSpan w:val="3"/>
            <w:shd w:val="clear" w:color="auto" w:fill="ACACAC"/>
          </w:tcPr>
          <w:p>
            <w:pPr>
              <w:ind w:left="440"/>
              <w:spacing w:after="0"/>
              <w:rPr>
                <w:sz w:val="20"/>
                <w:szCs w:val="20"/>
                <w:color w:val="auto"/>
              </w:rPr>
            </w:pPr>
            <w:r>
              <w:rPr>
                <w:rFonts w:ascii="Arial" w:cs="Arial" w:eastAsia="Arial" w:hAnsi="Arial"/>
                <w:sz w:val="18"/>
                <w:szCs w:val="18"/>
                <w:b w:val="1"/>
                <w:bCs w:val="1"/>
                <w:color w:val="auto"/>
                <w:w w:val="93"/>
              </w:rPr>
              <w:t>Ophthalmology</w:t>
            </w:r>
          </w:p>
        </w:tc>
        <w:tc>
          <w:tcPr>
            <w:tcW w:w="112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84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84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1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6"/>
                <w:szCs w:val="16"/>
                <w:b w:val="1"/>
                <w:bCs w:val="1"/>
                <w:color w:val="auto"/>
              </w:rPr>
              <w:t>EYLEA</w:t>
            </w:r>
            <w:r>
              <w:rPr>
                <w:rFonts w:ascii="Arial" w:cs="Arial" w:eastAsia="Arial" w:hAnsi="Arial"/>
                <w:sz w:val="20"/>
                <w:szCs w:val="20"/>
                <w:b w:val="1"/>
                <w:bCs w:val="1"/>
                <w:color w:val="auto"/>
                <w:vertAlign w:val="superscript"/>
              </w:rPr>
              <w:t>(b)</w:t>
            </w: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–High-dose</w:t>
            </w:r>
          </w:p>
        </w:tc>
        <w:tc>
          <w:tcPr>
            <w:tcW w:w="1700" w:type="dxa"/>
            <w:vAlign w:val="bottom"/>
            <w:gridSpan w:val="3"/>
            <w:shd w:val="clear" w:color="auto" w:fill="CCEEFF"/>
          </w:tcPr>
          <w:p>
            <w:pPr>
              <w:ind w:left="20"/>
              <w:spacing w:after="0" w:line="176" w:lineRule="exact"/>
              <w:rPr>
                <w:sz w:val="20"/>
                <w:szCs w:val="20"/>
                <w:color w:val="auto"/>
              </w:rPr>
            </w:pPr>
            <w:r>
              <w:rPr>
                <w:rFonts w:ascii="Arial" w:cs="Arial" w:eastAsia="Arial" w:hAnsi="Arial"/>
                <w:sz w:val="18"/>
                <w:szCs w:val="18"/>
                <w:color w:val="auto"/>
              </w:rPr>
              <w:t>–Retinopathy of</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–Approved by Ministry</w:t>
            </w: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–Report results from</w:t>
            </w:r>
          </w:p>
        </w:tc>
        <w:tc>
          <w:tcPr>
            <w:tcW w:w="0" w:type="dxa"/>
            <w:vAlign w:val="bottom"/>
          </w:tcPr>
          <w:p>
            <w:pPr>
              <w:spacing w:after="0"/>
              <w:rPr>
                <w:sz w:val="1"/>
                <w:szCs w:val="1"/>
                <w:color w:val="auto"/>
              </w:rPr>
            </w:pPr>
          </w:p>
        </w:tc>
      </w:tr>
      <w:tr>
        <w:trPr>
          <w:trHeight w:val="176"/>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formulation in wet</w:t>
            </w:r>
          </w:p>
        </w:tc>
        <w:tc>
          <w:tcPr>
            <w:tcW w:w="1700" w:type="dxa"/>
            <w:vAlign w:val="bottom"/>
            <w:gridSpan w:val="3"/>
            <w:shd w:val="clear" w:color="auto" w:fill="CCEEFF"/>
          </w:tcPr>
          <w:p>
            <w:pPr>
              <w:ind w:left="20"/>
              <w:spacing w:after="0" w:line="176" w:lineRule="exact"/>
              <w:rPr>
                <w:sz w:val="20"/>
                <w:szCs w:val="20"/>
                <w:color w:val="auto"/>
              </w:rPr>
            </w:pPr>
            <w:r>
              <w:rPr>
                <w:rFonts w:ascii="Arial" w:cs="Arial" w:eastAsia="Arial" w:hAnsi="Arial"/>
                <w:sz w:val="18"/>
                <w:szCs w:val="18"/>
                <w:color w:val="auto"/>
              </w:rPr>
              <w:t>prematurity</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of Health, Labour and</w:t>
            </w: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Phase 2 study for high-</w:t>
            </w: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AMD</w:t>
            </w:r>
          </w:p>
        </w:tc>
        <w:tc>
          <w:tcPr>
            <w:tcW w:w="1700" w:type="dxa"/>
            <w:vAlign w:val="bottom"/>
            <w:gridSpan w:val="3"/>
            <w:shd w:val="clear" w:color="auto" w:fill="CCEEFF"/>
          </w:tcPr>
          <w:p>
            <w:pPr>
              <w:ind w:left="20"/>
              <w:spacing w:after="0" w:line="176" w:lineRule="exact"/>
              <w:rPr>
                <w:sz w:val="20"/>
                <w:szCs w:val="20"/>
                <w:color w:val="auto"/>
              </w:rPr>
            </w:pPr>
            <w:r>
              <w:rPr>
                <w:rFonts w:ascii="Arial" w:cs="Arial" w:eastAsia="Arial" w:hAnsi="Arial"/>
                <w:sz w:val="16"/>
                <w:szCs w:val="16"/>
                <w:color w:val="auto"/>
              </w:rPr>
              <w:t>("ROP")</w:t>
            </w:r>
            <w:r>
              <w:rPr>
                <w:rFonts w:ascii="Arial" w:cs="Arial" w:eastAsia="Arial" w:hAnsi="Arial"/>
                <w:sz w:val="20"/>
                <w:szCs w:val="20"/>
                <w:color w:val="auto"/>
                <w:vertAlign w:val="superscript"/>
              </w:rPr>
              <w:t>(c)</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Welfare ("MHLW") for</w:t>
            </w: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dose formulation in wet</w:t>
            </w:r>
          </w:p>
        </w:tc>
        <w:tc>
          <w:tcPr>
            <w:tcW w:w="0" w:type="dxa"/>
            <w:vAlign w:val="bottom"/>
          </w:tcPr>
          <w:p>
            <w:pPr>
              <w:spacing w:after="0"/>
              <w:rPr>
                <w:sz w:val="1"/>
                <w:szCs w:val="1"/>
                <w:color w:val="auto"/>
              </w:rPr>
            </w:pPr>
          </w:p>
        </w:tc>
      </w:tr>
      <w:tr>
        <w:trPr>
          <w:trHeight w:val="176"/>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NVG in Japan</w:t>
            </w: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AMD (second half</w:t>
            </w:r>
          </w:p>
        </w:tc>
        <w:tc>
          <w:tcPr>
            <w:tcW w:w="0" w:type="dxa"/>
            <w:vAlign w:val="bottom"/>
          </w:tcPr>
          <w:p>
            <w:pPr>
              <w:spacing w:after="0"/>
              <w:rPr>
                <w:sz w:val="1"/>
                <w:szCs w:val="1"/>
                <w:color w:val="auto"/>
              </w:rPr>
            </w:pPr>
          </w:p>
        </w:tc>
      </w:tr>
      <w:tr>
        <w:trPr>
          <w:trHeight w:val="243"/>
        </w:trPr>
        <w:tc>
          <w:tcPr>
            <w:tcW w:w="1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–High-dose</w:t>
            </w: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9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–Pre-filled syringe</w:t>
            </w:r>
          </w:p>
        </w:tc>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108"/>
        </w:trPr>
        <w:tc>
          <w:tcPr>
            <w:tcW w:w="1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700" w:type="dxa"/>
            <w:vAlign w:val="bottom"/>
            <w:gridSpan w:val="3"/>
            <w:vMerge w:val="restart"/>
            <w:shd w:val="clear" w:color="auto" w:fill="CCEEFF"/>
          </w:tcPr>
          <w:p>
            <w:pPr>
              <w:ind w:left="20"/>
              <w:spacing w:after="0" w:line="176" w:lineRule="exact"/>
              <w:rPr>
                <w:sz w:val="20"/>
                <w:szCs w:val="20"/>
                <w:color w:val="auto"/>
              </w:rPr>
            </w:pPr>
            <w:r>
              <w:rPr>
                <w:rFonts w:ascii="Arial" w:cs="Arial" w:eastAsia="Arial" w:hAnsi="Arial"/>
                <w:sz w:val="18"/>
                <w:szCs w:val="18"/>
                <w:color w:val="auto"/>
              </w:rPr>
              <w:t>formulation in wet</w:t>
            </w:r>
          </w:p>
        </w:tc>
        <w:tc>
          <w:tcPr>
            <w:tcW w:w="1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920" w:type="dxa"/>
            <w:vAlign w:val="bottom"/>
            <w:gridSpan w:val="2"/>
            <w:vMerge w:val="continue"/>
            <w:shd w:val="clear" w:color="auto" w:fill="CCEEFF"/>
          </w:tcPr>
          <w:p>
            <w:pPr>
              <w:spacing w:after="0"/>
              <w:rPr>
                <w:sz w:val="9"/>
                <w:szCs w:val="9"/>
                <w:color w:val="auto"/>
              </w:rPr>
            </w:pPr>
          </w:p>
        </w:tc>
        <w:tc>
          <w:tcPr>
            <w:tcW w:w="1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7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700" w:type="dxa"/>
            <w:vAlign w:val="bottom"/>
            <w:gridSpan w:val="3"/>
            <w:vMerge w:val="continue"/>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920" w:type="dxa"/>
            <w:vAlign w:val="bottom"/>
            <w:gridSpan w:val="2"/>
            <w:vMerge w:val="restart"/>
            <w:shd w:val="clear" w:color="auto" w:fill="CCEEFF"/>
          </w:tcPr>
          <w:p>
            <w:pPr>
              <w:ind w:left="20"/>
              <w:spacing w:after="0" w:line="176" w:lineRule="exact"/>
              <w:rPr>
                <w:sz w:val="20"/>
                <w:szCs w:val="20"/>
                <w:color w:val="auto"/>
              </w:rPr>
            </w:pPr>
            <w:r>
              <w:rPr>
                <w:rFonts w:ascii="Arial" w:cs="Arial" w:eastAsia="Arial" w:hAnsi="Arial"/>
                <w:sz w:val="18"/>
                <w:szCs w:val="18"/>
                <w:color w:val="auto"/>
              </w:rPr>
              <w:t>approved by European</w:t>
            </w:r>
          </w:p>
        </w:tc>
        <w:tc>
          <w:tcPr>
            <w:tcW w:w="18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700" w:type="dxa"/>
            <w:vAlign w:val="bottom"/>
            <w:gridSpan w:val="3"/>
            <w:vMerge w:val="restart"/>
            <w:shd w:val="clear" w:color="auto" w:fill="CCEEFF"/>
          </w:tcPr>
          <w:p>
            <w:pPr>
              <w:ind w:left="20"/>
              <w:spacing w:after="0"/>
              <w:rPr>
                <w:sz w:val="20"/>
                <w:szCs w:val="20"/>
                <w:color w:val="auto"/>
              </w:rPr>
            </w:pPr>
            <w:r>
              <w:rPr>
                <w:rFonts w:ascii="Arial" w:cs="Arial" w:eastAsia="Arial" w:hAnsi="Arial"/>
                <w:sz w:val="18"/>
                <w:szCs w:val="18"/>
                <w:color w:val="auto"/>
              </w:rPr>
              <w:t>AMD</w:t>
            </w:r>
          </w:p>
        </w:tc>
        <w:tc>
          <w:tcPr>
            <w:tcW w:w="1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920" w:type="dxa"/>
            <w:vAlign w:val="bottom"/>
            <w:gridSpan w:val="2"/>
            <w:vMerge w:val="continue"/>
            <w:shd w:val="clear" w:color="auto" w:fill="CCEEFF"/>
          </w:tcPr>
          <w:p>
            <w:pPr>
              <w:spacing w:after="0"/>
              <w:rPr>
                <w:sz w:val="9"/>
                <w:szCs w:val="9"/>
                <w:color w:val="auto"/>
              </w:rPr>
            </w:pPr>
          </w:p>
        </w:tc>
        <w:tc>
          <w:tcPr>
            <w:tcW w:w="1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700" w:type="dxa"/>
            <w:vAlign w:val="bottom"/>
            <w:gridSpan w:val="3"/>
            <w:vMerge w:val="continue"/>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9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Commission ("EC")</w:t>
            </w:r>
          </w:p>
        </w:tc>
        <w:tc>
          <w:tcPr>
            <w:tcW w:w="1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920" w:type="dxa"/>
            <w:vAlign w:val="bottom"/>
            <w:gridSpan w:val="2"/>
            <w:vMerge w:val="continue"/>
            <w:shd w:val="clear" w:color="auto" w:fill="CCEEFF"/>
          </w:tcPr>
          <w:p>
            <w:pPr>
              <w:spacing w:after="0"/>
              <w:rPr>
                <w:sz w:val="9"/>
                <w:szCs w:val="9"/>
                <w:color w:val="auto"/>
              </w:rPr>
            </w:pPr>
          </w:p>
        </w:tc>
        <w:tc>
          <w:tcPr>
            <w:tcW w:w="1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1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–High-dose</w:t>
            </w: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00" w:type="dxa"/>
            <w:vAlign w:val="bottom"/>
            <w:gridSpan w:val="3"/>
            <w:shd w:val="clear" w:color="auto" w:fill="CCEEFF"/>
          </w:tcPr>
          <w:p>
            <w:pPr>
              <w:ind w:left="20"/>
              <w:spacing w:after="0" w:line="176" w:lineRule="exact"/>
              <w:rPr>
                <w:sz w:val="20"/>
                <w:szCs w:val="20"/>
                <w:color w:val="auto"/>
              </w:rPr>
            </w:pPr>
            <w:r>
              <w:rPr>
                <w:rFonts w:ascii="Arial" w:cs="Arial" w:eastAsia="Arial" w:hAnsi="Arial"/>
                <w:sz w:val="18"/>
                <w:szCs w:val="18"/>
                <w:color w:val="auto"/>
              </w:rPr>
              <w:t>formulation in</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DME</w:t>
            </w: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ectPr>
          <w:pgSz w:w="11900" w:h="16838" w:orient="portrait"/>
          <w:cols w:equalWidth="0" w:num="1">
            <w:col w:w="11240"/>
          </w:cols>
          <w:pgMar w:left="320" w:top="130" w:right="339" w:bottom="1440" w:gutter="0" w:footer="0" w:header="0"/>
        </w:sectPr>
      </w:pPr>
    </w:p>
    <w:tbl>
      <w:tblPr>
        <w:tblLayout w:type="fixed"/>
        <w:tblInd w:w="2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000" w:type="dxa"/>
            <w:vAlign w:val="bottom"/>
            <w:gridSpan w:val="2"/>
          </w:tcPr>
          <w:p>
            <w:pPr>
              <w:ind w:left="140"/>
              <w:spacing w:after="0"/>
              <w:rPr>
                <w:sz w:val="20"/>
                <w:szCs w:val="20"/>
                <w:color w:val="auto"/>
              </w:rPr>
            </w:pPr>
            <w:r>
              <w:rPr>
                <w:rFonts w:ascii="Arial" w:cs="Arial" w:eastAsia="Arial" w:hAnsi="Arial"/>
                <w:sz w:val="18"/>
                <w:szCs w:val="18"/>
                <w:b w:val="1"/>
                <w:bCs w:val="1"/>
                <w:color w:val="auto"/>
              </w:rPr>
              <w:t>Immunology &amp; Inflammation</w:t>
            </w:r>
          </w:p>
        </w:tc>
        <w:tc>
          <w:tcPr>
            <w:tcW w:w="0" w:type="dxa"/>
            <w:vAlign w:val="bottom"/>
          </w:tcPr>
          <w:p>
            <w:pPr>
              <w:spacing w:after="0"/>
              <w:rPr>
                <w:sz w:val="1"/>
                <w:szCs w:val="1"/>
                <w:color w:val="auto"/>
              </w:rPr>
            </w:pPr>
          </w:p>
        </w:tc>
      </w:tr>
      <w:tr>
        <w:trPr>
          <w:trHeight w:val="229"/>
        </w:trPr>
        <w:tc>
          <w:tcPr>
            <w:tcW w:w="2380" w:type="dxa"/>
            <w:vAlign w:val="bottom"/>
          </w:tcPr>
          <w:p>
            <w:pPr>
              <w:spacing w:after="0"/>
              <w:rPr>
                <w:sz w:val="20"/>
                <w:szCs w:val="20"/>
                <w:color w:val="auto"/>
              </w:rPr>
            </w:pPr>
            <w:r>
              <w:rPr>
                <w:rFonts w:ascii="Arial" w:cs="Arial" w:eastAsia="Arial" w:hAnsi="Arial"/>
                <w:sz w:val="18"/>
                <w:szCs w:val="18"/>
                <w:b w:val="1"/>
                <w:bCs w:val="1"/>
                <w:color w:val="auto"/>
              </w:rPr>
              <w:t>Dupixent (dupilumab)</w:t>
            </w:r>
          </w:p>
        </w:tc>
        <w:tc>
          <w:tcPr>
            <w:tcW w:w="1940" w:type="dxa"/>
            <w:vAlign w:val="bottom"/>
          </w:tcPr>
          <w:p>
            <w:pPr>
              <w:ind w:left="660"/>
              <w:spacing w:after="0"/>
              <w:rPr>
                <w:sz w:val="20"/>
                <w:szCs w:val="20"/>
                <w:color w:val="auto"/>
              </w:rPr>
            </w:pPr>
            <w:r>
              <w:rPr>
                <w:rFonts w:ascii="Arial" w:cs="Arial" w:eastAsia="Arial" w:hAnsi="Arial"/>
                <w:sz w:val="18"/>
                <w:szCs w:val="18"/>
                <w:color w:val="auto"/>
              </w:rPr>
              <w:t>–Peanut allergy</w:t>
            </w:r>
          </w:p>
        </w:tc>
        <w:tc>
          <w:tcPr>
            <w:tcW w:w="1760" w:type="dxa"/>
            <w:vAlign w:val="bottom"/>
          </w:tcPr>
          <w:p>
            <w:pPr>
              <w:ind w:left="260"/>
              <w:spacing w:after="0"/>
              <w:rPr>
                <w:sz w:val="20"/>
                <w:szCs w:val="20"/>
                <w:color w:val="auto"/>
              </w:rPr>
            </w:pPr>
            <w:r>
              <w:rPr>
                <w:rFonts w:ascii="Arial" w:cs="Arial" w:eastAsia="Arial" w:hAnsi="Arial"/>
                <w:sz w:val="18"/>
                <w:szCs w:val="18"/>
                <w:color w:val="auto"/>
              </w:rPr>
              <w:t>–Atopic dermatitis</w:t>
            </w:r>
          </w:p>
        </w:tc>
        <w:tc>
          <w:tcPr>
            <w:tcW w:w="1240" w:type="dxa"/>
            <w:vAlign w:val="bottom"/>
          </w:tcPr>
          <w:p>
            <w:pPr>
              <w:ind w:left="80"/>
              <w:spacing w:after="0"/>
              <w:rPr>
                <w:sz w:val="20"/>
                <w:szCs w:val="20"/>
                <w:color w:val="auto"/>
              </w:rPr>
            </w:pPr>
            <w:r>
              <w:rPr>
                <w:rFonts w:ascii="Arial" w:cs="Arial" w:eastAsia="Arial" w:hAnsi="Arial"/>
                <w:sz w:val="18"/>
                <w:szCs w:val="18"/>
                <w:color w:val="auto"/>
              </w:rPr>
              <w:t>–Asthma in</w:t>
            </w:r>
          </w:p>
        </w:tc>
        <w:tc>
          <w:tcPr>
            <w:tcW w:w="0" w:type="dxa"/>
            <w:vAlign w:val="bottom"/>
          </w:tcPr>
          <w:p>
            <w:pPr>
              <w:spacing w:after="0"/>
              <w:rPr>
                <w:sz w:val="1"/>
                <w:szCs w:val="1"/>
                <w:color w:val="auto"/>
              </w:rPr>
            </w:pPr>
          </w:p>
        </w:tc>
      </w:tr>
      <w:tr>
        <w:trPr>
          <w:trHeight w:val="107"/>
        </w:trPr>
        <w:tc>
          <w:tcPr>
            <w:tcW w:w="2380" w:type="dxa"/>
            <w:vAlign w:val="bottom"/>
          </w:tcPr>
          <w:p>
            <w:pPr>
              <w:spacing w:after="0" w:line="107" w:lineRule="exact"/>
              <w:rPr>
                <w:sz w:val="20"/>
                <w:szCs w:val="20"/>
                <w:color w:val="auto"/>
              </w:rPr>
            </w:pPr>
            <w:r>
              <w:rPr>
                <w:rFonts w:ascii="Arial" w:cs="Arial" w:eastAsia="Arial" w:hAnsi="Arial"/>
                <w:sz w:val="12"/>
                <w:szCs w:val="12"/>
                <w:b w:val="1"/>
                <w:bCs w:val="1"/>
                <w:color w:val="auto"/>
              </w:rPr>
              <w:t>(a)</w:t>
            </w:r>
          </w:p>
        </w:tc>
        <w:tc>
          <w:tcPr>
            <w:tcW w:w="1940" w:type="dxa"/>
            <w:vAlign w:val="bottom"/>
          </w:tcPr>
          <w:p>
            <w:pPr>
              <w:spacing w:after="0"/>
              <w:rPr>
                <w:sz w:val="9"/>
                <w:szCs w:val="9"/>
                <w:color w:val="auto"/>
              </w:rPr>
            </w:pPr>
          </w:p>
        </w:tc>
        <w:tc>
          <w:tcPr>
            <w:tcW w:w="1760" w:type="dxa"/>
            <w:vAlign w:val="bottom"/>
            <w:vMerge w:val="restart"/>
          </w:tcPr>
          <w:p>
            <w:pPr>
              <w:ind w:left="260"/>
              <w:spacing w:after="0" w:line="176" w:lineRule="exact"/>
              <w:rPr>
                <w:sz w:val="20"/>
                <w:szCs w:val="20"/>
                <w:color w:val="auto"/>
              </w:rPr>
            </w:pPr>
            <w:r>
              <w:rPr>
                <w:rFonts w:ascii="Arial" w:cs="Arial" w:eastAsia="Arial" w:hAnsi="Arial"/>
                <w:sz w:val="18"/>
                <w:szCs w:val="18"/>
                <w:color w:val="auto"/>
              </w:rPr>
              <w:t>in pediatrics (6</w:t>
            </w:r>
          </w:p>
        </w:tc>
        <w:tc>
          <w:tcPr>
            <w:tcW w:w="1240" w:type="dxa"/>
            <w:vAlign w:val="bottom"/>
            <w:vMerge w:val="restart"/>
          </w:tcPr>
          <w:p>
            <w:pPr>
              <w:ind w:left="80"/>
              <w:spacing w:after="0" w:line="176" w:lineRule="exact"/>
              <w:rPr>
                <w:sz w:val="20"/>
                <w:szCs w:val="20"/>
                <w:color w:val="auto"/>
              </w:rPr>
            </w:pPr>
            <w:r>
              <w:rPr>
                <w:rFonts w:ascii="Arial" w:cs="Arial" w:eastAsia="Arial" w:hAnsi="Arial"/>
                <w:sz w:val="18"/>
                <w:szCs w:val="18"/>
                <w:color w:val="auto"/>
                <w:w w:val="88"/>
              </w:rPr>
              <w:t>pediatrics (6–11</w:t>
            </w:r>
          </w:p>
        </w:tc>
        <w:tc>
          <w:tcPr>
            <w:tcW w:w="0" w:type="dxa"/>
            <w:vAlign w:val="bottom"/>
          </w:tcPr>
          <w:p>
            <w:pPr>
              <w:spacing w:after="0"/>
              <w:rPr>
                <w:sz w:val="1"/>
                <w:szCs w:val="1"/>
                <w:color w:val="auto"/>
              </w:rPr>
            </w:pPr>
          </w:p>
        </w:tc>
      </w:tr>
      <w:tr>
        <w:trPr>
          <w:trHeight w:val="68"/>
        </w:trPr>
        <w:tc>
          <w:tcPr>
            <w:tcW w:w="2380" w:type="dxa"/>
            <w:vAlign w:val="bottom"/>
            <w:vMerge w:val="restart"/>
          </w:tcPr>
          <w:p>
            <w:pPr>
              <w:spacing w:after="0"/>
              <w:rPr>
                <w:sz w:val="20"/>
                <w:szCs w:val="20"/>
                <w:color w:val="auto"/>
              </w:rPr>
            </w:pPr>
            <w:r>
              <w:rPr>
                <w:rFonts w:ascii="Arial" w:cs="Arial" w:eastAsia="Arial" w:hAnsi="Arial"/>
                <w:sz w:val="18"/>
                <w:szCs w:val="18"/>
                <w:i w:val="1"/>
                <w:iCs w:val="1"/>
                <w:color w:val="auto"/>
              </w:rPr>
              <w:t>Antibody to IL-4R</w:t>
            </w:r>
          </w:p>
        </w:tc>
        <w:tc>
          <w:tcPr>
            <w:tcW w:w="1940" w:type="dxa"/>
            <w:vAlign w:val="bottom"/>
            <w:vMerge w:val="restart"/>
          </w:tcPr>
          <w:p>
            <w:pPr>
              <w:ind w:left="660"/>
              <w:spacing w:after="0"/>
              <w:rPr>
                <w:sz w:val="20"/>
                <w:szCs w:val="20"/>
                <w:color w:val="auto"/>
              </w:rPr>
            </w:pPr>
            <w:r>
              <w:rPr>
                <w:rFonts w:ascii="Arial" w:cs="Arial" w:eastAsia="Arial" w:hAnsi="Arial"/>
                <w:sz w:val="18"/>
                <w:szCs w:val="18"/>
                <w:color w:val="auto"/>
              </w:rPr>
              <w:t>–Grass allergy</w:t>
            </w:r>
          </w:p>
        </w:tc>
        <w:tc>
          <w:tcPr>
            <w:tcW w:w="176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380" w:type="dxa"/>
            <w:vAlign w:val="bottom"/>
            <w:vMerge w:val="continue"/>
          </w:tcPr>
          <w:p>
            <w:pPr>
              <w:spacing w:after="0"/>
              <w:rPr>
                <w:sz w:val="15"/>
                <w:szCs w:val="15"/>
                <w:color w:val="auto"/>
              </w:rPr>
            </w:pPr>
          </w:p>
        </w:tc>
        <w:tc>
          <w:tcPr>
            <w:tcW w:w="1940" w:type="dxa"/>
            <w:vAlign w:val="bottom"/>
            <w:vMerge w:val="continue"/>
          </w:tcPr>
          <w:p>
            <w:pPr>
              <w:spacing w:after="0"/>
              <w:rPr>
                <w:sz w:val="15"/>
                <w:szCs w:val="15"/>
                <w:color w:val="auto"/>
              </w:rPr>
            </w:pPr>
          </w:p>
        </w:tc>
        <w:tc>
          <w:tcPr>
            <w:tcW w:w="1760" w:type="dxa"/>
            <w:vAlign w:val="bottom"/>
          </w:tcPr>
          <w:p>
            <w:pPr>
              <w:ind w:left="260"/>
              <w:spacing w:after="0" w:line="176" w:lineRule="exact"/>
              <w:rPr>
                <w:sz w:val="20"/>
                <w:szCs w:val="20"/>
                <w:color w:val="auto"/>
              </w:rPr>
            </w:pPr>
            <w:r>
              <w:rPr>
                <w:rFonts w:ascii="Arial" w:cs="Arial" w:eastAsia="Arial" w:hAnsi="Arial"/>
                <w:sz w:val="18"/>
                <w:szCs w:val="18"/>
                <w:color w:val="auto"/>
                <w:w w:val="99"/>
              </w:rPr>
              <w:t>months–5 years of</w:t>
            </w:r>
          </w:p>
        </w:tc>
        <w:tc>
          <w:tcPr>
            <w:tcW w:w="1240" w:type="dxa"/>
            <w:vAlign w:val="bottom"/>
          </w:tcPr>
          <w:p>
            <w:pPr>
              <w:ind w:left="80"/>
              <w:spacing w:after="0" w:line="176" w:lineRule="exact"/>
              <w:rPr>
                <w:sz w:val="20"/>
                <w:szCs w:val="20"/>
                <w:color w:val="auto"/>
              </w:rPr>
            </w:pPr>
            <w:r>
              <w:rPr>
                <w:rFonts w:ascii="Arial" w:cs="Arial" w:eastAsia="Arial" w:hAnsi="Arial"/>
                <w:sz w:val="18"/>
                <w:szCs w:val="18"/>
                <w:color w:val="auto"/>
              </w:rPr>
              <w:t>years of age)</w:t>
            </w:r>
          </w:p>
        </w:tc>
        <w:tc>
          <w:tcPr>
            <w:tcW w:w="0" w:type="dxa"/>
            <w:vAlign w:val="bottom"/>
          </w:tcPr>
          <w:p>
            <w:pPr>
              <w:spacing w:after="0"/>
              <w:rPr>
                <w:sz w:val="1"/>
                <w:szCs w:val="1"/>
                <w:color w:val="auto"/>
              </w:rPr>
            </w:pPr>
          </w:p>
        </w:tc>
      </w:tr>
      <w:tr>
        <w:trPr>
          <w:trHeight w:val="312"/>
        </w:trPr>
        <w:tc>
          <w:tcPr>
            <w:tcW w:w="2380" w:type="dxa"/>
            <w:vAlign w:val="bottom"/>
          </w:tcPr>
          <w:p>
            <w:pPr>
              <w:spacing w:after="0"/>
              <w:rPr>
                <w:sz w:val="20"/>
                <w:szCs w:val="20"/>
                <w:color w:val="auto"/>
              </w:rPr>
            </w:pPr>
            <w:r>
              <w:rPr>
                <w:rFonts w:ascii="Arial" w:cs="Arial" w:eastAsia="Arial" w:hAnsi="Arial"/>
                <w:sz w:val="18"/>
                <w:szCs w:val="18"/>
                <w:i w:val="1"/>
                <w:iCs w:val="1"/>
                <w:color w:val="auto"/>
              </w:rPr>
              <w:t>alpha subunit</w:t>
            </w:r>
          </w:p>
        </w:tc>
        <w:tc>
          <w:tcPr>
            <w:tcW w:w="1940" w:type="dxa"/>
            <w:vAlign w:val="bottom"/>
          </w:tcPr>
          <w:p>
            <w:pPr>
              <w:spacing w:after="0"/>
              <w:rPr>
                <w:sz w:val="24"/>
                <w:szCs w:val="24"/>
                <w:color w:val="auto"/>
              </w:rPr>
            </w:pPr>
          </w:p>
        </w:tc>
        <w:tc>
          <w:tcPr>
            <w:tcW w:w="1760" w:type="dxa"/>
            <w:vAlign w:val="bottom"/>
          </w:tcPr>
          <w:p>
            <w:pPr>
              <w:ind w:left="260"/>
              <w:spacing w:after="0"/>
              <w:rPr>
                <w:sz w:val="20"/>
                <w:szCs w:val="20"/>
                <w:color w:val="auto"/>
              </w:rPr>
            </w:pPr>
            <w:r>
              <w:rPr>
                <w:rFonts w:ascii="Arial" w:cs="Arial" w:eastAsia="Arial" w:hAnsi="Arial"/>
                <w:sz w:val="18"/>
                <w:szCs w:val="18"/>
                <w:color w:val="auto"/>
                <w:w w:val="96"/>
              </w:rPr>
              <w:t>age) (Phase 2/3)</w:t>
            </w:r>
            <w:r>
              <w:rPr>
                <w:rFonts w:ascii="Arial" w:cs="Arial" w:eastAsia="Arial" w:hAnsi="Arial"/>
                <w:sz w:val="23"/>
                <w:szCs w:val="23"/>
                <w:color w:val="auto"/>
                <w:w w:val="96"/>
                <w:vertAlign w:val="superscript"/>
              </w:rPr>
              <w:t>(d)</w:t>
            </w:r>
          </w:p>
        </w:tc>
        <w:tc>
          <w:tcPr>
            <w:tcW w:w="1240" w:type="dxa"/>
            <w:vAlign w:val="bottom"/>
          </w:tcPr>
          <w:p>
            <w:pPr>
              <w:ind w:left="8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82"/>
        </w:trPr>
        <w:tc>
          <w:tcPr>
            <w:tcW w:w="23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760" w:type="dxa"/>
            <w:vAlign w:val="bottom"/>
          </w:tcPr>
          <w:p>
            <w:pPr>
              <w:ind w:left="260"/>
              <w:spacing w:after="0"/>
              <w:rPr>
                <w:sz w:val="20"/>
                <w:szCs w:val="20"/>
                <w:color w:val="auto"/>
              </w:rPr>
            </w:pPr>
            <w:r>
              <w:rPr>
                <w:rFonts w:ascii="Arial" w:cs="Arial" w:eastAsia="Arial" w:hAnsi="Arial"/>
                <w:sz w:val="18"/>
                <w:szCs w:val="18"/>
                <w:color w:val="auto"/>
              </w:rPr>
              <w:t>–Asthma in</w:t>
            </w:r>
          </w:p>
        </w:tc>
        <w:tc>
          <w:tcPr>
            <w:tcW w:w="1240" w:type="dxa"/>
            <w:vAlign w:val="bottom"/>
          </w:tcPr>
          <w:p>
            <w:pPr>
              <w:ind w:left="80"/>
              <w:spacing w:after="0"/>
              <w:rPr>
                <w:sz w:val="20"/>
                <w:szCs w:val="20"/>
                <w:color w:val="auto"/>
              </w:rPr>
            </w:pPr>
            <w:r>
              <w:rPr>
                <w:rFonts w:ascii="Arial" w:cs="Arial" w:eastAsia="Arial" w:hAnsi="Arial"/>
                <w:sz w:val="18"/>
                <w:szCs w:val="18"/>
                <w:color w:val="auto"/>
                <w:w w:val="90"/>
              </w:rPr>
              <w:t>–Asthma longer</w:t>
            </w:r>
          </w:p>
        </w:tc>
        <w:tc>
          <w:tcPr>
            <w:tcW w:w="0" w:type="dxa"/>
            <w:vAlign w:val="bottom"/>
          </w:tcPr>
          <w:p>
            <w:pPr>
              <w:spacing w:after="0"/>
              <w:rPr>
                <w:sz w:val="1"/>
                <w:szCs w:val="1"/>
                <w:color w:val="auto"/>
              </w:rPr>
            </w:pPr>
          </w:p>
        </w:tc>
      </w:tr>
      <w:tr>
        <w:trPr>
          <w:trHeight w:val="176"/>
        </w:trPr>
        <w:tc>
          <w:tcPr>
            <w:tcW w:w="23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760" w:type="dxa"/>
            <w:vAlign w:val="bottom"/>
          </w:tcPr>
          <w:p>
            <w:pPr>
              <w:ind w:left="260"/>
              <w:spacing w:after="0" w:line="176" w:lineRule="exact"/>
              <w:rPr>
                <w:sz w:val="20"/>
                <w:szCs w:val="20"/>
                <w:color w:val="auto"/>
              </w:rPr>
            </w:pPr>
            <w:r>
              <w:rPr>
                <w:rFonts w:ascii="Arial" w:cs="Arial" w:eastAsia="Arial" w:hAnsi="Arial"/>
                <w:sz w:val="18"/>
                <w:szCs w:val="18"/>
                <w:color w:val="auto"/>
              </w:rPr>
              <w:t>pediatrics (6–11</w:t>
            </w:r>
          </w:p>
        </w:tc>
        <w:tc>
          <w:tcPr>
            <w:tcW w:w="1240" w:type="dxa"/>
            <w:vAlign w:val="bottom"/>
          </w:tcPr>
          <w:p>
            <w:pPr>
              <w:ind w:left="80"/>
              <w:spacing w:after="0" w:line="176" w:lineRule="exact"/>
              <w:rPr>
                <w:sz w:val="20"/>
                <w:szCs w:val="20"/>
                <w:color w:val="auto"/>
              </w:rPr>
            </w:pPr>
            <w:r>
              <w:rPr>
                <w:rFonts w:ascii="Arial" w:cs="Arial" w:eastAsia="Arial" w:hAnsi="Arial"/>
                <w:sz w:val="18"/>
                <w:szCs w:val="18"/>
                <w:color w:val="auto"/>
              </w:rPr>
              <w:t>term efficacy</w:t>
            </w:r>
          </w:p>
        </w:tc>
        <w:tc>
          <w:tcPr>
            <w:tcW w:w="0" w:type="dxa"/>
            <w:vAlign w:val="bottom"/>
          </w:tcPr>
          <w:p>
            <w:pPr>
              <w:spacing w:after="0"/>
              <w:rPr>
                <w:sz w:val="1"/>
                <w:szCs w:val="1"/>
                <w:color w:val="auto"/>
              </w:rPr>
            </w:pPr>
          </w:p>
        </w:tc>
      </w:tr>
      <w:tr>
        <w:trPr>
          <w:trHeight w:val="175"/>
        </w:trPr>
        <w:tc>
          <w:tcPr>
            <w:tcW w:w="23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760" w:type="dxa"/>
            <w:vAlign w:val="bottom"/>
          </w:tcPr>
          <w:p>
            <w:pPr>
              <w:ind w:left="260"/>
              <w:spacing w:after="0" w:line="176" w:lineRule="exact"/>
              <w:rPr>
                <w:sz w:val="20"/>
                <w:szCs w:val="20"/>
                <w:color w:val="auto"/>
              </w:rPr>
            </w:pPr>
            <w:r>
              <w:rPr>
                <w:rFonts w:ascii="Arial" w:cs="Arial" w:eastAsia="Arial" w:hAnsi="Arial"/>
                <w:sz w:val="18"/>
                <w:szCs w:val="18"/>
                <w:color w:val="auto"/>
              </w:rPr>
              <w:t>years of age)</w:t>
            </w:r>
          </w:p>
        </w:tc>
        <w:tc>
          <w:tcPr>
            <w:tcW w:w="1240" w:type="dxa"/>
            <w:vAlign w:val="bottom"/>
          </w:tcPr>
          <w:p>
            <w:pPr>
              <w:ind w:left="80"/>
              <w:spacing w:after="0" w:line="176" w:lineRule="exact"/>
              <w:rPr>
                <w:sz w:val="20"/>
                <w:szCs w:val="20"/>
                <w:color w:val="auto"/>
              </w:rPr>
            </w:pPr>
            <w:r>
              <w:rPr>
                <w:rFonts w:ascii="Arial" w:cs="Arial" w:eastAsia="Arial" w:hAnsi="Arial"/>
                <w:sz w:val="18"/>
                <w:szCs w:val="18"/>
                <w:color w:val="auto"/>
              </w:rPr>
              <w:t>and safety</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40" w:type="dxa"/>
            <w:vAlign w:val="bottom"/>
          </w:tcPr>
          <w:p>
            <w:pPr>
              <w:ind w:left="8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88"/>
        </w:trPr>
        <w:tc>
          <w:tcPr>
            <w:tcW w:w="23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760" w:type="dxa"/>
            <w:vAlign w:val="bottom"/>
          </w:tcPr>
          <w:p>
            <w:pPr>
              <w:ind w:left="260"/>
              <w:spacing w:after="0" w:line="189" w:lineRule="exact"/>
              <w:rPr>
                <w:sz w:val="20"/>
                <w:szCs w:val="20"/>
                <w:color w:val="auto"/>
              </w:rPr>
            </w:pPr>
            <w:r>
              <w:rPr>
                <w:rFonts w:ascii="Arial" w:cs="Arial" w:eastAsia="Arial" w:hAnsi="Arial"/>
                <w:sz w:val="18"/>
                <w:szCs w:val="18"/>
                <w:color w:val="auto"/>
              </w:rPr>
              <w:t>–Eosinophilic</w:t>
            </w:r>
          </w:p>
        </w:tc>
        <w:tc>
          <w:tcPr>
            <w:tcW w:w="1240" w:type="dxa"/>
            <w:vAlign w:val="bottom"/>
            <w:vMerge w:val="restart"/>
          </w:tcPr>
          <w:p>
            <w:pPr>
              <w:ind w:left="80"/>
              <w:spacing w:after="0"/>
              <w:rPr>
                <w:sz w:val="20"/>
                <w:szCs w:val="20"/>
                <w:color w:val="auto"/>
              </w:rPr>
            </w:pPr>
            <w:r>
              <w:rPr>
                <w:rFonts w:ascii="Arial" w:cs="Arial" w:eastAsia="Arial" w:hAnsi="Arial"/>
                <w:sz w:val="18"/>
                <w:szCs w:val="18"/>
                <w:color w:val="auto"/>
                <w:w w:val="98"/>
              </w:rPr>
              <w:t>–200 mg auto-</w:t>
            </w:r>
          </w:p>
        </w:tc>
        <w:tc>
          <w:tcPr>
            <w:tcW w:w="0" w:type="dxa"/>
            <w:vAlign w:val="bottom"/>
          </w:tcPr>
          <w:p>
            <w:pPr>
              <w:spacing w:after="0"/>
              <w:rPr>
                <w:sz w:val="1"/>
                <w:szCs w:val="1"/>
                <w:color w:val="auto"/>
              </w:rPr>
            </w:pPr>
          </w:p>
        </w:tc>
      </w:tr>
      <w:tr>
        <w:trPr>
          <w:trHeight w:val="176"/>
        </w:trPr>
        <w:tc>
          <w:tcPr>
            <w:tcW w:w="23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760" w:type="dxa"/>
            <w:vAlign w:val="bottom"/>
          </w:tcPr>
          <w:p>
            <w:pPr>
              <w:ind w:left="260"/>
              <w:spacing w:after="0" w:line="176" w:lineRule="exact"/>
              <w:rPr>
                <w:sz w:val="20"/>
                <w:szCs w:val="20"/>
                <w:color w:val="auto"/>
              </w:rPr>
            </w:pPr>
            <w:r>
              <w:rPr>
                <w:rFonts w:ascii="Arial" w:cs="Arial" w:eastAsia="Arial" w:hAnsi="Arial"/>
                <w:sz w:val="18"/>
                <w:szCs w:val="18"/>
                <w:color w:val="auto"/>
                <w:w w:val="95"/>
              </w:rPr>
              <w:t>esophagitis ("EoE")</w:t>
            </w: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3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760" w:type="dxa"/>
            <w:vAlign w:val="bottom"/>
          </w:tcPr>
          <w:p>
            <w:pPr>
              <w:ind w:left="260"/>
              <w:spacing w:after="0" w:line="190" w:lineRule="exact"/>
              <w:rPr>
                <w:sz w:val="20"/>
                <w:szCs w:val="20"/>
                <w:color w:val="auto"/>
              </w:rPr>
            </w:pPr>
            <w:r>
              <w:rPr>
                <w:rFonts w:ascii="Arial" w:cs="Arial" w:eastAsia="Arial" w:hAnsi="Arial"/>
                <w:sz w:val="22"/>
                <w:szCs w:val="22"/>
                <w:color w:val="auto"/>
                <w:vertAlign w:val="superscript"/>
              </w:rPr>
              <w:t>(c)</w:t>
            </w:r>
            <w:r>
              <w:rPr>
                <w:rFonts w:ascii="Arial" w:cs="Arial" w:eastAsia="Arial" w:hAnsi="Arial"/>
                <w:sz w:val="17"/>
                <w:szCs w:val="17"/>
                <w:color w:val="auto"/>
              </w:rPr>
              <w:t xml:space="preserve"> in adults</w:t>
            </w:r>
            <w:r>
              <w:rPr>
                <w:rFonts w:ascii="Arial" w:cs="Arial" w:eastAsia="Arial" w:hAnsi="Arial"/>
                <w:sz w:val="22"/>
                <w:szCs w:val="22"/>
                <w:color w:val="auto"/>
                <w:vertAlign w:val="superscript"/>
              </w:rPr>
              <w:t>(d)</w:t>
            </w:r>
            <w:r>
              <w:rPr>
                <w:rFonts w:ascii="Arial" w:cs="Arial" w:eastAsia="Arial" w:hAnsi="Arial"/>
                <w:sz w:val="17"/>
                <w:szCs w:val="17"/>
                <w:color w:val="auto"/>
              </w:rPr>
              <w:t>,</w:t>
            </w:r>
          </w:p>
        </w:tc>
        <w:tc>
          <w:tcPr>
            <w:tcW w:w="1240" w:type="dxa"/>
            <w:vAlign w:val="bottom"/>
          </w:tcPr>
          <w:p>
            <w:pPr>
              <w:ind w:left="80"/>
              <w:spacing w:after="0" w:line="191" w:lineRule="exact"/>
              <w:rPr>
                <w:sz w:val="20"/>
                <w:szCs w:val="20"/>
                <w:color w:val="auto"/>
              </w:rPr>
            </w:pPr>
            <w:r>
              <w:rPr>
                <w:rFonts w:ascii="Arial" w:cs="Arial" w:eastAsia="Arial" w:hAnsi="Arial"/>
                <w:sz w:val="18"/>
                <w:szCs w:val="18"/>
                <w:color w:val="auto"/>
              </w:rPr>
              <w:t>injector (U.S.)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-1612265</wp:posOffset>
            </wp:positionV>
            <wp:extent cx="71323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4600"/>
        <w:spacing w:after="0" w:line="183" w:lineRule="auto"/>
        <w:rPr>
          <w:sz w:val="20"/>
          <w:szCs w:val="20"/>
          <w:color w:val="auto"/>
        </w:rPr>
      </w:pPr>
      <w:r>
        <w:rPr>
          <w:rFonts w:ascii="Arial" w:cs="Arial" w:eastAsia="Arial" w:hAnsi="Arial"/>
          <w:sz w:val="16"/>
          <w:szCs w:val="16"/>
          <w:color w:val="auto"/>
        </w:rPr>
        <w:t>adolescents</w:t>
      </w:r>
      <w:r>
        <w:rPr>
          <w:rFonts w:ascii="Arial" w:cs="Arial" w:eastAsia="Arial" w:hAnsi="Arial"/>
          <w:sz w:val="20"/>
          <w:szCs w:val="20"/>
          <w:color w:val="auto"/>
          <w:vertAlign w:val="superscript"/>
        </w:rPr>
        <w:t>(d)</w:t>
      </w:r>
      <w:r>
        <w:rPr>
          <w:rFonts w:ascii="Arial" w:cs="Arial" w:eastAsia="Arial" w:hAnsi="Arial"/>
          <w:sz w:val="16"/>
          <w:szCs w:val="16"/>
          <w:color w:val="auto"/>
        </w:rPr>
        <w:t>, and</w:t>
      </w:r>
    </w:p>
    <w:p>
      <w:pPr>
        <w:ind w:left="4600"/>
        <w:spacing w:after="0"/>
        <w:rPr>
          <w:sz w:val="20"/>
          <w:szCs w:val="20"/>
          <w:color w:val="auto"/>
        </w:rPr>
      </w:pPr>
      <w:r>
        <w:rPr>
          <w:rFonts w:ascii="Arial" w:cs="Arial" w:eastAsia="Arial" w:hAnsi="Arial"/>
          <w:sz w:val="18"/>
          <w:szCs w:val="18"/>
          <w:color w:val="auto"/>
        </w:rPr>
        <w:t>pediatrics</w:t>
      </w:r>
    </w:p>
    <w:p>
      <w:pPr>
        <w:spacing w:after="0" w:line="18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–Chronic</w:t>
      </w:r>
    </w:p>
    <w:p>
      <w:pPr>
        <w:ind w:left="4600"/>
        <w:spacing w:after="0" w:line="203" w:lineRule="auto"/>
        <w:rPr>
          <w:sz w:val="20"/>
          <w:szCs w:val="20"/>
          <w:color w:val="auto"/>
        </w:rPr>
      </w:pPr>
      <w:r>
        <w:rPr>
          <w:rFonts w:ascii="Arial" w:cs="Arial" w:eastAsia="Arial" w:hAnsi="Arial"/>
          <w:sz w:val="18"/>
          <w:szCs w:val="18"/>
          <w:color w:val="auto"/>
        </w:rPr>
        <w:t>obstructive</w:t>
      </w:r>
    </w:p>
    <w:p>
      <w:pPr>
        <w:ind w:left="4600"/>
        <w:spacing w:after="0" w:line="203" w:lineRule="auto"/>
        <w:rPr>
          <w:sz w:val="20"/>
          <w:szCs w:val="20"/>
          <w:color w:val="auto"/>
        </w:rPr>
      </w:pPr>
      <w:r>
        <w:rPr>
          <w:rFonts w:ascii="Arial" w:cs="Arial" w:eastAsia="Arial" w:hAnsi="Arial"/>
          <w:sz w:val="18"/>
          <w:szCs w:val="18"/>
          <w:color w:val="auto"/>
        </w:rPr>
        <w:t>pulmonary disease</w:t>
      </w:r>
    </w:p>
    <w:p>
      <w:pPr>
        <w:spacing w:after="0" w:line="1"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("COPD")</w:t>
      </w:r>
    </w:p>
    <w:p>
      <w:pPr>
        <w:spacing w:after="0" w:line="18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–Bullous</w:t>
      </w:r>
    </w:p>
    <w:p>
      <w:pPr>
        <w:ind w:left="4600"/>
        <w:spacing w:after="0" w:line="203" w:lineRule="auto"/>
        <w:rPr>
          <w:sz w:val="20"/>
          <w:szCs w:val="20"/>
          <w:color w:val="auto"/>
        </w:rPr>
      </w:pPr>
      <w:r>
        <w:rPr>
          <w:rFonts w:ascii="Arial" w:cs="Arial" w:eastAsia="Arial" w:hAnsi="Arial"/>
          <w:sz w:val="18"/>
          <w:szCs w:val="18"/>
          <w:color w:val="auto"/>
        </w:rPr>
        <w:t>pemphigoid (Phase</w:t>
      </w:r>
    </w:p>
    <w:p>
      <w:pPr>
        <w:ind w:left="4600"/>
        <w:spacing w:after="0"/>
        <w:rPr>
          <w:sz w:val="20"/>
          <w:szCs w:val="20"/>
          <w:color w:val="auto"/>
        </w:rPr>
      </w:pPr>
      <w:r>
        <w:rPr>
          <w:rFonts w:ascii="Arial" w:cs="Arial" w:eastAsia="Arial" w:hAnsi="Arial"/>
          <w:sz w:val="18"/>
          <w:szCs w:val="18"/>
          <w:color w:val="auto"/>
        </w:rPr>
        <w:t>2/3)</w:t>
      </w:r>
      <w:r>
        <w:rPr>
          <w:rFonts w:ascii="Arial" w:cs="Arial" w:eastAsia="Arial" w:hAnsi="Arial"/>
          <w:sz w:val="23"/>
          <w:szCs w:val="23"/>
          <w:color w:val="auto"/>
          <w:vertAlign w:val="superscript"/>
        </w:rPr>
        <w:t>(c)</w:t>
      </w:r>
    </w:p>
    <w:p>
      <w:pPr>
        <w:spacing w:after="0" w:line="12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–Chronic</w:t>
      </w:r>
    </w:p>
    <w:p>
      <w:pPr>
        <w:ind w:left="4600"/>
        <w:spacing w:after="0" w:line="203" w:lineRule="auto"/>
        <w:rPr>
          <w:sz w:val="20"/>
          <w:szCs w:val="20"/>
          <w:color w:val="auto"/>
        </w:rPr>
      </w:pPr>
      <w:r>
        <w:rPr>
          <w:rFonts w:ascii="Arial" w:cs="Arial" w:eastAsia="Arial" w:hAnsi="Arial"/>
          <w:sz w:val="18"/>
          <w:szCs w:val="18"/>
          <w:color w:val="auto"/>
        </w:rPr>
        <w:t>spontaneous</w:t>
      </w:r>
    </w:p>
    <w:p>
      <w:pPr>
        <w:ind w:left="4600"/>
        <w:spacing w:after="0"/>
        <w:rPr>
          <w:sz w:val="20"/>
          <w:szCs w:val="20"/>
          <w:color w:val="auto"/>
        </w:rPr>
      </w:pPr>
      <w:r>
        <w:rPr>
          <w:rFonts w:ascii="Arial" w:cs="Arial" w:eastAsia="Arial" w:hAnsi="Arial"/>
          <w:sz w:val="18"/>
          <w:szCs w:val="18"/>
          <w:color w:val="auto"/>
        </w:rPr>
        <w:t>urticaria</w:t>
      </w:r>
    </w:p>
    <w:p>
      <w:pPr>
        <w:spacing w:after="0" w:line="19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–Prurigo nodularis</w:t>
      </w:r>
    </w:p>
    <w:p>
      <w:pPr>
        <w:spacing w:after="0" w:line="19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–Allergic</w:t>
      </w:r>
    </w:p>
    <w:p>
      <w:pPr>
        <w:ind w:left="4600"/>
        <w:spacing w:after="0" w:line="203" w:lineRule="auto"/>
        <w:rPr>
          <w:sz w:val="20"/>
          <w:szCs w:val="20"/>
          <w:color w:val="auto"/>
        </w:rPr>
      </w:pPr>
      <w:r>
        <w:rPr>
          <w:rFonts w:ascii="Arial" w:cs="Arial" w:eastAsia="Arial" w:hAnsi="Arial"/>
          <w:sz w:val="18"/>
          <w:szCs w:val="18"/>
          <w:color w:val="auto"/>
        </w:rPr>
        <w:t>bronchopulmonary</w:t>
      </w:r>
    </w:p>
    <w:p>
      <w:pPr>
        <w:ind w:left="4600"/>
        <w:spacing w:after="0" w:line="203" w:lineRule="auto"/>
        <w:rPr>
          <w:sz w:val="20"/>
          <w:szCs w:val="20"/>
          <w:color w:val="auto"/>
        </w:rPr>
      </w:pPr>
      <w:r>
        <w:rPr>
          <w:rFonts w:ascii="Arial" w:cs="Arial" w:eastAsia="Arial" w:hAnsi="Arial"/>
          <w:sz w:val="18"/>
          <w:szCs w:val="18"/>
          <w:color w:val="auto"/>
        </w:rPr>
        <w:t>aspergillosis</w:t>
      </w:r>
    </w:p>
    <w:p>
      <w:pPr>
        <w:spacing w:after="0" w:line="1"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("ABPA")</w:t>
      </w:r>
    </w:p>
    <w:p>
      <w:pPr>
        <w:spacing w:after="0" w:line="18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–Chronic inducible</w:t>
      </w:r>
    </w:p>
    <w:p>
      <w:pPr>
        <w:ind w:left="4600"/>
        <w:spacing w:after="0"/>
        <w:rPr>
          <w:sz w:val="20"/>
          <w:szCs w:val="20"/>
          <w:color w:val="auto"/>
        </w:rPr>
      </w:pPr>
      <w:r>
        <w:rPr>
          <w:rFonts w:ascii="Arial" w:cs="Arial" w:eastAsia="Arial" w:hAnsi="Arial"/>
          <w:sz w:val="18"/>
          <w:szCs w:val="18"/>
          <w:color w:val="auto"/>
        </w:rPr>
        <w:t>urticaria</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–Approved by FDA and EC for expanded atopic dermatitis indication in pediatrics (6–11 years of age)</w:t>
      </w:r>
    </w:p>
    <w:p>
      <w:pPr>
        <w:spacing w:after="0" w:line="125"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color w:val="auto"/>
        </w:rPr>
        <w:t>–Approved by National Medical Products Administration ("NMPA") in China for adults with atopic dermatitis</w:t>
      </w:r>
    </w:p>
    <w:p>
      <w:pPr>
        <w:spacing w:after="0" w:line="120" w:lineRule="exact"/>
        <w:rPr>
          <w:sz w:val="20"/>
          <w:szCs w:val="20"/>
          <w:color w:val="auto"/>
        </w:rPr>
      </w:pPr>
    </w:p>
    <w:p>
      <w:pPr>
        <w:ind w:right="100"/>
        <w:spacing w:after="0" w:line="226" w:lineRule="auto"/>
        <w:rPr>
          <w:sz w:val="20"/>
          <w:szCs w:val="20"/>
          <w:color w:val="auto"/>
        </w:rPr>
      </w:pPr>
      <w:r>
        <w:rPr>
          <w:rFonts w:ascii="Arial" w:cs="Arial" w:eastAsia="Arial" w:hAnsi="Arial"/>
          <w:sz w:val="17"/>
          <w:szCs w:val="17"/>
          <w:color w:val="auto"/>
        </w:rPr>
        <w:t>–Reported that Phase 3 trial for asthma in children aged 6 to 11 years met its primary and key secondary endpoints</w:t>
      </w:r>
    </w:p>
    <w:p>
      <w:pPr>
        <w:spacing w:after="0" w:line="124"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–Approved by MHLW for CRSwNP in Japan</w:t>
      </w:r>
    </w:p>
    <w:p>
      <w:pPr>
        <w:spacing w:after="0" w:line="83"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–Approved by FDA and MHLW for 300 mg auto-injector</w:t>
      </w:r>
    </w:p>
    <w:p>
      <w:pPr>
        <w:spacing w:after="0" w:line="122"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–Reported that Part A of the Phase 3 trial in adult and adolescent patients with EoE met both co-primary endpoints</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ind w:right="80"/>
        <w:spacing w:after="0" w:line="244" w:lineRule="auto"/>
        <w:rPr>
          <w:sz w:val="20"/>
          <w:szCs w:val="20"/>
          <w:color w:val="auto"/>
        </w:rPr>
      </w:pPr>
      <w:r>
        <w:rPr>
          <w:rFonts w:ascii="Arial" w:cs="Arial" w:eastAsia="Arial" w:hAnsi="Arial"/>
          <w:sz w:val="16"/>
          <w:szCs w:val="16"/>
          <w:color w:val="auto"/>
        </w:rPr>
        <w:t>–Report results from Phase 3 study for atopic dermatitis in pediatric patients (6 months–5 years of age) (2022)</w:t>
      </w:r>
    </w:p>
    <w:p>
      <w:pPr>
        <w:spacing w:after="0" w:line="185"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–FDA decision on supplemental BLA ("sBLA") for asthma in pediatrics (6–11 years of age) (second half 2021)</w:t>
      </w:r>
    </w:p>
    <w:p>
      <w:pPr>
        <w:spacing w:after="0" w:line="185" w:lineRule="exact"/>
        <w:rPr>
          <w:sz w:val="20"/>
          <w:szCs w:val="20"/>
          <w:color w:val="auto"/>
        </w:rPr>
      </w:pPr>
    </w:p>
    <w:p>
      <w:pPr>
        <w:ind w:right="20"/>
        <w:spacing w:after="0" w:line="228" w:lineRule="auto"/>
        <w:rPr>
          <w:sz w:val="20"/>
          <w:szCs w:val="20"/>
          <w:color w:val="auto"/>
        </w:rPr>
      </w:pPr>
      <w:r>
        <w:rPr>
          <w:rFonts w:ascii="Arial" w:cs="Arial" w:eastAsia="Arial" w:hAnsi="Arial"/>
          <w:sz w:val="17"/>
          <w:szCs w:val="17"/>
          <w:color w:val="auto"/>
        </w:rPr>
        <w:t>–FDA decision on sBLA for asthma longer term efficacy and safety label update (second half 2021)</w:t>
      </w:r>
    </w:p>
    <w:p>
      <w:pPr>
        <w:spacing w:after="0" w:line="192" w:lineRule="exact"/>
        <w:rPr>
          <w:sz w:val="20"/>
          <w:szCs w:val="20"/>
          <w:color w:val="auto"/>
        </w:rPr>
      </w:pPr>
    </w:p>
    <w:p>
      <w:pPr>
        <w:ind w:right="40"/>
        <w:spacing w:after="0" w:line="226" w:lineRule="auto"/>
        <w:rPr>
          <w:sz w:val="20"/>
          <w:szCs w:val="20"/>
          <w:color w:val="auto"/>
        </w:rPr>
      </w:pPr>
      <w:r>
        <w:rPr>
          <w:rFonts w:ascii="Arial" w:cs="Arial" w:eastAsia="Arial" w:hAnsi="Arial"/>
          <w:sz w:val="17"/>
          <w:szCs w:val="17"/>
          <w:color w:val="auto"/>
        </w:rPr>
        <w:t>–Submit Marketing Authorization Application ("MAA") for asthma in pediatrics (6–11 years of age) (first quarter 2021)</w:t>
      </w:r>
    </w:p>
    <w:p>
      <w:pPr>
        <w:spacing w:after="0" w:line="192" w:lineRule="exact"/>
        <w:rPr>
          <w:sz w:val="20"/>
          <w:szCs w:val="20"/>
          <w:color w:val="auto"/>
        </w:rPr>
      </w:pPr>
    </w:p>
    <w:p>
      <w:pPr>
        <w:ind w:right="260"/>
        <w:spacing w:after="0" w:line="244" w:lineRule="auto"/>
        <w:rPr>
          <w:sz w:val="20"/>
          <w:szCs w:val="20"/>
          <w:color w:val="auto"/>
        </w:rPr>
      </w:pPr>
      <w:r>
        <w:rPr>
          <w:rFonts w:ascii="Arial" w:cs="Arial" w:eastAsia="Arial" w:hAnsi="Arial"/>
          <w:sz w:val="16"/>
          <w:szCs w:val="16"/>
          <w:color w:val="auto"/>
        </w:rPr>
        <w:t>–Report results from Part B of the Phase 3 study in adults and adolescents with EoE (second half 2021)</w:t>
      </w:r>
    </w:p>
    <w:p>
      <w:pPr>
        <w:spacing w:after="0" w:line="185" w:lineRule="exact"/>
        <w:rPr>
          <w:sz w:val="20"/>
          <w:szCs w:val="20"/>
          <w:color w:val="auto"/>
        </w:rPr>
      </w:pPr>
    </w:p>
    <w:p>
      <w:pPr>
        <w:jc w:val="both"/>
        <w:ind w:right="180"/>
        <w:spacing w:after="0" w:line="249" w:lineRule="auto"/>
        <w:rPr>
          <w:sz w:val="20"/>
          <w:szCs w:val="20"/>
          <w:color w:val="auto"/>
        </w:rPr>
      </w:pPr>
      <w:r>
        <w:rPr>
          <w:rFonts w:ascii="Arial" w:cs="Arial" w:eastAsia="Arial" w:hAnsi="Arial"/>
          <w:sz w:val="16"/>
          <w:szCs w:val="16"/>
          <w:color w:val="auto"/>
        </w:rPr>
        <w:t>–Report results from Phase 2 monotherapy study in peanut allergy (second half 2021)</w:t>
      </w:r>
    </w:p>
    <w:p>
      <w:pPr>
        <w:spacing w:after="0" w:line="739" w:lineRule="exact"/>
        <w:rPr>
          <w:sz w:val="20"/>
          <w:szCs w:val="20"/>
          <w:color w:val="auto"/>
        </w:rPr>
      </w:pPr>
    </w:p>
    <w:p>
      <w:pPr>
        <w:sectPr>
          <w:pgSz w:w="11900" w:h="16838" w:orient="portrait"/>
          <w:cols w:equalWidth="0" w:num="3">
            <w:col w:w="7340" w:space="160"/>
            <w:col w:w="1760" w:space="160"/>
            <w:col w:w="1820"/>
          </w:cols>
          <w:pgMar w:left="320" w:top="130" w:right="339" w:bottom="1440" w:gutter="0" w:footer="0" w:header="0"/>
          <w:type w:val="continuous"/>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Clinical Program</w:t>
            </w:r>
          </w:p>
        </w:tc>
        <w:tc>
          <w:tcPr>
            <w:tcW w:w="120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Phase 1</w:t>
            </w:r>
          </w:p>
        </w:tc>
        <w:tc>
          <w:tcPr>
            <w:tcW w:w="154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Phase 2</w:t>
            </w:r>
          </w:p>
        </w:tc>
        <w:tc>
          <w:tcPr>
            <w:tcW w:w="156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Phase 3</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Regulatory</w:t>
            </w:r>
          </w:p>
        </w:tc>
        <w:tc>
          <w:tcPr>
            <w:tcW w:w="1840" w:type="dxa"/>
            <w:vAlign w:val="bottom"/>
          </w:tcPr>
          <w:p>
            <w:pPr>
              <w:ind w:left="360"/>
              <w:spacing w:after="0"/>
              <w:rPr>
                <w:sz w:val="20"/>
                <w:szCs w:val="20"/>
                <w:color w:val="auto"/>
              </w:rPr>
            </w:pPr>
            <w:r>
              <w:rPr>
                <w:rFonts w:ascii="Arial" w:cs="Arial" w:eastAsia="Arial" w:hAnsi="Arial"/>
                <w:sz w:val="18"/>
                <w:szCs w:val="18"/>
                <w:b w:val="1"/>
                <w:bCs w:val="1"/>
                <w:color w:val="auto"/>
              </w:rPr>
              <w:t>2020 and 2021</w:t>
            </w:r>
          </w:p>
        </w:tc>
        <w:tc>
          <w:tcPr>
            <w:tcW w:w="0" w:type="dxa"/>
            <w:vAlign w:val="bottom"/>
          </w:tcPr>
          <w:p>
            <w:pPr>
              <w:spacing w:after="0"/>
              <w:rPr>
                <w:sz w:val="1"/>
                <w:szCs w:val="1"/>
                <w:color w:val="auto"/>
              </w:rPr>
            </w:pPr>
          </w:p>
        </w:tc>
      </w:tr>
      <w:tr>
        <w:trPr>
          <w:trHeight w:val="229"/>
        </w:trPr>
        <w:tc>
          <w:tcPr>
            <w:tcW w:w="1860" w:type="dxa"/>
            <w:vAlign w:val="bottom"/>
            <w:gridSpan w:val="2"/>
          </w:tcPr>
          <w:p>
            <w:pPr>
              <w:jc w:val="center"/>
              <w:ind w:right="80"/>
              <w:spacing w:after="0"/>
              <w:rPr>
                <w:sz w:val="20"/>
                <w:szCs w:val="20"/>
                <w:color w:val="auto"/>
              </w:rPr>
            </w:pPr>
            <w:r>
              <w:rPr>
                <w:rFonts w:ascii="Arial" w:cs="Arial" w:eastAsia="Arial" w:hAnsi="Arial"/>
                <w:sz w:val="18"/>
                <w:szCs w:val="18"/>
                <w:b w:val="1"/>
                <w:bCs w:val="1"/>
                <w:i w:val="1"/>
                <w:iCs w:val="1"/>
                <w:color w:val="auto"/>
                <w:w w:val="87"/>
              </w:rPr>
              <w:t>(continued)</w:t>
            </w:r>
          </w:p>
        </w:tc>
        <w:tc>
          <w:tcPr>
            <w:tcW w:w="1200" w:type="dxa"/>
            <w:vAlign w:val="bottom"/>
            <w:gridSpan w:val="2"/>
            <w:vMerge w:val="continue"/>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1320" w:type="dxa"/>
            <w:vAlign w:val="bottom"/>
            <w:gridSpan w:val="2"/>
          </w:tcPr>
          <w:p>
            <w:pPr>
              <w:jc w:val="center"/>
              <w:ind w:right="80"/>
              <w:spacing w:after="0" w:line="230" w:lineRule="exact"/>
              <w:rPr>
                <w:sz w:val="20"/>
                <w:szCs w:val="20"/>
                <w:color w:val="auto"/>
              </w:rPr>
            </w:pPr>
            <w:r>
              <w:rPr>
                <w:rFonts w:ascii="Arial" w:cs="Arial" w:eastAsia="Arial" w:hAnsi="Arial"/>
                <w:sz w:val="18"/>
                <w:szCs w:val="18"/>
                <w:b w:val="1"/>
                <w:bCs w:val="1"/>
                <w:color w:val="auto"/>
                <w:w w:val="88"/>
              </w:rPr>
              <w:t>Review</w:t>
            </w:r>
            <w:r>
              <w:rPr>
                <w:rFonts w:ascii="Arial" w:cs="Arial" w:eastAsia="Arial" w:hAnsi="Arial"/>
                <w:sz w:val="23"/>
                <w:szCs w:val="23"/>
                <w:b w:val="1"/>
                <w:bCs w:val="1"/>
                <w:color w:val="auto"/>
                <w:w w:val="88"/>
                <w:vertAlign w:val="superscript"/>
              </w:rPr>
              <w:t>(i)</w:t>
            </w:r>
          </w:p>
        </w:tc>
        <w:tc>
          <w:tcPr>
            <w:tcW w:w="1840" w:type="dxa"/>
            <w:vAlign w:val="bottom"/>
          </w:tcPr>
          <w:p>
            <w:pPr>
              <w:ind w:left="360"/>
              <w:spacing w:after="0"/>
              <w:rPr>
                <w:sz w:val="20"/>
                <w:szCs w:val="20"/>
                <w:color w:val="auto"/>
              </w:rPr>
            </w:pPr>
            <w:r>
              <w:rPr>
                <w:rFonts w:ascii="Arial" w:cs="Arial" w:eastAsia="Arial" w:hAnsi="Arial"/>
                <w:sz w:val="18"/>
                <w:szCs w:val="18"/>
                <w:b w:val="1"/>
                <w:bCs w:val="1"/>
                <w:color w:val="auto"/>
              </w:rPr>
              <w:t>Events to Date</w:t>
            </w:r>
          </w:p>
        </w:tc>
        <w:tc>
          <w:tcPr>
            <w:tcW w:w="0" w:type="dxa"/>
            <w:vAlign w:val="bottom"/>
          </w:tcPr>
          <w:p>
            <w:pPr>
              <w:spacing w:after="0"/>
              <w:rPr>
                <w:sz w:val="1"/>
                <w:szCs w:val="1"/>
                <w:color w:val="auto"/>
              </w:rPr>
            </w:pPr>
          </w:p>
        </w:tc>
      </w:tr>
      <w:tr>
        <w:trPr>
          <w:trHeight w:val="169"/>
        </w:trPr>
        <w:tc>
          <w:tcPr>
            <w:tcW w:w="178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b w:val="1"/>
                <w:bCs w:val="1"/>
                <w:color w:val="auto"/>
                <w:w w:val="94"/>
              </w:rPr>
              <w:t>Dupixent (dupilumab)</w:t>
            </w:r>
          </w:p>
        </w:tc>
        <w:tc>
          <w:tcPr>
            <w:tcW w:w="8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–Chronic sinusitis</w:t>
            </w:r>
          </w:p>
        </w:tc>
        <w:tc>
          <w:tcPr>
            <w:tcW w:w="8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w w:val="94"/>
              </w:rPr>
              <w:t>–Reported that Phase 2</w:t>
            </w:r>
          </w:p>
        </w:tc>
        <w:tc>
          <w:tcPr>
            <w:tcW w:w="0" w:type="dxa"/>
            <w:vAlign w:val="bottom"/>
          </w:tcPr>
          <w:p>
            <w:pPr>
              <w:spacing w:after="0"/>
              <w:rPr>
                <w:sz w:val="1"/>
                <w:szCs w:val="1"/>
                <w:color w:val="auto"/>
              </w:rPr>
            </w:pPr>
          </w:p>
        </w:tc>
      </w:tr>
      <w:tr>
        <w:trPr>
          <w:trHeight w:val="107"/>
        </w:trPr>
        <w:tc>
          <w:tcPr>
            <w:tcW w:w="1860" w:type="dxa"/>
            <w:vAlign w:val="bottom"/>
            <w:gridSpan w:val="2"/>
          </w:tcPr>
          <w:p>
            <w:pPr>
              <w:ind w:left="20"/>
              <w:spacing w:after="0" w:line="107" w:lineRule="exact"/>
              <w:rPr>
                <w:sz w:val="20"/>
                <w:szCs w:val="20"/>
                <w:color w:val="auto"/>
              </w:rPr>
            </w:pPr>
            <w:r>
              <w:rPr>
                <w:rFonts w:ascii="Arial" w:cs="Arial" w:eastAsia="Arial" w:hAnsi="Arial"/>
                <w:sz w:val="12"/>
                <w:szCs w:val="12"/>
                <w:b w:val="1"/>
                <w:bCs w:val="1"/>
                <w:color w:val="auto"/>
              </w:rPr>
              <w:t>(a)</w:t>
            </w: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rPr>
              <w:t>without nasal</w:t>
            </w: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40" w:type="dxa"/>
            <w:vAlign w:val="bottom"/>
            <w:vMerge w:val="restart"/>
          </w:tcPr>
          <w:p>
            <w:pPr>
              <w:ind w:left="20"/>
              <w:spacing w:after="0" w:line="176" w:lineRule="exact"/>
              <w:rPr>
                <w:sz w:val="20"/>
                <w:szCs w:val="20"/>
                <w:color w:val="auto"/>
              </w:rPr>
            </w:pPr>
            <w:r>
              <w:rPr>
                <w:rFonts w:ascii="Arial" w:cs="Arial" w:eastAsia="Arial" w:hAnsi="Arial"/>
                <w:sz w:val="18"/>
                <w:szCs w:val="18"/>
                <w:color w:val="auto"/>
              </w:rPr>
              <w:t>trial of Dupixent in</w:t>
            </w:r>
          </w:p>
        </w:tc>
        <w:tc>
          <w:tcPr>
            <w:tcW w:w="0" w:type="dxa"/>
            <w:vAlign w:val="bottom"/>
          </w:tcPr>
          <w:p>
            <w:pPr>
              <w:spacing w:after="0"/>
              <w:rPr>
                <w:sz w:val="1"/>
                <w:szCs w:val="1"/>
                <w:color w:val="auto"/>
              </w:rPr>
            </w:pPr>
          </w:p>
        </w:tc>
      </w:tr>
      <w:tr>
        <w:trPr>
          <w:trHeight w:val="68"/>
        </w:trPr>
        <w:tc>
          <w:tcPr>
            <w:tcW w:w="186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(continued)</w:t>
            </w: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86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polyposis</w:t>
            </w: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combination with</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2"/>
            <w:vMerge w:val="restart"/>
          </w:tcPr>
          <w:p>
            <w:pPr>
              <w:ind w:left="20"/>
              <w:spacing w:after="0"/>
              <w:rPr>
                <w:sz w:val="20"/>
                <w:szCs w:val="20"/>
                <w:color w:val="auto"/>
              </w:rPr>
            </w:pPr>
            <w:r>
              <w:rPr>
                <w:rFonts w:ascii="Arial" w:cs="Arial" w:eastAsia="Arial" w:hAnsi="Arial"/>
                <w:sz w:val="18"/>
                <w:szCs w:val="18"/>
                <w:color w:val="auto"/>
              </w:rPr>
              <w:t>–Allergic fungal</w:t>
            </w: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w w:val="95"/>
              </w:rPr>
              <w:t>Aimmune Therapeutics'</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AR101, an oral</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rhinosinusitis</w:t>
            </w: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immunotherapy, in</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pediatric patients with</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peanut allergy met its</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primary and key</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rPr>
              <w:t>secondary endpoint</w:t>
            </w:r>
          </w:p>
        </w:tc>
        <w:tc>
          <w:tcPr>
            <w:tcW w:w="0" w:type="dxa"/>
            <w:vAlign w:val="bottom"/>
          </w:tcPr>
          <w:p>
            <w:pPr>
              <w:spacing w:after="0"/>
              <w:rPr>
                <w:sz w:val="1"/>
                <w:szCs w:val="1"/>
                <w:color w:val="auto"/>
              </w:rPr>
            </w:pPr>
          </w:p>
        </w:tc>
      </w:tr>
      <w:tr>
        <w:trPr>
          <w:trHeight w:val="364"/>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w w:val="94"/>
              </w:rPr>
              <w:t>–Presented results from</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Phase 2a trial in grass</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rPr>
              <w:t>allergy</w:t>
            </w:r>
          </w:p>
        </w:tc>
        <w:tc>
          <w:tcPr>
            <w:tcW w:w="0" w:type="dxa"/>
            <w:vAlign w:val="bottom"/>
          </w:tcPr>
          <w:p>
            <w:pPr>
              <w:spacing w:after="0"/>
              <w:rPr>
                <w:sz w:val="1"/>
                <w:szCs w:val="1"/>
                <w:color w:val="auto"/>
              </w:rPr>
            </w:pPr>
          </w:p>
        </w:tc>
      </w:tr>
      <w:tr>
        <w:trPr>
          <w:trHeight w:val="364"/>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rPr>
              <w:t>–Initiated second</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confirmatory Phase 3</w:t>
            </w:r>
          </w:p>
        </w:tc>
        <w:tc>
          <w:tcPr>
            <w:tcW w:w="0" w:type="dxa"/>
            <w:vAlign w:val="bottom"/>
          </w:tcPr>
          <w:p>
            <w:pPr>
              <w:spacing w:after="0"/>
              <w:rPr>
                <w:sz w:val="1"/>
                <w:szCs w:val="1"/>
                <w:color w:val="auto"/>
              </w:rPr>
            </w:pPr>
          </w:p>
        </w:tc>
      </w:tr>
      <w:tr>
        <w:trPr>
          <w:trHeight w:val="228"/>
        </w:trPr>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rPr>
              <w:t>trial in COPD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Select Upcoming</w:t>
      </w:r>
    </w:p>
    <w:p>
      <w:pPr>
        <w:jc w:val="center"/>
        <w:ind w:right="20"/>
        <w:spacing w:after="0" w:line="220" w:lineRule="auto"/>
        <w:rPr>
          <w:sz w:val="20"/>
          <w:szCs w:val="20"/>
          <w:color w:val="auto"/>
        </w:rPr>
      </w:pPr>
      <w:r>
        <w:rPr>
          <w:rFonts w:ascii="Arial" w:cs="Arial" w:eastAsia="Arial" w:hAnsi="Arial"/>
          <w:sz w:val="18"/>
          <w:szCs w:val="18"/>
          <w:b w:val="1"/>
          <w:bCs w:val="1"/>
          <w:color w:val="auto"/>
        </w:rPr>
        <w:t>Milestones</w:t>
      </w:r>
      <w:r>
        <w:rPr>
          <w:rFonts w:ascii="Arial" w:cs="Arial" w:eastAsia="Arial" w:hAnsi="Arial"/>
          <w:sz w:val="23"/>
          <w:szCs w:val="23"/>
          <w:b w:val="1"/>
          <w:bCs w:val="1"/>
          <w:color w:val="auto"/>
          <w:vertAlign w:val="superscript"/>
        </w:rPr>
        <w:t>(k)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1165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jc w:val="both"/>
        <w:ind w:right="20"/>
        <w:spacing w:after="0" w:line="231" w:lineRule="auto"/>
        <w:rPr>
          <w:sz w:val="20"/>
          <w:szCs w:val="20"/>
          <w:color w:val="auto"/>
        </w:rPr>
      </w:pPr>
      <w:r>
        <w:rPr>
          <w:rFonts w:ascii="Arial" w:cs="Arial" w:eastAsia="Arial" w:hAnsi="Arial"/>
          <w:sz w:val="17"/>
          <w:szCs w:val="17"/>
          <w:color w:val="auto"/>
        </w:rPr>
        <w:t>–FDA decision on sBLA for 200 mg auto-injector (mid-2021)</w:t>
      </w:r>
    </w:p>
    <w:p>
      <w:pPr>
        <w:spacing w:after="0" w:line="189" w:lineRule="exact"/>
        <w:rPr>
          <w:sz w:val="20"/>
          <w:szCs w:val="20"/>
          <w:color w:val="auto"/>
        </w:rPr>
      </w:pPr>
    </w:p>
    <w:p>
      <w:pPr>
        <w:ind w:right="260"/>
        <w:spacing w:after="0" w:line="226" w:lineRule="auto"/>
        <w:rPr>
          <w:sz w:val="20"/>
          <w:szCs w:val="20"/>
          <w:color w:val="auto"/>
        </w:rPr>
      </w:pPr>
      <w:r>
        <w:rPr>
          <w:rFonts w:ascii="Arial" w:cs="Arial" w:eastAsia="Arial" w:hAnsi="Arial"/>
          <w:sz w:val="17"/>
          <w:szCs w:val="17"/>
          <w:color w:val="auto"/>
        </w:rPr>
        <w:t>–Report results from Phase 3 chronic spontaneous urticaria and prurigo nodularis studies (second half 2021)</w:t>
      </w:r>
    </w:p>
    <w:p>
      <w:pPr>
        <w:spacing w:after="0" w:line="192" w:lineRule="exact"/>
        <w:rPr>
          <w:sz w:val="20"/>
          <w:szCs w:val="20"/>
          <w:color w:val="auto"/>
        </w:rPr>
      </w:pPr>
    </w:p>
    <w:p>
      <w:pPr>
        <w:ind w:right="160"/>
        <w:spacing w:after="0" w:line="232" w:lineRule="auto"/>
        <w:rPr>
          <w:sz w:val="20"/>
          <w:szCs w:val="20"/>
          <w:color w:val="auto"/>
        </w:rPr>
      </w:pPr>
      <w:r>
        <w:rPr>
          <w:rFonts w:ascii="Arial" w:cs="Arial" w:eastAsia="Arial" w:hAnsi="Arial"/>
          <w:sz w:val="17"/>
          <w:szCs w:val="17"/>
          <w:color w:val="auto"/>
        </w:rPr>
        <w:t>–Initiate Phase 3 study in hand and foot atopic dermatitis (first half 2021)</w:t>
      </w:r>
    </w:p>
    <w:p>
      <w:pPr>
        <w:spacing w:after="0" w:line="526" w:lineRule="exact"/>
        <w:rPr>
          <w:sz w:val="20"/>
          <w:szCs w:val="20"/>
          <w:color w:val="auto"/>
        </w:rPr>
      </w:pPr>
    </w:p>
    <w:p>
      <w:pPr>
        <w:sectPr>
          <w:pgSz w:w="11900" w:h="16838" w:orient="portrait"/>
          <w:cols w:equalWidth="0" w:num="2">
            <w:col w:w="9320" w:space="100"/>
            <w:col w:w="1820"/>
          </w:cols>
          <w:pgMar w:left="320" w:top="130" w:right="339" w:bottom="1440" w:gutter="0" w:footer="0" w:header="0"/>
          <w:type w:val="continuous"/>
        </w:sectPr>
      </w:pPr>
    </w:p>
    <w:tbl>
      <w:tblPr>
        <w:tblLayout w:type="fixed"/>
        <w:tblInd w:w="0" w:type="dxa"/>
        <w:tblCellMar>
          <w:top w:w="0" w:type="dxa"/>
          <w:left w:w="0" w:type="dxa"/>
          <w:bottom w:w="0" w:type="dxa"/>
          <w:right w:w="0" w:type="dxa"/>
        </w:tblCellMar>
      </w:tblPr>
      <w:tr>
        <w:trPr>
          <w:trHeight w:val="177"/>
        </w:trPr>
        <w:tc>
          <w:tcPr>
            <w:tcW w:w="182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Kevzara (sarilumab)</w:t>
            </w:r>
            <w:r>
              <w:rPr>
                <w:rFonts w:ascii="Arial" w:cs="Arial" w:eastAsia="Arial" w:hAnsi="Arial"/>
                <w:sz w:val="20"/>
                <w:szCs w:val="20"/>
                <w:b w:val="1"/>
                <w:bCs w:val="1"/>
                <w:color w:val="auto"/>
                <w:vertAlign w:val="superscript"/>
              </w:rPr>
              <w:t>(a)</w:t>
            </w:r>
          </w:p>
        </w:tc>
        <w:tc>
          <w:tcPr>
            <w:tcW w:w="2720" w:type="dxa"/>
            <w:vAlign w:val="bottom"/>
            <w:shd w:val="clear" w:color="auto" w:fill="CCEEFF"/>
          </w:tcPr>
          <w:p>
            <w:pPr>
              <w:ind w:left="1260"/>
              <w:spacing w:after="0" w:line="177" w:lineRule="exact"/>
              <w:rPr>
                <w:sz w:val="20"/>
                <w:szCs w:val="20"/>
                <w:color w:val="auto"/>
              </w:rPr>
            </w:pPr>
            <w:r>
              <w:rPr>
                <w:rFonts w:ascii="Arial" w:cs="Arial" w:eastAsia="Arial" w:hAnsi="Arial"/>
                <w:sz w:val="18"/>
                <w:szCs w:val="18"/>
                <w:color w:val="auto"/>
              </w:rPr>
              <w:t>–Polyarticular-</w:t>
            </w:r>
          </w:p>
        </w:tc>
        <w:tc>
          <w:tcPr>
            <w:tcW w:w="2020" w:type="dxa"/>
            <w:vAlign w:val="bottom"/>
            <w:shd w:val="clear" w:color="auto" w:fill="CCEEFF"/>
          </w:tcPr>
          <w:p>
            <w:pPr>
              <w:spacing w:after="0"/>
              <w:rPr>
                <w:sz w:val="15"/>
                <w:szCs w:val="15"/>
                <w:color w:val="auto"/>
              </w:rPr>
            </w:pPr>
          </w:p>
        </w:tc>
        <w:tc>
          <w:tcPr>
            <w:tcW w:w="4680" w:type="dxa"/>
            <w:vAlign w:val="bottom"/>
            <w:shd w:val="clear" w:color="auto" w:fill="CCEEFF"/>
          </w:tcPr>
          <w:p>
            <w:pPr>
              <w:ind w:left="940"/>
              <w:spacing w:after="0" w:line="177" w:lineRule="exact"/>
              <w:rPr>
                <w:sz w:val="20"/>
                <w:szCs w:val="20"/>
                <w:color w:val="auto"/>
              </w:rPr>
            </w:pPr>
            <w:r>
              <w:rPr>
                <w:rFonts w:ascii="Arial" w:cs="Arial" w:eastAsia="Arial" w:hAnsi="Arial"/>
                <w:sz w:val="18"/>
                <w:szCs w:val="18"/>
                <w:color w:val="auto"/>
              </w:rPr>
              <w:t>–Reported that Phase 3</w:t>
            </w:r>
          </w:p>
        </w:tc>
        <w:tc>
          <w:tcPr>
            <w:tcW w:w="0" w:type="dxa"/>
            <w:vAlign w:val="bottom"/>
          </w:tcPr>
          <w:p>
            <w:pPr>
              <w:spacing w:after="0"/>
              <w:rPr>
                <w:sz w:val="1"/>
                <w:szCs w:val="1"/>
                <w:color w:val="auto"/>
              </w:rPr>
            </w:pPr>
          </w:p>
        </w:tc>
      </w:tr>
      <w:tr>
        <w:trPr>
          <w:trHeight w:val="176"/>
        </w:trPr>
        <w:tc>
          <w:tcPr>
            <w:tcW w:w="1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Antibody to IL-6R</w:t>
            </w:r>
          </w:p>
        </w:tc>
        <w:tc>
          <w:tcPr>
            <w:tcW w:w="2720" w:type="dxa"/>
            <w:vAlign w:val="bottom"/>
            <w:shd w:val="clear" w:color="auto" w:fill="CCEEFF"/>
          </w:tcPr>
          <w:p>
            <w:pPr>
              <w:ind w:left="1260"/>
              <w:spacing w:after="0" w:line="176" w:lineRule="exact"/>
              <w:rPr>
                <w:sz w:val="20"/>
                <w:szCs w:val="20"/>
                <w:color w:val="auto"/>
              </w:rPr>
            </w:pPr>
            <w:r>
              <w:rPr>
                <w:rFonts w:ascii="Arial" w:cs="Arial" w:eastAsia="Arial" w:hAnsi="Arial"/>
                <w:sz w:val="18"/>
                <w:szCs w:val="18"/>
                <w:color w:val="auto"/>
              </w:rPr>
              <w:t>course juvenile</w:t>
            </w:r>
          </w:p>
        </w:tc>
        <w:tc>
          <w:tcPr>
            <w:tcW w:w="2020" w:type="dxa"/>
            <w:vAlign w:val="bottom"/>
            <w:shd w:val="clear" w:color="auto" w:fill="CCEEFF"/>
          </w:tcPr>
          <w:p>
            <w:pPr>
              <w:spacing w:after="0"/>
              <w:rPr>
                <w:sz w:val="15"/>
                <w:szCs w:val="15"/>
                <w:color w:val="auto"/>
              </w:rPr>
            </w:pPr>
          </w:p>
        </w:tc>
        <w:tc>
          <w:tcPr>
            <w:tcW w:w="4680" w:type="dxa"/>
            <w:vAlign w:val="bottom"/>
            <w:shd w:val="clear" w:color="auto" w:fill="CCEEFF"/>
          </w:tcPr>
          <w:p>
            <w:pPr>
              <w:ind w:left="940"/>
              <w:spacing w:after="0" w:line="176" w:lineRule="exact"/>
              <w:rPr>
                <w:sz w:val="20"/>
                <w:szCs w:val="20"/>
                <w:color w:val="auto"/>
              </w:rPr>
            </w:pPr>
            <w:r>
              <w:rPr>
                <w:rFonts w:ascii="Arial" w:cs="Arial" w:eastAsia="Arial" w:hAnsi="Arial"/>
                <w:sz w:val="18"/>
                <w:szCs w:val="18"/>
                <w:color w:val="auto"/>
              </w:rPr>
              <w:t>studies in COVID-19</w:t>
            </w:r>
          </w:p>
        </w:tc>
        <w:tc>
          <w:tcPr>
            <w:tcW w:w="0" w:type="dxa"/>
            <w:vAlign w:val="bottom"/>
          </w:tcPr>
          <w:p>
            <w:pPr>
              <w:spacing w:after="0"/>
              <w:rPr>
                <w:sz w:val="1"/>
                <w:szCs w:val="1"/>
                <w:color w:val="auto"/>
              </w:rPr>
            </w:pPr>
          </w:p>
        </w:tc>
      </w:tr>
      <w:tr>
        <w:trPr>
          <w:trHeight w:val="175"/>
        </w:trPr>
        <w:tc>
          <w:tcPr>
            <w:tcW w:w="1820" w:type="dxa"/>
            <w:vAlign w:val="bottom"/>
            <w:shd w:val="clear" w:color="auto" w:fill="CCEEFF"/>
          </w:tcPr>
          <w:p>
            <w:pPr>
              <w:spacing w:after="0"/>
              <w:rPr>
                <w:sz w:val="15"/>
                <w:szCs w:val="15"/>
                <w:color w:val="auto"/>
              </w:rPr>
            </w:pPr>
          </w:p>
        </w:tc>
        <w:tc>
          <w:tcPr>
            <w:tcW w:w="2720" w:type="dxa"/>
            <w:vAlign w:val="bottom"/>
            <w:shd w:val="clear" w:color="auto" w:fill="CCEEFF"/>
          </w:tcPr>
          <w:p>
            <w:pPr>
              <w:ind w:left="1260"/>
              <w:spacing w:after="0" w:line="176" w:lineRule="exact"/>
              <w:rPr>
                <w:sz w:val="20"/>
                <w:szCs w:val="20"/>
                <w:color w:val="auto"/>
              </w:rPr>
            </w:pPr>
            <w:r>
              <w:rPr>
                <w:rFonts w:ascii="Arial" w:cs="Arial" w:eastAsia="Arial" w:hAnsi="Arial"/>
                <w:sz w:val="18"/>
                <w:szCs w:val="18"/>
                <w:color w:val="auto"/>
              </w:rPr>
              <w:t>idiopathic arthritis</w:t>
            </w:r>
          </w:p>
        </w:tc>
        <w:tc>
          <w:tcPr>
            <w:tcW w:w="2020" w:type="dxa"/>
            <w:vAlign w:val="bottom"/>
            <w:shd w:val="clear" w:color="auto" w:fill="CCEEFF"/>
          </w:tcPr>
          <w:p>
            <w:pPr>
              <w:spacing w:after="0"/>
              <w:rPr>
                <w:sz w:val="15"/>
                <w:szCs w:val="15"/>
                <w:color w:val="auto"/>
              </w:rPr>
            </w:pPr>
          </w:p>
        </w:tc>
        <w:tc>
          <w:tcPr>
            <w:tcW w:w="4680" w:type="dxa"/>
            <w:vAlign w:val="bottom"/>
            <w:shd w:val="clear" w:color="auto" w:fill="CCEEFF"/>
          </w:tcPr>
          <w:p>
            <w:pPr>
              <w:ind w:left="940"/>
              <w:spacing w:after="0" w:line="176" w:lineRule="exact"/>
              <w:rPr>
                <w:sz w:val="20"/>
                <w:szCs w:val="20"/>
                <w:color w:val="auto"/>
              </w:rPr>
            </w:pPr>
            <w:r>
              <w:rPr>
                <w:rFonts w:ascii="Arial" w:cs="Arial" w:eastAsia="Arial" w:hAnsi="Arial"/>
                <w:sz w:val="18"/>
                <w:szCs w:val="18"/>
                <w:color w:val="auto"/>
              </w:rPr>
              <w:t>patients did not meet</w:t>
            </w:r>
          </w:p>
        </w:tc>
        <w:tc>
          <w:tcPr>
            <w:tcW w:w="0" w:type="dxa"/>
            <w:vAlign w:val="bottom"/>
          </w:tcPr>
          <w:p>
            <w:pPr>
              <w:spacing w:after="0"/>
              <w:rPr>
                <w:sz w:val="1"/>
                <w:szCs w:val="1"/>
                <w:color w:val="auto"/>
              </w:rPr>
            </w:pPr>
          </w:p>
        </w:tc>
      </w:tr>
      <w:tr>
        <w:trPr>
          <w:trHeight w:val="176"/>
        </w:trPr>
        <w:tc>
          <w:tcPr>
            <w:tcW w:w="1820" w:type="dxa"/>
            <w:vAlign w:val="bottom"/>
            <w:shd w:val="clear" w:color="auto" w:fill="CCEEFF"/>
          </w:tcPr>
          <w:p>
            <w:pPr>
              <w:spacing w:after="0"/>
              <w:rPr>
                <w:sz w:val="15"/>
                <w:szCs w:val="15"/>
                <w:color w:val="auto"/>
              </w:rPr>
            </w:pPr>
          </w:p>
        </w:tc>
        <w:tc>
          <w:tcPr>
            <w:tcW w:w="2720" w:type="dxa"/>
            <w:vAlign w:val="bottom"/>
            <w:shd w:val="clear" w:color="auto" w:fill="CCEEFF"/>
          </w:tcPr>
          <w:p>
            <w:pPr>
              <w:ind w:left="1260"/>
              <w:spacing w:after="0" w:line="176" w:lineRule="exact"/>
              <w:rPr>
                <w:sz w:val="20"/>
                <w:szCs w:val="20"/>
                <w:color w:val="auto"/>
              </w:rPr>
            </w:pPr>
            <w:r>
              <w:rPr>
                <w:rFonts w:ascii="Arial" w:cs="Arial" w:eastAsia="Arial" w:hAnsi="Arial"/>
                <w:sz w:val="18"/>
                <w:szCs w:val="18"/>
                <w:color w:val="auto"/>
              </w:rPr>
              <w:t>("pcJIA")</w:t>
            </w:r>
          </w:p>
        </w:tc>
        <w:tc>
          <w:tcPr>
            <w:tcW w:w="2020" w:type="dxa"/>
            <w:vAlign w:val="bottom"/>
            <w:shd w:val="clear" w:color="auto" w:fill="CCEEFF"/>
          </w:tcPr>
          <w:p>
            <w:pPr>
              <w:spacing w:after="0"/>
              <w:rPr>
                <w:sz w:val="15"/>
                <w:szCs w:val="15"/>
                <w:color w:val="auto"/>
              </w:rPr>
            </w:pPr>
          </w:p>
        </w:tc>
        <w:tc>
          <w:tcPr>
            <w:tcW w:w="4680" w:type="dxa"/>
            <w:vAlign w:val="bottom"/>
            <w:shd w:val="clear" w:color="auto" w:fill="CCEEFF"/>
          </w:tcPr>
          <w:p>
            <w:pPr>
              <w:ind w:left="940"/>
              <w:spacing w:after="0" w:line="176" w:lineRule="exact"/>
              <w:rPr>
                <w:sz w:val="20"/>
                <w:szCs w:val="20"/>
                <w:color w:val="auto"/>
              </w:rPr>
            </w:pPr>
            <w:r>
              <w:rPr>
                <w:rFonts w:ascii="Arial" w:cs="Arial" w:eastAsia="Arial" w:hAnsi="Arial"/>
                <w:sz w:val="18"/>
                <w:szCs w:val="18"/>
                <w:color w:val="auto"/>
              </w:rPr>
              <w:t>primary and key</w:t>
            </w:r>
          </w:p>
        </w:tc>
        <w:tc>
          <w:tcPr>
            <w:tcW w:w="0" w:type="dxa"/>
            <w:vAlign w:val="bottom"/>
          </w:tcPr>
          <w:p>
            <w:pPr>
              <w:spacing w:after="0"/>
              <w:rPr>
                <w:sz w:val="1"/>
                <w:szCs w:val="1"/>
                <w:color w:val="auto"/>
              </w:rPr>
            </w:pPr>
          </w:p>
        </w:tc>
      </w:tr>
      <w:tr>
        <w:trPr>
          <w:trHeight w:val="230"/>
        </w:trPr>
        <w:tc>
          <w:tcPr>
            <w:tcW w:w="1820" w:type="dxa"/>
            <w:vAlign w:val="bottom"/>
            <w:shd w:val="clear" w:color="auto" w:fill="CCEEFF"/>
          </w:tcPr>
          <w:p>
            <w:pPr>
              <w:spacing w:after="0"/>
              <w:rPr>
                <w:sz w:val="20"/>
                <w:szCs w:val="20"/>
                <w:color w:val="auto"/>
              </w:rPr>
            </w:pPr>
          </w:p>
        </w:tc>
        <w:tc>
          <w:tcPr>
            <w:tcW w:w="2720" w:type="dxa"/>
            <w:vAlign w:val="bottom"/>
            <w:vMerge w:val="restart"/>
            <w:shd w:val="clear" w:color="auto" w:fill="CCEEFF"/>
          </w:tcPr>
          <w:p>
            <w:pPr>
              <w:ind w:left="1260"/>
              <w:spacing w:after="0"/>
              <w:rPr>
                <w:sz w:val="20"/>
                <w:szCs w:val="20"/>
                <w:color w:val="auto"/>
              </w:rPr>
            </w:pPr>
            <w:r>
              <w:rPr>
                <w:rFonts w:ascii="Arial" w:cs="Arial" w:eastAsia="Arial" w:hAnsi="Arial"/>
                <w:sz w:val="18"/>
                <w:szCs w:val="18"/>
                <w:color w:val="auto"/>
                <w:w w:val="96"/>
              </w:rPr>
              <w:t>–Systemic juvenile</w:t>
            </w:r>
          </w:p>
        </w:tc>
        <w:tc>
          <w:tcPr>
            <w:tcW w:w="2020" w:type="dxa"/>
            <w:vAlign w:val="bottom"/>
            <w:shd w:val="clear" w:color="auto" w:fill="CCEEFF"/>
          </w:tcPr>
          <w:p>
            <w:pPr>
              <w:spacing w:after="0"/>
              <w:rPr>
                <w:sz w:val="20"/>
                <w:szCs w:val="20"/>
                <w:color w:val="auto"/>
              </w:rPr>
            </w:pPr>
          </w:p>
        </w:tc>
        <w:tc>
          <w:tcPr>
            <w:tcW w:w="46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secondary endpoints</w:t>
            </w:r>
          </w:p>
        </w:tc>
        <w:tc>
          <w:tcPr>
            <w:tcW w:w="0" w:type="dxa"/>
            <w:vAlign w:val="bottom"/>
          </w:tcPr>
          <w:p>
            <w:pPr>
              <w:spacing w:after="0"/>
              <w:rPr>
                <w:sz w:val="1"/>
                <w:szCs w:val="1"/>
                <w:color w:val="auto"/>
              </w:rPr>
            </w:pPr>
          </w:p>
        </w:tc>
      </w:tr>
      <w:tr>
        <w:trPr>
          <w:trHeight w:val="121"/>
        </w:trPr>
        <w:tc>
          <w:tcPr>
            <w:tcW w:w="1820" w:type="dxa"/>
            <w:vAlign w:val="bottom"/>
            <w:shd w:val="clear" w:color="auto" w:fill="CCEEFF"/>
          </w:tcPr>
          <w:p>
            <w:pPr>
              <w:spacing w:after="0"/>
              <w:rPr>
                <w:sz w:val="10"/>
                <w:szCs w:val="10"/>
                <w:color w:val="auto"/>
              </w:rPr>
            </w:pPr>
          </w:p>
        </w:tc>
        <w:tc>
          <w:tcPr>
            <w:tcW w:w="2720" w:type="dxa"/>
            <w:vAlign w:val="bottom"/>
            <w:vMerge w:val="continue"/>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4680" w:type="dxa"/>
            <w:vAlign w:val="bottom"/>
            <w:vMerge w:val="restart"/>
            <w:shd w:val="clear" w:color="auto" w:fill="CCEEFF"/>
          </w:tcPr>
          <w:p>
            <w:pPr>
              <w:ind w:left="940"/>
              <w:spacing w:after="0"/>
              <w:rPr>
                <w:sz w:val="20"/>
                <w:szCs w:val="20"/>
                <w:color w:val="auto"/>
              </w:rPr>
            </w:pPr>
            <w:r>
              <w:rPr>
                <w:rFonts w:ascii="Arial" w:cs="Arial" w:eastAsia="Arial" w:hAnsi="Arial"/>
                <w:sz w:val="18"/>
                <w:szCs w:val="18"/>
                <w:color w:val="auto"/>
              </w:rPr>
              <w:t>–Discontinued clinical</w:t>
            </w:r>
          </w:p>
        </w:tc>
        <w:tc>
          <w:tcPr>
            <w:tcW w:w="0" w:type="dxa"/>
            <w:vAlign w:val="bottom"/>
          </w:tcPr>
          <w:p>
            <w:pPr>
              <w:spacing w:after="0"/>
              <w:rPr>
                <w:sz w:val="1"/>
                <w:szCs w:val="1"/>
                <w:color w:val="auto"/>
              </w:rPr>
            </w:pPr>
          </w:p>
        </w:tc>
      </w:tr>
      <w:tr>
        <w:trPr>
          <w:trHeight w:val="176"/>
        </w:trPr>
        <w:tc>
          <w:tcPr>
            <w:tcW w:w="1820" w:type="dxa"/>
            <w:vAlign w:val="bottom"/>
            <w:shd w:val="clear" w:color="auto" w:fill="CCEEFF"/>
          </w:tcPr>
          <w:p>
            <w:pPr>
              <w:spacing w:after="0"/>
              <w:rPr>
                <w:sz w:val="15"/>
                <w:szCs w:val="15"/>
                <w:color w:val="auto"/>
              </w:rPr>
            </w:pPr>
          </w:p>
        </w:tc>
        <w:tc>
          <w:tcPr>
            <w:tcW w:w="2720" w:type="dxa"/>
            <w:vAlign w:val="bottom"/>
            <w:shd w:val="clear" w:color="auto" w:fill="CCEEFF"/>
          </w:tcPr>
          <w:p>
            <w:pPr>
              <w:ind w:left="1260"/>
              <w:spacing w:after="0" w:line="176" w:lineRule="exact"/>
              <w:rPr>
                <w:sz w:val="20"/>
                <w:szCs w:val="20"/>
                <w:color w:val="auto"/>
              </w:rPr>
            </w:pPr>
            <w:r>
              <w:rPr>
                <w:rFonts w:ascii="Arial" w:cs="Arial" w:eastAsia="Arial" w:hAnsi="Arial"/>
                <w:sz w:val="18"/>
                <w:szCs w:val="18"/>
                <w:color w:val="auto"/>
              </w:rPr>
              <w:t>idiopathic arthritis</w:t>
            </w:r>
          </w:p>
        </w:tc>
        <w:tc>
          <w:tcPr>
            <w:tcW w:w="2020" w:type="dxa"/>
            <w:vAlign w:val="bottom"/>
            <w:shd w:val="clear" w:color="auto" w:fill="CCEEFF"/>
          </w:tcPr>
          <w:p>
            <w:pPr>
              <w:spacing w:after="0"/>
              <w:rPr>
                <w:sz w:val="15"/>
                <w:szCs w:val="15"/>
                <w:color w:val="auto"/>
              </w:rPr>
            </w:pPr>
          </w:p>
        </w:tc>
        <w:tc>
          <w:tcPr>
            <w:tcW w:w="46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shd w:val="clear" w:color="auto" w:fill="CCEEFF"/>
          </w:tcPr>
          <w:p>
            <w:pPr>
              <w:spacing w:after="0"/>
              <w:rPr>
                <w:sz w:val="15"/>
                <w:szCs w:val="15"/>
                <w:color w:val="auto"/>
              </w:rPr>
            </w:pPr>
          </w:p>
        </w:tc>
        <w:tc>
          <w:tcPr>
            <w:tcW w:w="2720" w:type="dxa"/>
            <w:vAlign w:val="bottom"/>
            <w:shd w:val="clear" w:color="auto" w:fill="CCEEFF"/>
          </w:tcPr>
          <w:p>
            <w:pPr>
              <w:ind w:left="1260"/>
              <w:spacing w:after="0" w:line="176" w:lineRule="exact"/>
              <w:rPr>
                <w:sz w:val="20"/>
                <w:szCs w:val="20"/>
                <w:color w:val="auto"/>
              </w:rPr>
            </w:pPr>
            <w:r>
              <w:rPr>
                <w:rFonts w:ascii="Arial" w:cs="Arial" w:eastAsia="Arial" w:hAnsi="Arial"/>
                <w:sz w:val="18"/>
                <w:szCs w:val="18"/>
                <w:color w:val="auto"/>
              </w:rPr>
              <w:t>("sJIA")</w:t>
            </w:r>
          </w:p>
        </w:tc>
        <w:tc>
          <w:tcPr>
            <w:tcW w:w="2020" w:type="dxa"/>
            <w:vAlign w:val="bottom"/>
            <w:shd w:val="clear" w:color="auto" w:fill="CCEEFF"/>
          </w:tcPr>
          <w:p>
            <w:pPr>
              <w:spacing w:after="0"/>
              <w:rPr>
                <w:sz w:val="15"/>
                <w:szCs w:val="15"/>
                <w:color w:val="auto"/>
              </w:rPr>
            </w:pPr>
          </w:p>
        </w:tc>
        <w:tc>
          <w:tcPr>
            <w:tcW w:w="4680" w:type="dxa"/>
            <w:vAlign w:val="bottom"/>
            <w:shd w:val="clear" w:color="auto" w:fill="CCEEFF"/>
          </w:tcPr>
          <w:p>
            <w:pPr>
              <w:ind w:left="940"/>
              <w:spacing w:after="0" w:line="176" w:lineRule="exact"/>
              <w:rPr>
                <w:sz w:val="20"/>
                <w:szCs w:val="20"/>
                <w:color w:val="auto"/>
              </w:rPr>
            </w:pPr>
            <w:r>
              <w:rPr>
                <w:rFonts w:ascii="Arial" w:cs="Arial" w:eastAsia="Arial" w:hAnsi="Arial"/>
                <w:sz w:val="18"/>
                <w:szCs w:val="18"/>
                <w:color w:val="auto"/>
              </w:rPr>
              <w:t>development in</w:t>
            </w:r>
          </w:p>
        </w:tc>
        <w:tc>
          <w:tcPr>
            <w:tcW w:w="0" w:type="dxa"/>
            <w:vAlign w:val="bottom"/>
          </w:tcPr>
          <w:p>
            <w:pPr>
              <w:spacing w:after="0"/>
              <w:rPr>
                <w:sz w:val="1"/>
                <w:szCs w:val="1"/>
                <w:color w:val="auto"/>
              </w:rPr>
            </w:pPr>
          </w:p>
        </w:tc>
      </w:tr>
      <w:tr>
        <w:trPr>
          <w:trHeight w:val="176"/>
        </w:trPr>
        <w:tc>
          <w:tcPr>
            <w:tcW w:w="182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4680" w:type="dxa"/>
            <w:vAlign w:val="bottom"/>
            <w:shd w:val="clear" w:color="auto" w:fill="CCEEFF"/>
          </w:tcPr>
          <w:p>
            <w:pPr>
              <w:ind w:left="940"/>
              <w:spacing w:after="0" w:line="176" w:lineRule="exact"/>
              <w:rPr>
                <w:sz w:val="20"/>
                <w:szCs w:val="20"/>
                <w:color w:val="auto"/>
              </w:rPr>
            </w:pPr>
            <w:r>
              <w:rPr>
                <w:rFonts w:ascii="Arial" w:cs="Arial" w:eastAsia="Arial" w:hAnsi="Arial"/>
                <w:sz w:val="18"/>
                <w:szCs w:val="18"/>
                <w:color w:val="auto"/>
              </w:rPr>
              <w:t>polymyalgia rheumatica</w:t>
            </w:r>
          </w:p>
        </w:tc>
        <w:tc>
          <w:tcPr>
            <w:tcW w:w="0" w:type="dxa"/>
            <w:vAlign w:val="bottom"/>
          </w:tcPr>
          <w:p>
            <w:pPr>
              <w:spacing w:after="0"/>
              <w:rPr>
                <w:sz w:val="1"/>
                <w:szCs w:val="1"/>
                <w:color w:val="auto"/>
              </w:rPr>
            </w:pPr>
          </w:p>
        </w:tc>
      </w:tr>
      <w:tr>
        <w:trPr>
          <w:trHeight w:val="230"/>
        </w:trPr>
        <w:tc>
          <w:tcPr>
            <w:tcW w:w="182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46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and giant cell arteritis</w:t>
            </w:r>
          </w:p>
        </w:tc>
        <w:tc>
          <w:tcPr>
            <w:tcW w:w="0" w:type="dxa"/>
            <w:vAlign w:val="bottom"/>
          </w:tcPr>
          <w:p>
            <w:pPr>
              <w:spacing w:after="0"/>
              <w:rPr>
                <w:sz w:val="1"/>
                <w:szCs w:val="1"/>
                <w:color w:val="auto"/>
              </w:rPr>
            </w:pPr>
          </w:p>
        </w:tc>
      </w:tr>
      <w:tr>
        <w:trPr>
          <w:trHeight w:val="175"/>
        </w:trPr>
        <w:tc>
          <w:tcPr>
            <w:tcW w:w="1820" w:type="dxa"/>
            <w:vAlign w:val="bottom"/>
          </w:tcPr>
          <w:p>
            <w:pPr>
              <w:ind w:left="20"/>
              <w:spacing w:after="0" w:line="176" w:lineRule="exact"/>
              <w:rPr>
                <w:sz w:val="20"/>
                <w:szCs w:val="20"/>
                <w:color w:val="auto"/>
              </w:rPr>
            </w:pPr>
            <w:r>
              <w:rPr>
                <w:rFonts w:ascii="Arial" w:cs="Arial" w:eastAsia="Arial" w:hAnsi="Arial"/>
                <w:sz w:val="16"/>
                <w:szCs w:val="16"/>
                <w:b w:val="1"/>
                <w:bCs w:val="1"/>
                <w:color w:val="auto"/>
              </w:rPr>
              <w:t>Itepekimab</w:t>
            </w:r>
            <w:r>
              <w:rPr>
                <w:rFonts w:ascii="Arial" w:cs="Arial" w:eastAsia="Arial" w:hAnsi="Arial"/>
                <w:sz w:val="20"/>
                <w:szCs w:val="20"/>
                <w:b w:val="1"/>
                <w:bCs w:val="1"/>
                <w:color w:val="auto"/>
                <w:vertAlign w:val="superscript"/>
              </w:rPr>
              <w:t>(a)</w:t>
            </w:r>
          </w:p>
        </w:tc>
        <w:tc>
          <w:tcPr>
            <w:tcW w:w="2720" w:type="dxa"/>
            <w:vAlign w:val="bottom"/>
          </w:tcPr>
          <w:p>
            <w:pPr>
              <w:spacing w:after="0"/>
              <w:rPr>
                <w:sz w:val="15"/>
                <w:szCs w:val="15"/>
                <w:color w:val="auto"/>
              </w:rPr>
            </w:pPr>
          </w:p>
        </w:tc>
        <w:tc>
          <w:tcPr>
            <w:tcW w:w="2020" w:type="dxa"/>
            <w:vAlign w:val="bottom"/>
          </w:tcPr>
          <w:p>
            <w:pPr>
              <w:ind w:left="80"/>
              <w:spacing w:after="0" w:line="176" w:lineRule="exact"/>
              <w:rPr>
                <w:sz w:val="20"/>
                <w:szCs w:val="20"/>
                <w:color w:val="auto"/>
              </w:rPr>
            </w:pPr>
            <w:r>
              <w:rPr>
                <w:rFonts w:ascii="Arial" w:cs="Arial" w:eastAsia="Arial" w:hAnsi="Arial"/>
                <w:sz w:val="18"/>
                <w:szCs w:val="18"/>
                <w:color w:val="auto"/>
              </w:rPr>
              <w:t>–COPD</w:t>
            </w:r>
          </w:p>
        </w:tc>
        <w:tc>
          <w:tcPr>
            <w:tcW w:w="4680" w:type="dxa"/>
            <w:vAlign w:val="bottom"/>
          </w:tcPr>
          <w:p>
            <w:pPr>
              <w:ind w:left="940"/>
              <w:spacing w:after="0" w:line="176" w:lineRule="exact"/>
              <w:rPr>
                <w:sz w:val="20"/>
                <w:szCs w:val="20"/>
                <w:color w:val="auto"/>
              </w:rPr>
            </w:pPr>
            <w:r>
              <w:rPr>
                <w:rFonts w:ascii="Arial" w:cs="Arial" w:eastAsia="Arial" w:hAnsi="Arial"/>
                <w:sz w:val="18"/>
                <w:szCs w:val="18"/>
                <w:color w:val="auto"/>
              </w:rPr>
              <w:t>–Discontinued further</w:t>
            </w:r>
          </w:p>
        </w:tc>
        <w:tc>
          <w:tcPr>
            <w:tcW w:w="0" w:type="dxa"/>
            <w:vAlign w:val="bottom"/>
          </w:tcPr>
          <w:p>
            <w:pPr>
              <w:spacing w:after="0"/>
              <w:rPr>
                <w:sz w:val="1"/>
                <w:szCs w:val="1"/>
                <w:color w:val="auto"/>
              </w:rPr>
            </w:pPr>
          </w:p>
        </w:tc>
      </w:tr>
      <w:tr>
        <w:trPr>
          <w:trHeight w:val="175"/>
        </w:trPr>
        <w:tc>
          <w:tcPr>
            <w:tcW w:w="182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(REGN3500)</w:t>
            </w:r>
          </w:p>
        </w:tc>
        <w:tc>
          <w:tcPr>
            <w:tcW w:w="27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4680" w:type="dxa"/>
            <w:vAlign w:val="bottom"/>
          </w:tcPr>
          <w:p>
            <w:pPr>
              <w:ind w:left="940"/>
              <w:spacing w:after="0" w:line="176" w:lineRule="exact"/>
              <w:rPr>
                <w:sz w:val="20"/>
                <w:szCs w:val="20"/>
                <w:color w:val="auto"/>
              </w:rPr>
            </w:pPr>
            <w:r>
              <w:rPr>
                <w:rFonts w:ascii="Arial" w:cs="Arial" w:eastAsia="Arial" w:hAnsi="Arial"/>
                <w:sz w:val="18"/>
                <w:szCs w:val="18"/>
                <w:color w:val="auto"/>
              </w:rPr>
              <w:t>clinical development in</w:t>
            </w:r>
          </w:p>
        </w:tc>
        <w:tc>
          <w:tcPr>
            <w:tcW w:w="0" w:type="dxa"/>
            <w:vAlign w:val="bottom"/>
          </w:tcPr>
          <w:p>
            <w:pPr>
              <w:spacing w:after="0"/>
              <w:rPr>
                <w:sz w:val="1"/>
                <w:szCs w:val="1"/>
                <w:color w:val="auto"/>
              </w:rPr>
            </w:pPr>
          </w:p>
        </w:tc>
      </w:tr>
      <w:tr>
        <w:trPr>
          <w:trHeight w:val="175"/>
        </w:trPr>
        <w:tc>
          <w:tcPr>
            <w:tcW w:w="182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Antibody to IL-33</w:t>
            </w:r>
          </w:p>
        </w:tc>
        <w:tc>
          <w:tcPr>
            <w:tcW w:w="27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4680" w:type="dxa"/>
            <w:vAlign w:val="bottom"/>
          </w:tcPr>
          <w:p>
            <w:pPr>
              <w:ind w:left="940"/>
              <w:spacing w:after="0" w:line="176" w:lineRule="exact"/>
              <w:rPr>
                <w:sz w:val="20"/>
                <w:szCs w:val="20"/>
                <w:color w:val="auto"/>
              </w:rPr>
            </w:pPr>
            <w:r>
              <w:rPr>
                <w:rFonts w:ascii="Arial" w:cs="Arial" w:eastAsia="Arial" w:hAnsi="Arial"/>
                <w:sz w:val="18"/>
                <w:szCs w:val="18"/>
                <w:color w:val="auto"/>
              </w:rPr>
              <w:t>atopic dermatitis due to</w:t>
            </w:r>
          </w:p>
        </w:tc>
        <w:tc>
          <w:tcPr>
            <w:tcW w:w="0" w:type="dxa"/>
            <w:vAlign w:val="bottom"/>
          </w:tcPr>
          <w:p>
            <w:pPr>
              <w:spacing w:after="0"/>
              <w:rPr>
                <w:sz w:val="1"/>
                <w:szCs w:val="1"/>
                <w:color w:val="auto"/>
              </w:rPr>
            </w:pPr>
          </w:p>
        </w:tc>
      </w:tr>
      <w:tr>
        <w:trPr>
          <w:trHeight w:val="230"/>
        </w:trPr>
        <w:tc>
          <w:tcPr>
            <w:tcW w:w="18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680" w:type="dxa"/>
            <w:vAlign w:val="bottom"/>
          </w:tcPr>
          <w:p>
            <w:pPr>
              <w:ind w:left="940"/>
              <w:spacing w:after="0"/>
              <w:rPr>
                <w:sz w:val="20"/>
                <w:szCs w:val="20"/>
                <w:color w:val="auto"/>
              </w:rPr>
            </w:pPr>
            <w:r>
              <w:rPr>
                <w:rFonts w:ascii="Arial" w:cs="Arial" w:eastAsia="Arial" w:hAnsi="Arial"/>
                <w:sz w:val="18"/>
                <w:szCs w:val="18"/>
                <w:color w:val="auto"/>
              </w:rPr>
              <w:t>lack of efficacy</w:t>
            </w:r>
          </w:p>
        </w:tc>
        <w:tc>
          <w:tcPr>
            <w:tcW w:w="0" w:type="dxa"/>
            <w:vAlign w:val="bottom"/>
          </w:tcPr>
          <w:p>
            <w:pPr>
              <w:spacing w:after="0"/>
              <w:rPr>
                <w:sz w:val="1"/>
                <w:szCs w:val="1"/>
                <w:color w:val="auto"/>
              </w:rPr>
            </w:pPr>
          </w:p>
        </w:tc>
      </w:tr>
      <w:tr>
        <w:trPr>
          <w:trHeight w:val="175"/>
        </w:trPr>
        <w:tc>
          <w:tcPr>
            <w:tcW w:w="182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b w:val="1"/>
                <w:bCs w:val="1"/>
                <w:color w:val="auto"/>
              </w:rPr>
              <w:t>REGN1908-1909</w:t>
            </w:r>
            <w:r>
              <w:rPr>
                <w:rFonts w:ascii="Arial" w:cs="Arial" w:eastAsia="Arial" w:hAnsi="Arial"/>
                <w:sz w:val="20"/>
                <w:szCs w:val="20"/>
                <w:b w:val="1"/>
                <w:bCs w:val="1"/>
                <w:color w:val="auto"/>
                <w:vertAlign w:val="superscript"/>
              </w:rPr>
              <w:t>(f)</w:t>
            </w:r>
          </w:p>
        </w:tc>
        <w:tc>
          <w:tcPr>
            <w:tcW w:w="2720" w:type="dxa"/>
            <w:vAlign w:val="bottom"/>
            <w:shd w:val="clear" w:color="auto" w:fill="CCEEFF"/>
          </w:tcPr>
          <w:p>
            <w:pPr>
              <w:ind w:left="1260"/>
              <w:spacing w:after="0" w:line="176" w:lineRule="exact"/>
              <w:rPr>
                <w:sz w:val="20"/>
                <w:szCs w:val="20"/>
                <w:color w:val="auto"/>
              </w:rPr>
            </w:pPr>
            <w:r>
              <w:rPr>
                <w:rFonts w:ascii="Arial" w:cs="Arial" w:eastAsia="Arial" w:hAnsi="Arial"/>
                <w:sz w:val="18"/>
                <w:szCs w:val="18"/>
                <w:color w:val="auto"/>
              </w:rPr>
              <w:t>–Cat allergy</w:t>
            </w:r>
          </w:p>
        </w:tc>
        <w:tc>
          <w:tcPr>
            <w:tcW w:w="2020" w:type="dxa"/>
            <w:vAlign w:val="bottom"/>
            <w:shd w:val="clear" w:color="auto" w:fill="CCEEFF"/>
          </w:tcPr>
          <w:p>
            <w:pPr>
              <w:spacing w:after="0"/>
              <w:rPr>
                <w:sz w:val="15"/>
                <w:szCs w:val="15"/>
                <w:color w:val="auto"/>
              </w:rPr>
            </w:pPr>
          </w:p>
        </w:tc>
        <w:tc>
          <w:tcPr>
            <w:tcW w:w="4680" w:type="dxa"/>
            <w:vAlign w:val="bottom"/>
            <w:shd w:val="clear" w:color="auto" w:fill="CCEEFF"/>
          </w:tcPr>
          <w:p>
            <w:pPr>
              <w:ind w:left="2860"/>
              <w:spacing w:after="0" w:line="176" w:lineRule="exact"/>
              <w:rPr>
                <w:sz w:val="20"/>
                <w:szCs w:val="20"/>
                <w:color w:val="auto"/>
              </w:rPr>
            </w:pPr>
            <w:r>
              <w:rPr>
                <w:rFonts w:ascii="Arial" w:cs="Arial" w:eastAsia="Arial" w:hAnsi="Arial"/>
                <w:sz w:val="18"/>
                <w:szCs w:val="18"/>
                <w:color w:val="auto"/>
              </w:rPr>
              <w:t>–Report results from</w:t>
            </w:r>
          </w:p>
        </w:tc>
        <w:tc>
          <w:tcPr>
            <w:tcW w:w="0" w:type="dxa"/>
            <w:vAlign w:val="bottom"/>
          </w:tcPr>
          <w:p>
            <w:pPr>
              <w:spacing w:after="0"/>
              <w:rPr>
                <w:sz w:val="1"/>
                <w:szCs w:val="1"/>
                <w:color w:val="auto"/>
              </w:rPr>
            </w:pPr>
          </w:p>
        </w:tc>
      </w:tr>
      <w:tr>
        <w:trPr>
          <w:trHeight w:val="175"/>
        </w:trPr>
        <w:tc>
          <w:tcPr>
            <w:tcW w:w="1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Multi-antibody therapy</w:t>
            </w:r>
          </w:p>
        </w:tc>
        <w:tc>
          <w:tcPr>
            <w:tcW w:w="27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4680" w:type="dxa"/>
            <w:vAlign w:val="bottom"/>
            <w:shd w:val="clear" w:color="auto" w:fill="CCEEFF"/>
          </w:tcPr>
          <w:p>
            <w:pPr>
              <w:ind w:left="2860"/>
              <w:spacing w:after="0" w:line="176" w:lineRule="exact"/>
              <w:rPr>
                <w:sz w:val="20"/>
                <w:szCs w:val="20"/>
                <w:color w:val="auto"/>
              </w:rPr>
            </w:pPr>
            <w:r>
              <w:rPr>
                <w:rFonts w:ascii="Arial" w:cs="Arial" w:eastAsia="Arial" w:hAnsi="Arial"/>
                <w:sz w:val="18"/>
                <w:szCs w:val="18"/>
                <w:color w:val="auto"/>
              </w:rPr>
              <w:t>Phase 2 study in cat</w:t>
            </w:r>
          </w:p>
        </w:tc>
        <w:tc>
          <w:tcPr>
            <w:tcW w:w="0" w:type="dxa"/>
            <w:vAlign w:val="bottom"/>
          </w:tcPr>
          <w:p>
            <w:pPr>
              <w:spacing w:after="0"/>
              <w:rPr>
                <w:sz w:val="1"/>
                <w:szCs w:val="1"/>
                <w:color w:val="auto"/>
              </w:rPr>
            </w:pPr>
          </w:p>
        </w:tc>
      </w:tr>
      <w:tr>
        <w:trPr>
          <w:trHeight w:val="175"/>
        </w:trPr>
        <w:tc>
          <w:tcPr>
            <w:tcW w:w="1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to Feld1</w:t>
            </w:r>
          </w:p>
        </w:tc>
        <w:tc>
          <w:tcPr>
            <w:tcW w:w="27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4680" w:type="dxa"/>
            <w:vAlign w:val="bottom"/>
            <w:shd w:val="clear" w:color="auto" w:fill="CCEEFF"/>
          </w:tcPr>
          <w:p>
            <w:pPr>
              <w:ind w:left="2860"/>
              <w:spacing w:after="0" w:line="176" w:lineRule="exact"/>
              <w:rPr>
                <w:sz w:val="20"/>
                <w:szCs w:val="20"/>
                <w:color w:val="auto"/>
              </w:rPr>
            </w:pPr>
            <w:r>
              <w:rPr>
                <w:rFonts w:ascii="Arial" w:cs="Arial" w:eastAsia="Arial" w:hAnsi="Arial"/>
                <w:sz w:val="18"/>
                <w:szCs w:val="18"/>
                <w:color w:val="auto"/>
                <w:w w:val="95"/>
              </w:rPr>
              <w:t>allergic asthmatics (first</w:t>
            </w:r>
          </w:p>
        </w:tc>
        <w:tc>
          <w:tcPr>
            <w:tcW w:w="0" w:type="dxa"/>
            <w:vAlign w:val="bottom"/>
          </w:tcPr>
          <w:p>
            <w:pPr>
              <w:spacing w:after="0"/>
              <w:rPr>
                <w:sz w:val="1"/>
                <w:szCs w:val="1"/>
                <w:color w:val="auto"/>
              </w:rPr>
            </w:pPr>
          </w:p>
        </w:tc>
      </w:tr>
      <w:tr>
        <w:trPr>
          <w:trHeight w:val="230"/>
        </w:trPr>
        <w:tc>
          <w:tcPr>
            <w:tcW w:w="182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468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half 2021)</w:t>
            </w:r>
          </w:p>
        </w:tc>
        <w:tc>
          <w:tcPr>
            <w:tcW w:w="0" w:type="dxa"/>
            <w:vAlign w:val="bottom"/>
          </w:tcPr>
          <w:p>
            <w:pPr>
              <w:spacing w:after="0"/>
              <w:rPr>
                <w:sz w:val="1"/>
                <w:szCs w:val="1"/>
                <w:color w:val="auto"/>
              </w:rPr>
            </w:pPr>
          </w:p>
        </w:tc>
      </w:tr>
      <w:tr>
        <w:trPr>
          <w:trHeight w:val="175"/>
        </w:trPr>
        <w:tc>
          <w:tcPr>
            <w:tcW w:w="1820" w:type="dxa"/>
            <w:vAlign w:val="bottom"/>
          </w:tcPr>
          <w:p>
            <w:pPr>
              <w:ind w:left="20"/>
              <w:spacing w:after="0" w:line="176" w:lineRule="exact"/>
              <w:rPr>
                <w:sz w:val="20"/>
                <w:szCs w:val="20"/>
                <w:color w:val="auto"/>
              </w:rPr>
            </w:pPr>
            <w:r>
              <w:rPr>
                <w:rFonts w:ascii="Arial" w:cs="Arial" w:eastAsia="Arial" w:hAnsi="Arial"/>
                <w:sz w:val="18"/>
                <w:szCs w:val="18"/>
                <w:b w:val="1"/>
                <w:bCs w:val="1"/>
                <w:color w:val="auto"/>
                <w:w w:val="96"/>
              </w:rPr>
              <w:t>REGN5713-5714-5715</w:t>
            </w:r>
          </w:p>
        </w:tc>
        <w:tc>
          <w:tcPr>
            <w:tcW w:w="2720" w:type="dxa"/>
            <w:vAlign w:val="bottom"/>
          </w:tcPr>
          <w:p>
            <w:pPr>
              <w:spacing w:after="0"/>
              <w:rPr>
                <w:sz w:val="15"/>
                <w:szCs w:val="15"/>
                <w:color w:val="auto"/>
              </w:rPr>
            </w:pPr>
          </w:p>
        </w:tc>
        <w:tc>
          <w:tcPr>
            <w:tcW w:w="2020" w:type="dxa"/>
            <w:vAlign w:val="bottom"/>
          </w:tcPr>
          <w:p>
            <w:pPr>
              <w:ind w:left="80"/>
              <w:spacing w:after="0" w:line="176" w:lineRule="exact"/>
              <w:rPr>
                <w:sz w:val="20"/>
                <w:szCs w:val="20"/>
                <w:color w:val="auto"/>
              </w:rPr>
            </w:pPr>
            <w:r>
              <w:rPr>
                <w:rFonts w:ascii="Arial" w:cs="Arial" w:eastAsia="Arial" w:hAnsi="Arial"/>
                <w:sz w:val="18"/>
                <w:szCs w:val="18"/>
                <w:color w:val="auto"/>
              </w:rPr>
              <w:t>–Birch allergy</w:t>
            </w:r>
          </w:p>
        </w:tc>
        <w:tc>
          <w:tcPr>
            <w:tcW w:w="4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2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Multi-antibody therapy</w:t>
            </w:r>
          </w:p>
        </w:tc>
        <w:tc>
          <w:tcPr>
            <w:tcW w:w="27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820" w:type="dxa"/>
            <w:vAlign w:val="bottom"/>
          </w:tcPr>
          <w:p>
            <w:pPr>
              <w:ind w:left="20"/>
              <w:spacing w:after="0"/>
              <w:rPr>
                <w:sz w:val="20"/>
                <w:szCs w:val="20"/>
                <w:color w:val="auto"/>
              </w:rPr>
            </w:pPr>
            <w:r>
              <w:rPr>
                <w:rFonts w:ascii="Arial" w:cs="Arial" w:eastAsia="Arial" w:hAnsi="Arial"/>
                <w:sz w:val="18"/>
                <w:szCs w:val="18"/>
                <w:i w:val="1"/>
                <w:iCs w:val="1"/>
                <w:color w:val="auto"/>
              </w:rPr>
              <w:t>to Betv1</w:t>
            </w:r>
          </w:p>
        </w:tc>
        <w:tc>
          <w:tcPr>
            <w:tcW w:w="27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REGN6490</w:t>
            </w:r>
          </w:p>
        </w:tc>
        <w:tc>
          <w:tcPr>
            <w:tcW w:w="272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–Palmo-</w:t>
            </w:r>
          </w:p>
        </w:tc>
        <w:tc>
          <w:tcPr>
            <w:tcW w:w="2020" w:type="dxa"/>
            <w:vAlign w:val="bottom"/>
            <w:shd w:val="clear" w:color="auto" w:fill="CCEEFF"/>
          </w:tcPr>
          <w:p>
            <w:pPr>
              <w:spacing w:after="0"/>
              <w:rPr>
                <w:sz w:val="15"/>
                <w:szCs w:val="15"/>
                <w:color w:val="auto"/>
              </w:rPr>
            </w:pPr>
          </w:p>
        </w:tc>
        <w:tc>
          <w:tcPr>
            <w:tcW w:w="4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Antibody to IL-36R</w:t>
            </w:r>
          </w:p>
        </w:tc>
        <w:tc>
          <w:tcPr>
            <w:tcW w:w="272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plantar</w:t>
            </w:r>
          </w:p>
        </w:tc>
        <w:tc>
          <w:tcPr>
            <w:tcW w:w="2020" w:type="dxa"/>
            <w:vAlign w:val="bottom"/>
            <w:shd w:val="clear" w:color="auto" w:fill="CCEEFF"/>
          </w:tcPr>
          <w:p>
            <w:pPr>
              <w:spacing w:after="0"/>
              <w:rPr>
                <w:sz w:val="15"/>
                <w:szCs w:val="15"/>
                <w:color w:val="auto"/>
              </w:rPr>
            </w:pPr>
          </w:p>
        </w:tc>
        <w:tc>
          <w:tcPr>
            <w:tcW w:w="4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820" w:type="dxa"/>
            <w:vAlign w:val="bottom"/>
            <w:shd w:val="clear" w:color="auto" w:fill="CCEEFF"/>
          </w:tcPr>
          <w:p>
            <w:pPr>
              <w:spacing w:after="0"/>
              <w:rPr>
                <w:sz w:val="19"/>
                <w:szCs w:val="19"/>
                <w:color w:val="auto"/>
              </w:rPr>
            </w:pPr>
          </w:p>
        </w:tc>
        <w:tc>
          <w:tcPr>
            <w:tcW w:w="2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pustulosis</w:t>
            </w:r>
          </w:p>
        </w:tc>
        <w:tc>
          <w:tcPr>
            <w:tcW w:w="2020" w:type="dxa"/>
            <w:vAlign w:val="bottom"/>
            <w:shd w:val="clear" w:color="auto" w:fill="CCEEFF"/>
          </w:tcPr>
          <w:p>
            <w:pPr>
              <w:spacing w:after="0"/>
              <w:rPr>
                <w:sz w:val="19"/>
                <w:szCs w:val="19"/>
                <w:color w:val="auto"/>
              </w:rPr>
            </w:pPr>
          </w:p>
        </w:tc>
        <w:tc>
          <w:tcPr>
            <w:tcW w:w="4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Clinical Program</w:t>
            </w:r>
          </w:p>
        </w:tc>
        <w:tc>
          <w:tcPr>
            <w:tcW w:w="112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Phase 1</w:t>
            </w:r>
          </w:p>
        </w:tc>
        <w:tc>
          <w:tcPr>
            <w:tcW w:w="80" w:type="dxa"/>
            <w:vAlign w:val="bottom"/>
            <w:vMerge w:val="restart"/>
          </w:tcPr>
          <w:p>
            <w:pPr>
              <w:spacing w:after="0"/>
              <w:rPr>
                <w:sz w:val="17"/>
                <w:szCs w:val="17"/>
                <w:color w:val="auto"/>
              </w:rPr>
            </w:pPr>
          </w:p>
        </w:tc>
        <w:tc>
          <w:tcPr>
            <w:tcW w:w="144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Phase 2</w:t>
            </w:r>
          </w:p>
        </w:tc>
        <w:tc>
          <w:tcPr>
            <w:tcW w:w="0" w:type="dxa"/>
            <w:vAlign w:val="bottom"/>
          </w:tcPr>
          <w:p>
            <w:pPr>
              <w:spacing w:after="0"/>
              <w:rPr>
                <w:sz w:val="1"/>
                <w:szCs w:val="1"/>
                <w:color w:val="auto"/>
              </w:rPr>
            </w:pPr>
          </w:p>
        </w:tc>
      </w:tr>
      <w:tr>
        <w:trPr>
          <w:trHeight w:val="229"/>
        </w:trPr>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87"/>
              </w:rPr>
              <w:t>(continued)</w:t>
            </w:r>
          </w:p>
        </w:tc>
        <w:tc>
          <w:tcPr>
            <w:tcW w:w="80" w:type="dxa"/>
            <w:vAlign w:val="bottom"/>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93"/>
        </w:trPr>
        <w:tc>
          <w:tcPr>
            <w:tcW w:w="1860" w:type="dxa"/>
            <w:vAlign w:val="bottom"/>
            <w:gridSpan w:val="2"/>
          </w:tcPr>
          <w:p>
            <w:pPr>
              <w:ind w:left="20"/>
              <w:spacing w:after="0"/>
              <w:rPr>
                <w:sz w:val="20"/>
                <w:szCs w:val="20"/>
                <w:color w:val="auto"/>
              </w:rPr>
            </w:pPr>
            <w:r>
              <w:rPr>
                <w:rFonts w:ascii="Arial" w:cs="Arial" w:eastAsia="Arial" w:hAnsi="Arial"/>
                <w:sz w:val="18"/>
                <w:szCs w:val="18"/>
                <w:b w:val="1"/>
                <w:bCs w:val="1"/>
                <w:color w:val="auto"/>
              </w:rPr>
              <w:t>Libtayo (cemiplimab)</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Arial" w:cs="Arial" w:eastAsia="Arial" w:hAnsi="Arial"/>
                <w:sz w:val="18"/>
                <w:szCs w:val="18"/>
                <w:color w:val="auto"/>
              </w:rPr>
              <w:t>–Basal cell</w:t>
            </w:r>
          </w:p>
        </w:tc>
        <w:tc>
          <w:tcPr>
            <w:tcW w:w="0" w:type="dxa"/>
            <w:vAlign w:val="bottom"/>
          </w:tcPr>
          <w:p>
            <w:pPr>
              <w:spacing w:after="0"/>
              <w:rPr>
                <w:sz w:val="1"/>
                <w:szCs w:val="1"/>
                <w:color w:val="auto"/>
              </w:rPr>
            </w:pPr>
          </w:p>
        </w:tc>
      </w:tr>
      <w:tr>
        <w:trPr>
          <w:trHeight w:val="107"/>
        </w:trPr>
        <w:tc>
          <w:tcPr>
            <w:tcW w:w="1860" w:type="dxa"/>
            <w:vAlign w:val="bottom"/>
            <w:gridSpan w:val="2"/>
          </w:tcPr>
          <w:p>
            <w:pPr>
              <w:ind w:left="20"/>
              <w:spacing w:after="0" w:line="107" w:lineRule="exact"/>
              <w:rPr>
                <w:sz w:val="20"/>
                <w:szCs w:val="20"/>
                <w:color w:val="auto"/>
              </w:rPr>
            </w:pPr>
            <w:r>
              <w:rPr>
                <w:rFonts w:ascii="Arial" w:cs="Arial" w:eastAsia="Arial" w:hAnsi="Arial"/>
                <w:sz w:val="12"/>
                <w:szCs w:val="12"/>
                <w:b w:val="1"/>
                <w:bCs w:val="1"/>
                <w:color w:val="auto"/>
              </w:rPr>
              <w:t>(a)(h)</w:t>
            </w: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vMerge w:val="restart"/>
          </w:tcPr>
          <w:p>
            <w:pPr>
              <w:ind w:left="20"/>
              <w:spacing w:after="0" w:line="176" w:lineRule="exact"/>
              <w:rPr>
                <w:sz w:val="20"/>
                <w:szCs w:val="20"/>
                <w:color w:val="auto"/>
              </w:rPr>
            </w:pPr>
            <w:r>
              <w:rPr>
                <w:rFonts w:ascii="Arial" w:cs="Arial" w:eastAsia="Arial" w:hAnsi="Arial"/>
                <w:sz w:val="18"/>
                <w:szCs w:val="18"/>
                <w:color w:val="auto"/>
              </w:rPr>
              <w:t>carcinoma</w:t>
            </w:r>
          </w:p>
        </w:tc>
        <w:tc>
          <w:tcPr>
            <w:tcW w:w="0" w:type="dxa"/>
            <w:vAlign w:val="bottom"/>
          </w:tcPr>
          <w:p>
            <w:pPr>
              <w:spacing w:after="0"/>
              <w:rPr>
                <w:sz w:val="1"/>
                <w:szCs w:val="1"/>
                <w:color w:val="auto"/>
              </w:rPr>
            </w:pPr>
          </w:p>
        </w:tc>
      </w:tr>
      <w:tr>
        <w:trPr>
          <w:trHeight w:val="68"/>
        </w:trPr>
        <w:tc>
          <w:tcPr>
            <w:tcW w:w="186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Antibody to PD-1</w:t>
            </w: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86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ind w:left="20"/>
              <w:spacing w:after="0" w:line="176" w:lineRule="exact"/>
              <w:rPr>
                <w:sz w:val="20"/>
                <w:szCs w:val="20"/>
                <w:color w:val="auto"/>
              </w:rPr>
            </w:pPr>
            <w:r>
              <w:rPr>
                <w:rFonts w:ascii="Arial" w:cs="Arial" w:eastAsia="Arial" w:hAnsi="Arial"/>
                <w:sz w:val="18"/>
                <w:szCs w:val="18"/>
                <w:color w:val="auto"/>
              </w:rPr>
              <w:t>("BCC")</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ind w:left="20"/>
              <w:spacing w:after="0"/>
              <w:rPr>
                <w:sz w:val="20"/>
                <w:szCs w:val="20"/>
                <w:color w:val="auto"/>
              </w:rPr>
            </w:pPr>
            <w:r>
              <w:rPr>
                <w:rFonts w:ascii="Arial" w:cs="Arial" w:eastAsia="Arial" w:hAnsi="Arial"/>
                <w:sz w:val="18"/>
                <w:szCs w:val="18"/>
                <w:color w:val="auto"/>
              </w:rPr>
              <w:t>(pivotal study)</w:t>
            </w:r>
          </w:p>
        </w:tc>
        <w:tc>
          <w:tcPr>
            <w:tcW w:w="0" w:type="dxa"/>
            <w:vAlign w:val="bottom"/>
          </w:tcPr>
          <w:p>
            <w:pPr>
              <w:spacing w:after="0"/>
              <w:rPr>
                <w:sz w:val="1"/>
                <w:szCs w:val="1"/>
                <w:color w:val="auto"/>
              </w:rPr>
            </w:pPr>
          </w:p>
        </w:tc>
      </w:tr>
      <w:tr>
        <w:trPr>
          <w:trHeight w:val="364"/>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Arial" w:cs="Arial" w:eastAsia="Arial" w:hAnsi="Arial"/>
                <w:sz w:val="18"/>
                <w:szCs w:val="18"/>
                <w:color w:val="auto"/>
              </w:rPr>
              <w:t>–Metastatic or</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ind w:left="20"/>
              <w:spacing w:after="0" w:line="176" w:lineRule="exact"/>
              <w:rPr>
                <w:sz w:val="20"/>
                <w:szCs w:val="20"/>
                <w:color w:val="auto"/>
              </w:rPr>
            </w:pPr>
            <w:r>
              <w:rPr>
                <w:rFonts w:ascii="Arial" w:cs="Arial" w:eastAsia="Arial" w:hAnsi="Arial"/>
                <w:sz w:val="18"/>
                <w:szCs w:val="18"/>
                <w:color w:val="auto"/>
              </w:rPr>
              <w:t>locally advanced</w:t>
            </w:r>
          </w:p>
        </w:tc>
        <w:tc>
          <w:tcPr>
            <w:tcW w:w="0" w:type="dxa"/>
            <w:vAlign w:val="bottom"/>
          </w:tcPr>
          <w:p>
            <w:pPr>
              <w:spacing w:after="0"/>
              <w:rPr>
                <w:sz w:val="1"/>
                <w:szCs w:val="1"/>
                <w:color w:val="auto"/>
              </w:rPr>
            </w:pPr>
          </w:p>
        </w:tc>
      </w:tr>
      <w:tr>
        <w:trPr>
          <w:trHeight w:val="312"/>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Arial" w:cs="Arial" w:eastAsia="Arial" w:hAnsi="Arial"/>
                <w:sz w:val="18"/>
                <w:szCs w:val="18"/>
                <w:color w:val="auto"/>
              </w:rPr>
              <w:t>CSCC</w:t>
            </w:r>
            <w:r>
              <w:rPr>
                <w:rFonts w:ascii="Arial" w:cs="Arial" w:eastAsia="Arial" w:hAnsi="Arial"/>
                <w:sz w:val="23"/>
                <w:szCs w:val="23"/>
                <w:color w:val="auto"/>
                <w:vertAlign w:val="superscript"/>
              </w:rPr>
              <w:t>(d)</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Arial" w:cs="Arial" w:eastAsia="Arial" w:hAnsi="Arial"/>
                <w:sz w:val="18"/>
                <w:szCs w:val="18"/>
                <w:color w:val="auto"/>
              </w:rPr>
              <w:t>–Neoadjuvant</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ind w:left="20"/>
              <w:spacing w:after="0"/>
              <w:rPr>
                <w:sz w:val="20"/>
                <w:szCs w:val="20"/>
                <w:color w:val="auto"/>
              </w:rPr>
            </w:pPr>
            <w:r>
              <w:rPr>
                <w:rFonts w:ascii="Arial" w:cs="Arial" w:eastAsia="Arial" w:hAnsi="Arial"/>
                <w:sz w:val="18"/>
                <w:szCs w:val="18"/>
                <w:color w:val="auto"/>
              </w:rPr>
              <w:t>CSCC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480" w:type="dxa"/>
            <w:vAlign w:val="bottom"/>
            <w:vMerge w:val="restart"/>
          </w:tcPr>
          <w:p>
            <w:pPr>
              <w:ind w:left="460"/>
              <w:spacing w:after="0"/>
              <w:rPr>
                <w:sz w:val="20"/>
                <w:szCs w:val="20"/>
                <w:color w:val="auto"/>
              </w:rPr>
            </w:pPr>
            <w:r>
              <w:rPr>
                <w:rFonts w:ascii="Arial" w:cs="Arial" w:eastAsia="Arial" w:hAnsi="Arial"/>
                <w:sz w:val="18"/>
                <w:szCs w:val="18"/>
                <w:b w:val="1"/>
                <w:bCs w:val="1"/>
                <w:color w:val="auto"/>
              </w:rPr>
              <w:t>Phase 3</w:t>
            </w:r>
          </w:p>
        </w:tc>
        <w:tc>
          <w:tcPr>
            <w:tcW w:w="100" w:type="dxa"/>
            <w:vAlign w:val="bottom"/>
            <w:vMerge w:val="restart"/>
          </w:tcPr>
          <w:p>
            <w:pPr>
              <w:spacing w:after="0"/>
              <w:rPr>
                <w:sz w:val="17"/>
                <w:szCs w:val="17"/>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b w:val="1"/>
                <w:bCs w:val="1"/>
                <w:color w:val="auto"/>
              </w:rPr>
              <w:t>Regulatory</w:t>
            </w:r>
          </w:p>
        </w:tc>
        <w:tc>
          <w:tcPr>
            <w:tcW w:w="1920" w:type="dxa"/>
            <w:vAlign w:val="bottom"/>
            <w:gridSpan w:val="2"/>
          </w:tcPr>
          <w:p>
            <w:pPr>
              <w:ind w:left="360"/>
              <w:spacing w:after="0"/>
              <w:rPr>
                <w:sz w:val="20"/>
                <w:szCs w:val="20"/>
                <w:color w:val="auto"/>
              </w:rPr>
            </w:pPr>
            <w:r>
              <w:rPr>
                <w:rFonts w:ascii="Arial" w:cs="Arial" w:eastAsia="Arial" w:hAnsi="Arial"/>
                <w:sz w:val="18"/>
                <w:szCs w:val="18"/>
                <w:b w:val="1"/>
                <w:bCs w:val="1"/>
                <w:color w:val="auto"/>
              </w:rPr>
              <w:t>2020 and 2021</w:t>
            </w:r>
          </w:p>
        </w:tc>
        <w:tc>
          <w:tcPr>
            <w:tcW w:w="1840" w:type="dxa"/>
            <w:vAlign w:val="bottom"/>
          </w:tcPr>
          <w:p>
            <w:pPr>
              <w:ind w:left="280"/>
              <w:spacing w:after="0"/>
              <w:rPr>
                <w:sz w:val="20"/>
                <w:szCs w:val="20"/>
                <w:color w:val="auto"/>
              </w:rPr>
            </w:pPr>
            <w:r>
              <w:rPr>
                <w:rFonts w:ascii="Arial" w:cs="Arial" w:eastAsia="Arial" w:hAnsi="Arial"/>
                <w:sz w:val="18"/>
                <w:szCs w:val="18"/>
                <w:b w:val="1"/>
                <w:bCs w:val="1"/>
                <w:color w:val="auto"/>
              </w:rPr>
              <w:t>Select Upcoming</w:t>
            </w:r>
          </w:p>
        </w:tc>
        <w:tc>
          <w:tcPr>
            <w:tcW w:w="0" w:type="dxa"/>
            <w:vAlign w:val="bottom"/>
          </w:tcPr>
          <w:p>
            <w:pPr>
              <w:spacing w:after="0"/>
              <w:rPr>
                <w:sz w:val="1"/>
                <w:szCs w:val="1"/>
                <w:color w:val="auto"/>
              </w:rPr>
            </w:pPr>
          </w:p>
        </w:tc>
      </w:tr>
      <w:tr>
        <w:trPr>
          <w:trHeight w:val="229"/>
        </w:trPr>
        <w:tc>
          <w:tcPr>
            <w:tcW w:w="14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240" w:type="dxa"/>
            <w:vAlign w:val="bottom"/>
            <w:tcBorders>
              <w:bottom w:val="single" w:sz="8" w:color="auto"/>
            </w:tcBorders>
          </w:tcPr>
          <w:p>
            <w:pPr>
              <w:ind w:left="280"/>
              <w:spacing w:after="0" w:line="230" w:lineRule="exact"/>
              <w:rPr>
                <w:sz w:val="20"/>
                <w:szCs w:val="20"/>
                <w:color w:val="auto"/>
              </w:rPr>
            </w:pPr>
            <w:r>
              <w:rPr>
                <w:rFonts w:ascii="Arial" w:cs="Arial" w:eastAsia="Arial" w:hAnsi="Arial"/>
                <w:sz w:val="18"/>
                <w:szCs w:val="18"/>
                <w:b w:val="1"/>
                <w:bCs w:val="1"/>
                <w:color w:val="auto"/>
              </w:rPr>
              <w:t>Review</w:t>
            </w:r>
            <w:r>
              <w:rPr>
                <w:rFonts w:ascii="Arial" w:cs="Arial" w:eastAsia="Arial" w:hAnsi="Arial"/>
                <w:sz w:val="23"/>
                <w:szCs w:val="23"/>
                <w:b w:val="1"/>
                <w:bCs w:val="1"/>
                <w:color w:val="auto"/>
                <w:vertAlign w:val="superscript"/>
              </w:rPr>
              <w:t>(i)</w:t>
            </w:r>
          </w:p>
        </w:tc>
        <w:tc>
          <w:tcPr>
            <w:tcW w:w="80" w:type="dxa"/>
            <w:vAlign w:val="bottom"/>
          </w:tcPr>
          <w:p>
            <w:pPr>
              <w:spacing w:after="0"/>
              <w:rPr>
                <w:sz w:val="19"/>
                <w:szCs w:val="19"/>
                <w:color w:val="auto"/>
              </w:rPr>
            </w:pPr>
          </w:p>
        </w:tc>
        <w:tc>
          <w:tcPr>
            <w:tcW w:w="18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Events to Date</w:t>
            </w:r>
          </w:p>
        </w:tc>
        <w:tc>
          <w:tcPr>
            <w:tcW w:w="80" w:type="dxa"/>
            <w:vAlign w:val="bottom"/>
          </w:tcPr>
          <w:p>
            <w:pPr>
              <w:spacing w:after="0"/>
              <w:rPr>
                <w:sz w:val="19"/>
                <w:szCs w:val="19"/>
                <w:color w:val="auto"/>
              </w:rPr>
            </w:pPr>
          </w:p>
        </w:tc>
        <w:tc>
          <w:tcPr>
            <w:tcW w:w="1840" w:type="dxa"/>
            <w:vAlign w:val="bottom"/>
            <w:tcBorders>
              <w:bottom w:val="single" w:sz="8" w:color="auto"/>
            </w:tcBorders>
          </w:tcPr>
          <w:p>
            <w:pPr>
              <w:ind w:left="440"/>
              <w:spacing w:after="0" w:line="230" w:lineRule="exact"/>
              <w:rPr>
                <w:sz w:val="20"/>
                <w:szCs w:val="20"/>
                <w:color w:val="auto"/>
              </w:rPr>
            </w:pPr>
            <w:r>
              <w:rPr>
                <w:rFonts w:ascii="Arial" w:cs="Arial" w:eastAsia="Arial" w:hAnsi="Arial"/>
                <w:sz w:val="18"/>
                <w:szCs w:val="18"/>
                <w:b w:val="1"/>
                <w:bCs w:val="1"/>
                <w:color w:val="auto"/>
              </w:rPr>
              <w:t>Milestones</w:t>
            </w:r>
            <w:r>
              <w:rPr>
                <w:rFonts w:ascii="Arial" w:cs="Arial" w:eastAsia="Arial" w:hAnsi="Arial"/>
                <w:sz w:val="23"/>
                <w:szCs w:val="23"/>
                <w:b w:val="1"/>
                <w:bCs w:val="1"/>
                <w:color w:val="auto"/>
                <w:vertAlign w:val="superscript"/>
              </w:rPr>
              <w:t>(k)</w:t>
            </w:r>
          </w:p>
        </w:tc>
        <w:tc>
          <w:tcPr>
            <w:tcW w:w="0" w:type="dxa"/>
            <w:vAlign w:val="bottom"/>
          </w:tcPr>
          <w:p>
            <w:pPr>
              <w:spacing w:after="0"/>
              <w:rPr>
                <w:sz w:val="1"/>
                <w:szCs w:val="1"/>
                <w:color w:val="auto"/>
              </w:rPr>
            </w:pPr>
          </w:p>
        </w:tc>
      </w:tr>
      <w:tr>
        <w:trPr>
          <w:trHeight w:val="264"/>
        </w:trPr>
        <w:tc>
          <w:tcPr>
            <w:tcW w:w="2900" w:type="dxa"/>
            <w:vAlign w:val="bottom"/>
            <w:gridSpan w:val="4"/>
          </w:tcPr>
          <w:p>
            <w:pPr>
              <w:ind w:left="180"/>
              <w:spacing w:after="0"/>
              <w:rPr>
                <w:sz w:val="20"/>
                <w:szCs w:val="20"/>
                <w:color w:val="auto"/>
              </w:rPr>
            </w:pPr>
            <w:r>
              <w:rPr>
                <w:rFonts w:ascii="Arial" w:cs="Arial" w:eastAsia="Arial" w:hAnsi="Arial"/>
                <w:sz w:val="18"/>
                <w:szCs w:val="18"/>
                <w:b w:val="1"/>
                <w:bCs w:val="1"/>
                <w:color w:val="auto"/>
              </w:rPr>
              <w:t>Solid Organ Oncology</w:t>
            </w:r>
          </w:p>
        </w:tc>
        <w:tc>
          <w:tcPr>
            <w:tcW w:w="1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–First-line non-</w:t>
            </w:r>
          </w:p>
        </w:tc>
        <w:tc>
          <w:tcPr>
            <w:tcW w:w="1320" w:type="dxa"/>
            <w:vAlign w:val="bottom"/>
            <w:gridSpan w:val="2"/>
          </w:tcPr>
          <w:p>
            <w:pPr>
              <w:spacing w:after="0"/>
              <w:rPr>
                <w:sz w:val="20"/>
                <w:szCs w:val="20"/>
                <w:color w:val="auto"/>
              </w:rPr>
            </w:pPr>
            <w:r>
              <w:rPr>
                <w:rFonts w:ascii="Arial" w:cs="Arial" w:eastAsia="Arial" w:hAnsi="Arial"/>
                <w:sz w:val="18"/>
                <w:szCs w:val="18"/>
                <w:color w:val="auto"/>
              </w:rPr>
              <w:t>–First-line</w:t>
            </w:r>
          </w:p>
        </w:tc>
        <w:tc>
          <w:tcPr>
            <w:tcW w:w="1920" w:type="dxa"/>
            <w:vAlign w:val="bottom"/>
            <w:gridSpan w:val="2"/>
          </w:tcPr>
          <w:p>
            <w:pPr>
              <w:ind w:left="20"/>
              <w:spacing w:after="0"/>
              <w:rPr>
                <w:sz w:val="20"/>
                <w:szCs w:val="20"/>
                <w:color w:val="auto"/>
              </w:rPr>
            </w:pPr>
            <w:r>
              <w:rPr>
                <w:rFonts w:ascii="Arial" w:cs="Arial" w:eastAsia="Arial" w:hAnsi="Arial"/>
                <w:sz w:val="18"/>
                <w:szCs w:val="18"/>
                <w:color w:val="auto"/>
                <w:w w:val="98"/>
              </w:rPr>
              <w:t>–Reported that Phase 3</w:t>
            </w:r>
          </w:p>
        </w:tc>
        <w:tc>
          <w:tcPr>
            <w:tcW w:w="1840" w:type="dxa"/>
            <w:vAlign w:val="bottom"/>
          </w:tcPr>
          <w:p>
            <w:pPr>
              <w:ind w:left="20"/>
              <w:spacing w:after="0"/>
              <w:rPr>
                <w:sz w:val="20"/>
                <w:szCs w:val="20"/>
                <w:color w:val="auto"/>
              </w:rPr>
            </w:pPr>
            <w:r>
              <w:rPr>
                <w:rFonts w:ascii="Arial" w:cs="Arial" w:eastAsia="Arial" w:hAnsi="Arial"/>
                <w:sz w:val="18"/>
                <w:szCs w:val="18"/>
                <w:color w:val="auto"/>
                <w:w w:val="94"/>
              </w:rPr>
              <w:t>–FDA decision on sBLA</w:t>
            </w:r>
          </w:p>
        </w:tc>
        <w:tc>
          <w:tcPr>
            <w:tcW w:w="0" w:type="dxa"/>
            <w:vAlign w:val="bottom"/>
          </w:tcPr>
          <w:p>
            <w:pPr>
              <w:spacing w:after="0"/>
              <w:rPr>
                <w:sz w:val="1"/>
                <w:szCs w:val="1"/>
                <w:color w:val="auto"/>
              </w:rPr>
            </w:pPr>
          </w:p>
        </w:tc>
      </w:tr>
      <w:tr>
        <w:trPr>
          <w:trHeight w:val="175"/>
        </w:trPr>
        <w:tc>
          <w:tcPr>
            <w:tcW w:w="15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small cell lung</w:t>
            </w:r>
          </w:p>
        </w:tc>
        <w:tc>
          <w:tcPr>
            <w:tcW w:w="1320" w:type="dxa"/>
            <w:vAlign w:val="bottom"/>
            <w:gridSpan w:val="2"/>
          </w:tcPr>
          <w:p>
            <w:pPr>
              <w:spacing w:after="0" w:line="176" w:lineRule="exact"/>
              <w:rPr>
                <w:sz w:val="20"/>
                <w:szCs w:val="20"/>
                <w:color w:val="auto"/>
              </w:rPr>
            </w:pPr>
            <w:r>
              <w:rPr>
                <w:rFonts w:ascii="Arial" w:cs="Arial" w:eastAsia="Arial" w:hAnsi="Arial"/>
                <w:sz w:val="18"/>
                <w:szCs w:val="18"/>
                <w:color w:val="auto"/>
              </w:rPr>
              <w:t>NSCLC,</w:t>
            </w:r>
          </w:p>
        </w:tc>
        <w:tc>
          <w:tcPr>
            <w:tcW w:w="19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monotherapy trial in</w:t>
            </w: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(target action date of</w:t>
            </w:r>
          </w:p>
        </w:tc>
        <w:tc>
          <w:tcPr>
            <w:tcW w:w="0" w:type="dxa"/>
            <w:vAlign w:val="bottom"/>
          </w:tcPr>
          <w:p>
            <w:pPr>
              <w:spacing w:after="0"/>
              <w:rPr>
                <w:sz w:val="1"/>
                <w:szCs w:val="1"/>
                <w:color w:val="auto"/>
              </w:rPr>
            </w:pPr>
          </w:p>
        </w:tc>
      </w:tr>
      <w:tr>
        <w:trPr>
          <w:trHeight w:val="176"/>
        </w:trPr>
        <w:tc>
          <w:tcPr>
            <w:tcW w:w="15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cancer ("NSCLC"),</w:t>
            </w:r>
          </w:p>
        </w:tc>
        <w:tc>
          <w:tcPr>
            <w:tcW w:w="1320" w:type="dxa"/>
            <w:vAlign w:val="bottom"/>
            <w:gridSpan w:val="2"/>
          </w:tcPr>
          <w:p>
            <w:pPr>
              <w:spacing w:after="0" w:line="176" w:lineRule="exact"/>
              <w:rPr>
                <w:sz w:val="20"/>
                <w:szCs w:val="20"/>
                <w:color w:val="auto"/>
              </w:rPr>
            </w:pPr>
            <w:r>
              <w:rPr>
                <w:rFonts w:ascii="Arial" w:cs="Arial" w:eastAsia="Arial" w:hAnsi="Arial"/>
                <w:sz w:val="18"/>
                <w:szCs w:val="18"/>
                <w:color w:val="auto"/>
              </w:rPr>
              <w:t>monotherapy</w:t>
            </w:r>
          </w:p>
        </w:tc>
        <w:tc>
          <w:tcPr>
            <w:tcW w:w="19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first-line NSCLC met</w:t>
            </w: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w w:val="95"/>
              </w:rPr>
              <w:t>February 28, 2021) and</w:t>
            </w:r>
          </w:p>
        </w:tc>
        <w:tc>
          <w:tcPr>
            <w:tcW w:w="0" w:type="dxa"/>
            <w:vAlign w:val="bottom"/>
          </w:tcPr>
          <w:p>
            <w:pPr>
              <w:spacing w:after="0"/>
              <w:rPr>
                <w:sz w:val="1"/>
                <w:szCs w:val="1"/>
                <w:color w:val="auto"/>
              </w:rPr>
            </w:pPr>
          </w:p>
        </w:tc>
      </w:tr>
      <w:tr>
        <w:trPr>
          <w:trHeight w:val="176"/>
        </w:trPr>
        <w:tc>
          <w:tcPr>
            <w:tcW w:w="15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monotherapy</w:t>
            </w:r>
          </w:p>
        </w:tc>
        <w:tc>
          <w:tcPr>
            <w:tcW w:w="1320" w:type="dxa"/>
            <w:vAlign w:val="bottom"/>
            <w:gridSpan w:val="2"/>
          </w:tcPr>
          <w:p>
            <w:pPr>
              <w:spacing w:after="0" w:line="176" w:lineRule="exact"/>
              <w:rPr>
                <w:sz w:val="20"/>
                <w:szCs w:val="20"/>
                <w:color w:val="auto"/>
              </w:rPr>
            </w:pPr>
            <w:r>
              <w:rPr>
                <w:rFonts w:ascii="Arial" w:cs="Arial" w:eastAsia="Arial" w:hAnsi="Arial"/>
                <w:sz w:val="18"/>
                <w:szCs w:val="18"/>
                <w:color w:val="auto"/>
              </w:rPr>
              <w:t>(U.S. and EU)</w:t>
            </w:r>
          </w:p>
        </w:tc>
        <w:tc>
          <w:tcPr>
            <w:tcW w:w="19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primary endpoint.</w:t>
            </w: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EC decision on</w:t>
            </w:r>
          </w:p>
        </w:tc>
        <w:tc>
          <w:tcPr>
            <w:tcW w:w="0" w:type="dxa"/>
            <w:vAlign w:val="bottom"/>
          </w:tcPr>
          <w:p>
            <w:pPr>
              <w:spacing w:after="0"/>
              <w:rPr>
                <w:sz w:val="1"/>
                <w:szCs w:val="1"/>
                <w:color w:val="auto"/>
              </w:rPr>
            </w:pPr>
          </w:p>
        </w:tc>
      </w:tr>
      <w:tr>
        <w:trPr>
          <w:trHeight w:val="175"/>
        </w:trPr>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Independent Data</w:t>
            </w: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regulatory submission</w:t>
            </w:r>
          </w:p>
        </w:tc>
        <w:tc>
          <w:tcPr>
            <w:tcW w:w="0" w:type="dxa"/>
            <w:vAlign w:val="bottom"/>
          </w:tcPr>
          <w:p>
            <w:pPr>
              <w:spacing w:after="0"/>
              <w:rPr>
                <w:sz w:val="1"/>
                <w:szCs w:val="1"/>
                <w:color w:val="auto"/>
              </w:rPr>
            </w:pPr>
          </w:p>
        </w:tc>
      </w:tr>
      <w:tr>
        <w:trPr>
          <w:trHeight w:val="243"/>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–First-line NSCLC,</w:t>
            </w:r>
          </w:p>
        </w:tc>
        <w:tc>
          <w:tcPr>
            <w:tcW w:w="1320" w:type="dxa"/>
            <w:vAlign w:val="bottom"/>
            <w:gridSpan w:val="2"/>
          </w:tcPr>
          <w:p>
            <w:pPr>
              <w:spacing w:after="0"/>
              <w:rPr>
                <w:sz w:val="20"/>
                <w:szCs w:val="20"/>
                <w:color w:val="auto"/>
              </w:rPr>
            </w:pPr>
            <w:r>
              <w:rPr>
                <w:rFonts w:ascii="Arial" w:cs="Arial" w:eastAsia="Arial" w:hAnsi="Arial"/>
                <w:sz w:val="18"/>
                <w:szCs w:val="18"/>
                <w:color w:val="auto"/>
              </w:rPr>
              <w:t>–Advanced</w:t>
            </w: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Monitoring Committee</w:t>
            </w:r>
          </w:p>
        </w:tc>
        <w:tc>
          <w:tcPr>
            <w:tcW w:w="1840" w:type="dxa"/>
            <w:vAlign w:val="bottom"/>
          </w:tcPr>
          <w:p>
            <w:pPr>
              <w:ind w:left="20"/>
              <w:spacing w:after="0"/>
              <w:rPr>
                <w:sz w:val="20"/>
                <w:szCs w:val="20"/>
                <w:color w:val="auto"/>
              </w:rPr>
            </w:pPr>
            <w:r>
              <w:rPr>
                <w:rFonts w:ascii="Arial" w:cs="Arial" w:eastAsia="Arial" w:hAnsi="Arial"/>
                <w:sz w:val="18"/>
                <w:szCs w:val="18"/>
                <w:color w:val="auto"/>
                <w:w w:val="99"/>
              </w:rPr>
              <w:t>(mid-2021) for first-line</w:t>
            </w:r>
          </w:p>
        </w:tc>
        <w:tc>
          <w:tcPr>
            <w:tcW w:w="0" w:type="dxa"/>
            <w:vAlign w:val="bottom"/>
          </w:tcPr>
          <w:p>
            <w:pPr>
              <w:spacing w:after="0"/>
              <w:rPr>
                <w:sz w:val="1"/>
                <w:szCs w:val="1"/>
                <w:color w:val="auto"/>
              </w:rPr>
            </w:pPr>
          </w:p>
        </w:tc>
      </w:tr>
      <w:tr>
        <w:trPr>
          <w:trHeight w:val="108"/>
        </w:trPr>
        <w:tc>
          <w:tcPr>
            <w:tcW w:w="158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rPr>
              <w:t>chemotherapy</w:t>
            </w:r>
          </w:p>
        </w:tc>
        <w:tc>
          <w:tcPr>
            <w:tcW w:w="1320" w:type="dxa"/>
            <w:vAlign w:val="bottom"/>
            <w:gridSpan w:val="2"/>
          </w:tcPr>
          <w:p>
            <w:pPr>
              <w:spacing w:after="0" w:line="108" w:lineRule="exact"/>
              <w:rPr>
                <w:sz w:val="20"/>
                <w:szCs w:val="20"/>
                <w:color w:val="auto"/>
              </w:rPr>
            </w:pPr>
            <w:r>
              <w:rPr>
                <w:rFonts w:ascii="Arial" w:cs="Arial" w:eastAsia="Arial" w:hAnsi="Arial"/>
                <w:sz w:val="12"/>
                <w:szCs w:val="12"/>
                <w:color w:val="auto"/>
              </w:rPr>
              <w:t>BCC (U.S. and</w:t>
            </w:r>
          </w:p>
        </w:tc>
        <w:tc>
          <w:tcPr>
            <w:tcW w:w="1920" w:type="dxa"/>
            <w:vAlign w:val="bottom"/>
            <w:gridSpan w:val="2"/>
          </w:tcPr>
          <w:p>
            <w:pPr>
              <w:ind w:left="20"/>
              <w:spacing w:after="0" w:line="108" w:lineRule="exact"/>
              <w:rPr>
                <w:sz w:val="20"/>
                <w:szCs w:val="20"/>
                <w:color w:val="auto"/>
              </w:rPr>
            </w:pPr>
            <w:r>
              <w:rPr>
                <w:rFonts w:ascii="Arial" w:cs="Arial" w:eastAsia="Arial" w:hAnsi="Arial"/>
                <w:sz w:val="12"/>
                <w:szCs w:val="12"/>
                <w:color w:val="auto"/>
              </w:rPr>
              <w:t>("IDMC") recommended</w:t>
            </w:r>
          </w:p>
        </w:tc>
        <w:tc>
          <w:tcPr>
            <w:tcW w:w="1840" w:type="dxa"/>
            <w:vAlign w:val="bottom"/>
          </w:tcPr>
          <w:p>
            <w:pPr>
              <w:ind w:left="20"/>
              <w:spacing w:after="0" w:line="108" w:lineRule="exact"/>
              <w:rPr>
                <w:sz w:val="20"/>
                <w:szCs w:val="20"/>
                <w:color w:val="auto"/>
              </w:rPr>
            </w:pPr>
            <w:r>
              <w:rPr>
                <w:rFonts w:ascii="Arial" w:cs="Arial" w:eastAsia="Arial" w:hAnsi="Arial"/>
                <w:sz w:val="12"/>
                <w:szCs w:val="12"/>
                <w:color w:val="auto"/>
              </w:rPr>
              <w:t>NSCLC, monotherapy</w:t>
            </w:r>
          </w:p>
        </w:tc>
        <w:tc>
          <w:tcPr>
            <w:tcW w:w="0" w:type="dxa"/>
            <w:vAlign w:val="bottom"/>
          </w:tcPr>
          <w:p>
            <w:pPr>
              <w:spacing w:after="0"/>
              <w:rPr>
                <w:sz w:val="1"/>
                <w:szCs w:val="1"/>
                <w:color w:val="auto"/>
              </w:rPr>
            </w:pPr>
          </w:p>
        </w:tc>
      </w:tr>
      <w:tr>
        <w:trPr>
          <w:trHeight w:val="68"/>
        </w:trPr>
        <w:tc>
          <w:tcPr>
            <w:tcW w:w="1580" w:type="dxa"/>
            <w:vAlign w:val="bottom"/>
            <w:gridSpan w:val="2"/>
            <w:vMerge w:val="continue"/>
          </w:tcPr>
          <w:p>
            <w:pPr>
              <w:spacing w:after="0"/>
              <w:rPr>
                <w:sz w:val="5"/>
                <w:szCs w:val="5"/>
                <w:color w:val="auto"/>
              </w:rPr>
            </w:pPr>
          </w:p>
        </w:tc>
        <w:tc>
          <w:tcPr>
            <w:tcW w:w="1320" w:type="dxa"/>
            <w:vAlign w:val="bottom"/>
            <w:gridSpan w:val="2"/>
            <w:vMerge w:val="restart"/>
          </w:tcPr>
          <w:p>
            <w:pPr>
              <w:spacing w:after="0" w:line="176" w:lineRule="exact"/>
              <w:rPr>
                <w:sz w:val="20"/>
                <w:szCs w:val="20"/>
                <w:color w:val="auto"/>
              </w:rPr>
            </w:pPr>
            <w:r>
              <w:rPr>
                <w:rFonts w:ascii="Arial" w:cs="Arial" w:eastAsia="Arial" w:hAnsi="Arial"/>
                <w:sz w:val="18"/>
                <w:szCs w:val="18"/>
                <w:color w:val="auto"/>
              </w:rPr>
              <w:t>EU)</w:t>
            </w:r>
          </w:p>
        </w:tc>
        <w:tc>
          <w:tcPr>
            <w:tcW w:w="192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rPr>
              <w:t>stopping the trial early</w:t>
            </w:r>
          </w:p>
        </w:tc>
        <w:tc>
          <w:tcPr>
            <w:tcW w:w="1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580" w:type="dxa"/>
            <w:vAlign w:val="bottom"/>
            <w:gridSpan w:val="2"/>
            <w:vMerge w:val="restart"/>
          </w:tcPr>
          <w:p>
            <w:pPr>
              <w:ind w:left="20"/>
              <w:spacing w:after="0"/>
              <w:rPr>
                <w:sz w:val="20"/>
                <w:szCs w:val="20"/>
                <w:color w:val="auto"/>
              </w:rPr>
            </w:pPr>
            <w:r>
              <w:rPr>
                <w:rFonts w:ascii="Arial" w:cs="Arial" w:eastAsia="Arial" w:hAnsi="Arial"/>
                <w:sz w:val="18"/>
                <w:szCs w:val="18"/>
                <w:color w:val="auto"/>
              </w:rPr>
              <w:t>combination</w:t>
            </w:r>
          </w:p>
        </w:tc>
        <w:tc>
          <w:tcPr>
            <w:tcW w:w="1320" w:type="dxa"/>
            <w:vAlign w:val="bottom"/>
            <w:gridSpan w:val="2"/>
            <w:vMerge w:val="continue"/>
          </w:tcPr>
          <w:p>
            <w:pPr>
              <w:spacing w:after="0"/>
              <w:rPr>
                <w:sz w:val="9"/>
                <w:szCs w:val="9"/>
                <w:color w:val="auto"/>
              </w:rPr>
            </w:pPr>
          </w:p>
        </w:tc>
        <w:tc>
          <w:tcPr>
            <w:tcW w:w="1920" w:type="dxa"/>
            <w:vAlign w:val="bottom"/>
            <w:gridSpan w:val="2"/>
            <w:vMerge w:val="continue"/>
          </w:tcPr>
          <w:p>
            <w:pPr>
              <w:spacing w:after="0"/>
              <w:rPr>
                <w:sz w:val="9"/>
                <w:szCs w:val="9"/>
                <w:color w:val="auto"/>
              </w:rPr>
            </w:pP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580" w:type="dxa"/>
            <w:vAlign w:val="bottom"/>
            <w:gridSpan w:val="2"/>
            <w:vMerge w:val="continue"/>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2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rPr>
              <w:t>due to highly significant</w:t>
            </w:r>
          </w:p>
        </w:tc>
        <w:tc>
          <w:tcPr>
            <w:tcW w:w="1840" w:type="dxa"/>
            <w:vAlign w:val="bottom"/>
            <w:vMerge w:val="restart"/>
          </w:tcPr>
          <w:p>
            <w:pPr>
              <w:ind w:left="20"/>
              <w:spacing w:after="0" w:line="176" w:lineRule="exact"/>
              <w:rPr>
                <w:sz w:val="20"/>
                <w:szCs w:val="20"/>
                <w:color w:val="auto"/>
              </w:rPr>
            </w:pPr>
            <w:r>
              <w:rPr>
                <w:rFonts w:ascii="Arial" w:cs="Arial" w:eastAsia="Arial" w:hAnsi="Arial"/>
                <w:sz w:val="18"/>
                <w:szCs w:val="18"/>
                <w:color w:val="auto"/>
              </w:rPr>
              <w:t>–Interim analysis from</w:t>
            </w:r>
          </w:p>
        </w:tc>
        <w:tc>
          <w:tcPr>
            <w:tcW w:w="0" w:type="dxa"/>
            <w:vAlign w:val="bottom"/>
          </w:tcPr>
          <w:p>
            <w:pPr>
              <w:spacing w:after="0"/>
              <w:rPr>
                <w:sz w:val="1"/>
                <w:szCs w:val="1"/>
                <w:color w:val="auto"/>
              </w:rPr>
            </w:pPr>
          </w:p>
        </w:tc>
      </w:tr>
      <w:tr>
        <w:trPr>
          <w:trHeight w:val="53"/>
        </w:trPr>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920" w:type="dxa"/>
            <w:vAlign w:val="bottom"/>
            <w:gridSpan w:val="2"/>
            <w:vMerge w:val="continue"/>
          </w:tcPr>
          <w:p>
            <w:pPr>
              <w:spacing w:after="0"/>
              <w:rPr>
                <w:sz w:val="4"/>
                <w:szCs w:val="4"/>
                <w:color w:val="auto"/>
              </w:rPr>
            </w:pPr>
          </w:p>
        </w:tc>
        <w:tc>
          <w:tcPr>
            <w:tcW w:w="1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580" w:type="dxa"/>
            <w:vAlign w:val="bottom"/>
            <w:gridSpan w:val="2"/>
            <w:vMerge w:val="restart"/>
          </w:tcPr>
          <w:p>
            <w:pPr>
              <w:ind w:left="20"/>
              <w:spacing w:after="0"/>
              <w:rPr>
                <w:sz w:val="20"/>
                <w:szCs w:val="20"/>
                <w:color w:val="auto"/>
              </w:rPr>
            </w:pPr>
            <w:r>
              <w:rPr>
                <w:rFonts w:ascii="Arial" w:cs="Arial" w:eastAsia="Arial" w:hAnsi="Arial"/>
                <w:sz w:val="18"/>
                <w:szCs w:val="18"/>
                <w:color w:val="auto"/>
              </w:rPr>
              <w:t>–Second-line</w:t>
            </w: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improvement in overall</w:t>
            </w: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Phase 3 study in first-</w:t>
            </w:r>
          </w:p>
        </w:tc>
        <w:tc>
          <w:tcPr>
            <w:tcW w:w="0" w:type="dxa"/>
            <w:vAlign w:val="bottom"/>
          </w:tcPr>
          <w:p>
            <w:pPr>
              <w:spacing w:after="0"/>
              <w:rPr>
                <w:sz w:val="1"/>
                <w:szCs w:val="1"/>
                <w:color w:val="auto"/>
              </w:rPr>
            </w:pPr>
          </w:p>
        </w:tc>
      </w:tr>
      <w:tr>
        <w:trPr>
          <w:trHeight w:val="176"/>
        </w:trPr>
        <w:tc>
          <w:tcPr>
            <w:tcW w:w="1580" w:type="dxa"/>
            <w:vAlign w:val="bottom"/>
            <w:gridSpan w:val="2"/>
            <w:vMerge w:val="continue"/>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survival</w:t>
            </w: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line NSCLC,</w:t>
            </w:r>
          </w:p>
        </w:tc>
        <w:tc>
          <w:tcPr>
            <w:tcW w:w="0" w:type="dxa"/>
            <w:vAlign w:val="bottom"/>
          </w:tcPr>
          <w:p>
            <w:pPr>
              <w:spacing w:after="0"/>
              <w:rPr>
                <w:sz w:val="1"/>
                <w:szCs w:val="1"/>
                <w:color w:val="auto"/>
              </w:rPr>
            </w:pPr>
          </w:p>
        </w:tc>
      </w:tr>
      <w:tr>
        <w:trPr>
          <w:trHeight w:val="175"/>
        </w:trPr>
        <w:tc>
          <w:tcPr>
            <w:tcW w:w="1580" w:type="dxa"/>
            <w:vAlign w:val="bottom"/>
            <w:gridSpan w:val="2"/>
          </w:tcPr>
          <w:p>
            <w:pPr>
              <w:ind w:left="20"/>
              <w:spacing w:after="0" w:line="176" w:lineRule="exact"/>
              <w:rPr>
                <w:sz w:val="20"/>
                <w:szCs w:val="20"/>
                <w:color w:val="auto"/>
              </w:rPr>
            </w:pPr>
            <w:r>
              <w:rPr>
                <w:rFonts w:ascii="Arial" w:cs="Arial" w:eastAsia="Arial" w:hAnsi="Arial"/>
                <w:sz w:val="16"/>
                <w:szCs w:val="16"/>
                <w:color w:val="auto"/>
              </w:rPr>
              <w:t>cervical cancer</w:t>
            </w:r>
            <w:r>
              <w:rPr>
                <w:rFonts w:ascii="Arial" w:cs="Arial" w:eastAsia="Arial" w:hAnsi="Arial"/>
                <w:sz w:val="20"/>
                <w:szCs w:val="20"/>
                <w:color w:val="auto"/>
                <w:vertAlign w:val="superscript"/>
              </w:rPr>
              <w:t>(e)</w:t>
            </w: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vMerge w:val="restart"/>
          </w:tcPr>
          <w:p>
            <w:pPr>
              <w:ind w:left="20"/>
              <w:spacing w:after="0"/>
              <w:rPr>
                <w:sz w:val="20"/>
                <w:szCs w:val="20"/>
                <w:color w:val="auto"/>
              </w:rPr>
            </w:pPr>
            <w:r>
              <w:rPr>
                <w:rFonts w:ascii="Arial" w:cs="Arial" w:eastAsia="Arial" w:hAnsi="Arial"/>
                <w:sz w:val="18"/>
                <w:szCs w:val="18"/>
                <w:color w:val="auto"/>
              </w:rPr>
              <w:t>–Completed patient</w:t>
            </w: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chemotherapy</w:t>
            </w:r>
          </w:p>
        </w:tc>
        <w:tc>
          <w:tcPr>
            <w:tcW w:w="0" w:type="dxa"/>
            <w:vAlign w:val="bottom"/>
          </w:tcPr>
          <w:p>
            <w:pPr>
              <w:spacing w:after="0"/>
              <w:rPr>
                <w:sz w:val="1"/>
                <w:szCs w:val="1"/>
                <w:color w:val="auto"/>
              </w:rPr>
            </w:pPr>
          </w:p>
        </w:tc>
      </w:tr>
      <w:tr>
        <w:trPr>
          <w:trHeight w:val="176"/>
        </w:trPr>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combination (second</w:t>
            </w:r>
          </w:p>
        </w:tc>
        <w:tc>
          <w:tcPr>
            <w:tcW w:w="0" w:type="dxa"/>
            <w:vAlign w:val="bottom"/>
          </w:tcPr>
          <w:p>
            <w:pPr>
              <w:spacing w:after="0"/>
              <w:rPr>
                <w:sz w:val="1"/>
                <w:szCs w:val="1"/>
                <w:color w:val="auto"/>
              </w:rPr>
            </w:pPr>
          </w:p>
        </w:tc>
      </w:tr>
      <w:tr>
        <w:trPr>
          <w:trHeight w:val="203"/>
        </w:trPr>
        <w:tc>
          <w:tcPr>
            <w:tcW w:w="15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–Adjuvant CSCC</w:t>
            </w: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enrollment in Phase 3</w:t>
            </w:r>
          </w:p>
        </w:tc>
        <w:tc>
          <w:tcPr>
            <w:tcW w:w="1840" w:type="dxa"/>
            <w:vAlign w:val="bottom"/>
          </w:tcPr>
          <w:p>
            <w:pPr>
              <w:ind w:left="20"/>
              <w:spacing w:after="0" w:line="202" w:lineRule="exact"/>
              <w:rPr>
                <w:sz w:val="20"/>
                <w:szCs w:val="20"/>
                <w:color w:val="auto"/>
              </w:rPr>
            </w:pPr>
            <w:r>
              <w:rPr>
                <w:rFonts w:ascii="Arial" w:cs="Arial" w:eastAsia="Arial" w:hAnsi="Arial"/>
                <w:sz w:val="18"/>
                <w:szCs w:val="18"/>
                <w:color w:val="auto"/>
              </w:rPr>
              <w:t>half 2021)</w:t>
            </w:r>
          </w:p>
        </w:tc>
        <w:tc>
          <w:tcPr>
            <w:tcW w:w="0" w:type="dxa"/>
            <w:vAlign w:val="bottom"/>
          </w:tcPr>
          <w:p>
            <w:pPr>
              <w:spacing w:after="0"/>
              <w:rPr>
                <w:sz w:val="1"/>
                <w:szCs w:val="1"/>
                <w:color w:val="auto"/>
              </w:rPr>
            </w:pPr>
          </w:p>
        </w:tc>
      </w:tr>
      <w:tr>
        <w:trPr>
          <w:trHeight w:val="148"/>
        </w:trPr>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2"/>
          </w:tcPr>
          <w:p>
            <w:pPr>
              <w:ind w:left="20"/>
              <w:spacing w:after="0" w:line="149" w:lineRule="exact"/>
              <w:rPr>
                <w:sz w:val="20"/>
                <w:szCs w:val="20"/>
                <w:color w:val="auto"/>
              </w:rPr>
            </w:pPr>
            <w:r>
              <w:rPr>
                <w:rFonts w:ascii="Arial" w:cs="Arial" w:eastAsia="Arial" w:hAnsi="Arial"/>
                <w:sz w:val="17"/>
                <w:szCs w:val="17"/>
                <w:color w:val="auto"/>
              </w:rPr>
              <w:t>first-line NSCLC</w:t>
            </w:r>
          </w:p>
        </w:tc>
        <w:tc>
          <w:tcPr>
            <w:tcW w:w="1840" w:type="dxa"/>
            <w:vAlign w:val="bottom"/>
            <w:vMerge w:val="restart"/>
          </w:tcPr>
          <w:p>
            <w:pPr>
              <w:ind w:left="20"/>
              <w:spacing w:after="0"/>
              <w:rPr>
                <w:sz w:val="20"/>
                <w:szCs w:val="20"/>
                <w:color w:val="auto"/>
              </w:rPr>
            </w:pPr>
            <w:r>
              <w:rPr>
                <w:rFonts w:ascii="Arial" w:cs="Arial" w:eastAsia="Arial" w:hAnsi="Arial"/>
                <w:sz w:val="18"/>
                <w:szCs w:val="18"/>
                <w:color w:val="auto"/>
                <w:w w:val="94"/>
              </w:rPr>
              <w:t>–FDA decision on sBLA</w:t>
            </w:r>
          </w:p>
        </w:tc>
        <w:tc>
          <w:tcPr>
            <w:tcW w:w="0" w:type="dxa"/>
            <w:vAlign w:val="bottom"/>
          </w:tcPr>
          <w:p>
            <w:pPr>
              <w:spacing w:after="0"/>
              <w:rPr>
                <w:sz w:val="1"/>
                <w:szCs w:val="1"/>
                <w:color w:val="auto"/>
              </w:rPr>
            </w:pPr>
          </w:p>
        </w:tc>
      </w:tr>
      <w:tr>
        <w:trPr>
          <w:trHeight w:val="176"/>
        </w:trPr>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chemotherapy</w:t>
            </w:r>
          </w:p>
        </w:tc>
        <w:tc>
          <w:tcPr>
            <w:tcW w:w="1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combination study</w:t>
            </w: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(target action date of</w:t>
            </w:r>
          </w:p>
        </w:tc>
        <w:tc>
          <w:tcPr>
            <w:tcW w:w="0" w:type="dxa"/>
            <w:vAlign w:val="bottom"/>
          </w:tcPr>
          <w:p>
            <w:pPr>
              <w:spacing w:after="0"/>
              <w:rPr>
                <w:sz w:val="1"/>
                <w:szCs w:val="1"/>
                <w:color w:val="auto"/>
              </w:rPr>
            </w:pPr>
          </w:p>
        </w:tc>
      </w:tr>
      <w:tr>
        <w:trPr>
          <w:trHeight w:val="176"/>
        </w:trPr>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vMerge w:val="restart"/>
          </w:tcPr>
          <w:p>
            <w:pPr>
              <w:ind w:left="20"/>
              <w:spacing w:after="0"/>
              <w:rPr>
                <w:sz w:val="20"/>
                <w:szCs w:val="20"/>
                <w:color w:val="auto"/>
              </w:rPr>
            </w:pPr>
            <w:r>
              <w:rPr>
                <w:rFonts w:ascii="Arial" w:cs="Arial" w:eastAsia="Arial" w:hAnsi="Arial"/>
                <w:sz w:val="18"/>
                <w:szCs w:val="18"/>
                <w:color w:val="auto"/>
                <w:w w:val="98"/>
              </w:rPr>
              <w:t>–Reported that Phase 2</w:t>
            </w: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w w:val="96"/>
              </w:rPr>
              <w:t>March 3, 2021) and EC</w:t>
            </w:r>
          </w:p>
        </w:tc>
        <w:tc>
          <w:tcPr>
            <w:tcW w:w="0" w:type="dxa"/>
            <w:vAlign w:val="bottom"/>
          </w:tcPr>
          <w:p>
            <w:pPr>
              <w:spacing w:after="0"/>
              <w:rPr>
                <w:sz w:val="1"/>
                <w:szCs w:val="1"/>
                <w:color w:val="auto"/>
              </w:rPr>
            </w:pPr>
          </w:p>
        </w:tc>
      </w:tr>
      <w:tr>
        <w:trPr>
          <w:trHeight w:val="175"/>
        </w:trPr>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decision on regulatory</w:t>
            </w:r>
          </w:p>
        </w:tc>
        <w:tc>
          <w:tcPr>
            <w:tcW w:w="0" w:type="dxa"/>
            <w:vAlign w:val="bottom"/>
          </w:tcPr>
          <w:p>
            <w:pPr>
              <w:spacing w:after="0"/>
              <w:rPr>
                <w:sz w:val="1"/>
                <w:szCs w:val="1"/>
                <w:color w:val="auto"/>
              </w:rPr>
            </w:pPr>
          </w:p>
        </w:tc>
      </w:tr>
      <w:tr>
        <w:trPr>
          <w:trHeight w:val="176"/>
        </w:trPr>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study in BCC</w:t>
            </w: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w w:val="98"/>
              </w:rPr>
              <w:t>submission (mid-2021)</w:t>
            </w:r>
          </w:p>
        </w:tc>
        <w:tc>
          <w:tcPr>
            <w:tcW w:w="0" w:type="dxa"/>
            <w:vAlign w:val="bottom"/>
          </w:tcPr>
          <w:p>
            <w:pPr>
              <w:spacing w:after="0"/>
              <w:rPr>
                <w:sz w:val="1"/>
                <w:szCs w:val="1"/>
                <w:color w:val="auto"/>
              </w:rPr>
            </w:pPr>
          </w:p>
        </w:tc>
      </w:tr>
      <w:tr>
        <w:trPr>
          <w:trHeight w:val="175"/>
        </w:trPr>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9"/>
              </w:rPr>
              <w:t>demonstrated clinically-</w:t>
            </w: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for advanced BCC</w:t>
            </w:r>
          </w:p>
        </w:tc>
        <w:tc>
          <w:tcPr>
            <w:tcW w:w="0" w:type="dxa"/>
            <w:vAlign w:val="bottom"/>
          </w:tcPr>
          <w:p>
            <w:pPr>
              <w:spacing w:after="0"/>
              <w:rPr>
                <w:sz w:val="1"/>
                <w:szCs w:val="1"/>
                <w:color w:val="auto"/>
              </w:rPr>
            </w:pPr>
          </w:p>
        </w:tc>
      </w:tr>
      <w:tr>
        <w:trPr>
          <w:trHeight w:val="176"/>
        </w:trPr>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9"/>
              </w:rPr>
              <w:t>meaningful and durable</w:t>
            </w:r>
          </w:p>
        </w:tc>
        <w:tc>
          <w:tcPr>
            <w:tcW w:w="1840" w:type="dxa"/>
            <w:vAlign w:val="bottom"/>
            <w:vMerge w:val="restart"/>
          </w:tcPr>
          <w:p>
            <w:pPr>
              <w:ind w:left="20"/>
              <w:spacing w:after="0"/>
              <w:rPr>
                <w:sz w:val="20"/>
                <w:szCs w:val="20"/>
                <w:color w:val="auto"/>
              </w:rPr>
            </w:pPr>
            <w:r>
              <w:rPr>
                <w:rFonts w:ascii="Arial" w:cs="Arial" w:eastAsia="Arial" w:hAnsi="Arial"/>
                <w:sz w:val="18"/>
                <w:szCs w:val="18"/>
                <w:color w:val="auto"/>
              </w:rPr>
              <w:t>–Interim analysis from</w:t>
            </w:r>
          </w:p>
        </w:tc>
        <w:tc>
          <w:tcPr>
            <w:tcW w:w="0" w:type="dxa"/>
            <w:vAlign w:val="bottom"/>
          </w:tcPr>
          <w:p>
            <w:pPr>
              <w:spacing w:after="0"/>
              <w:rPr>
                <w:sz w:val="1"/>
                <w:szCs w:val="1"/>
                <w:color w:val="auto"/>
              </w:rPr>
            </w:pPr>
          </w:p>
        </w:tc>
      </w:tr>
      <w:tr>
        <w:trPr>
          <w:trHeight w:val="176"/>
        </w:trPr>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responses</w:t>
            </w:r>
          </w:p>
        </w:tc>
        <w:tc>
          <w:tcPr>
            <w:tcW w:w="1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vMerge w:val="restart"/>
          </w:tcPr>
          <w:p>
            <w:pPr>
              <w:ind w:left="20"/>
              <w:spacing w:after="0"/>
              <w:rPr>
                <w:sz w:val="20"/>
                <w:szCs w:val="20"/>
                <w:color w:val="auto"/>
              </w:rPr>
            </w:pPr>
            <w:r>
              <w:rPr>
                <w:rFonts w:ascii="Arial" w:cs="Arial" w:eastAsia="Arial" w:hAnsi="Arial"/>
                <w:sz w:val="18"/>
                <w:szCs w:val="18"/>
                <w:color w:val="auto"/>
                <w:w w:val="94"/>
              </w:rPr>
              <w:t>–Presented positive data</w:t>
            </w: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w w:val="90"/>
              </w:rPr>
              <w:t>Phase 3 study in cervical</w:t>
            </w:r>
          </w:p>
        </w:tc>
        <w:tc>
          <w:tcPr>
            <w:tcW w:w="0" w:type="dxa"/>
            <w:vAlign w:val="bottom"/>
          </w:tcPr>
          <w:p>
            <w:pPr>
              <w:spacing w:after="0"/>
              <w:rPr>
                <w:sz w:val="1"/>
                <w:szCs w:val="1"/>
                <w:color w:val="auto"/>
              </w:rPr>
            </w:pPr>
          </w:p>
        </w:tc>
      </w:tr>
      <w:tr>
        <w:trPr>
          <w:trHeight w:val="176"/>
        </w:trPr>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cancer (2021)</w:t>
            </w:r>
          </w:p>
        </w:tc>
        <w:tc>
          <w:tcPr>
            <w:tcW w:w="0" w:type="dxa"/>
            <w:vAlign w:val="bottom"/>
          </w:tcPr>
          <w:p>
            <w:pPr>
              <w:spacing w:after="0"/>
              <w:rPr>
                <w:sz w:val="1"/>
                <w:szCs w:val="1"/>
                <w:color w:val="auto"/>
              </w:rPr>
            </w:pPr>
          </w:p>
        </w:tc>
      </w:tr>
      <w:tr>
        <w:trPr>
          <w:trHeight w:val="191"/>
        </w:trPr>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gridSpan w:val="2"/>
          </w:tcPr>
          <w:p>
            <w:pPr>
              <w:ind w:left="20"/>
              <w:spacing w:after="0" w:line="191" w:lineRule="exact"/>
              <w:rPr>
                <w:sz w:val="20"/>
                <w:szCs w:val="20"/>
                <w:color w:val="auto"/>
              </w:rPr>
            </w:pPr>
            <w:r>
              <w:rPr>
                <w:rFonts w:ascii="Arial" w:cs="Arial" w:eastAsia="Arial" w:hAnsi="Arial"/>
                <w:sz w:val="18"/>
                <w:szCs w:val="18"/>
                <w:color w:val="auto"/>
              </w:rPr>
              <w:t>from pivotal NSCLC</w:t>
            </w: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-3086735</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920"/>
        <w:spacing w:after="0" w:line="203" w:lineRule="auto"/>
        <w:rPr>
          <w:sz w:val="20"/>
          <w:szCs w:val="20"/>
          <w:color w:val="auto"/>
        </w:rPr>
      </w:pPr>
      <w:r>
        <w:rPr>
          <w:rFonts w:ascii="Arial" w:cs="Arial" w:eastAsia="Arial" w:hAnsi="Arial"/>
          <w:sz w:val="18"/>
          <w:szCs w:val="18"/>
          <w:color w:val="auto"/>
        </w:rPr>
        <w:t>monotherapy and BCC</w:t>
      </w:r>
    </w:p>
    <w:p>
      <w:pPr>
        <w:ind w:left="2920"/>
        <w:spacing w:after="0" w:line="203" w:lineRule="auto"/>
        <w:rPr>
          <w:sz w:val="20"/>
          <w:szCs w:val="20"/>
          <w:color w:val="auto"/>
        </w:rPr>
      </w:pPr>
      <w:r>
        <w:rPr>
          <w:rFonts w:ascii="Arial" w:cs="Arial" w:eastAsia="Arial" w:hAnsi="Arial"/>
          <w:sz w:val="18"/>
          <w:szCs w:val="18"/>
          <w:color w:val="auto"/>
        </w:rPr>
        <w:t>studies at the European</w:t>
      </w:r>
    </w:p>
    <w:p>
      <w:pPr>
        <w:ind w:left="2920"/>
        <w:spacing w:after="0" w:line="204" w:lineRule="auto"/>
        <w:rPr>
          <w:sz w:val="20"/>
          <w:szCs w:val="20"/>
          <w:color w:val="auto"/>
        </w:rPr>
      </w:pPr>
      <w:r>
        <w:rPr>
          <w:rFonts w:ascii="Arial" w:cs="Arial" w:eastAsia="Arial" w:hAnsi="Arial"/>
          <w:sz w:val="18"/>
          <w:szCs w:val="18"/>
          <w:color w:val="auto"/>
        </w:rPr>
        <w:t>Society for Medical</w:t>
      </w:r>
    </w:p>
    <w:p>
      <w:pPr>
        <w:ind w:left="2920"/>
        <w:spacing w:after="0" w:line="203" w:lineRule="auto"/>
        <w:rPr>
          <w:sz w:val="20"/>
          <w:szCs w:val="20"/>
          <w:color w:val="auto"/>
        </w:rPr>
      </w:pPr>
      <w:r>
        <w:rPr>
          <w:rFonts w:ascii="Arial" w:cs="Arial" w:eastAsia="Arial" w:hAnsi="Arial"/>
          <w:sz w:val="18"/>
          <w:szCs w:val="18"/>
          <w:color w:val="auto"/>
        </w:rPr>
        <w:t>Oncology ("ESMO")</w:t>
      </w:r>
    </w:p>
    <w:p>
      <w:pPr>
        <w:spacing w:after="0" w:line="1"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Virtual Congress 2020</w:t>
      </w:r>
    </w:p>
    <w:p>
      <w:pPr>
        <w:spacing w:after="0" w:line="113"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–Adjuvant CSCC</w:t>
      </w:r>
    </w:p>
    <w:p>
      <w:pPr>
        <w:ind w:left="2920"/>
        <w:spacing w:after="0" w:line="203" w:lineRule="auto"/>
        <w:rPr>
          <w:sz w:val="20"/>
          <w:szCs w:val="20"/>
          <w:color w:val="auto"/>
        </w:rPr>
      </w:pPr>
      <w:r>
        <w:rPr>
          <w:rFonts w:ascii="Arial" w:cs="Arial" w:eastAsia="Arial" w:hAnsi="Arial"/>
          <w:sz w:val="18"/>
          <w:szCs w:val="18"/>
          <w:color w:val="auto"/>
        </w:rPr>
        <w:t>program under internal</w:t>
      </w:r>
    </w:p>
    <w:p>
      <w:pPr>
        <w:ind w:left="2920"/>
        <w:spacing w:after="0"/>
        <w:rPr>
          <w:sz w:val="20"/>
          <w:szCs w:val="20"/>
          <w:color w:val="auto"/>
        </w:rPr>
      </w:pPr>
      <w:r>
        <w:rPr>
          <w:rFonts w:ascii="Arial" w:cs="Arial" w:eastAsia="Arial" w:hAnsi="Arial"/>
          <w:sz w:val="18"/>
          <w:szCs w:val="18"/>
          <w:color w:val="auto"/>
        </w:rPr>
        <w:t>review</w:t>
      </w:r>
    </w:p>
    <w:p>
      <w:pPr>
        <w:spacing w:after="0" w:line="1" w:lineRule="exact"/>
        <w:rPr>
          <w:sz w:val="20"/>
          <w:szCs w:val="20"/>
          <w:color w:val="auto"/>
        </w:rPr>
      </w:pPr>
    </w:p>
    <w:p>
      <w:pPr>
        <w:sectPr>
          <w:pgSz w:w="11900" w:h="16838" w:orient="portrait"/>
          <w:cols w:equalWidth="0" w:num="2">
            <w:col w:w="4500" w:space="80"/>
            <w:col w:w="6660"/>
          </w:cols>
          <w:pgMar w:left="320" w:top="130" w:right="33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174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REGN4018</w:t>
            </w:r>
            <w:r>
              <w:rPr>
                <w:rFonts w:ascii="Arial" w:cs="Arial" w:eastAsia="Arial" w:hAnsi="Arial"/>
                <w:sz w:val="21"/>
                <w:szCs w:val="21"/>
                <w:b w:val="1"/>
                <w:bCs w:val="1"/>
                <w:color w:val="auto"/>
                <w:vertAlign w:val="superscript"/>
              </w:rPr>
              <w:t>(a)</w:t>
            </w:r>
          </w:p>
        </w:tc>
        <w:tc>
          <w:tcPr>
            <w:tcW w:w="4440" w:type="dxa"/>
            <w:vAlign w:val="bottom"/>
            <w:shd w:val="clear" w:color="auto" w:fill="CCEEFF"/>
          </w:tcPr>
          <w:p>
            <w:pPr>
              <w:ind w:left="140"/>
              <w:spacing w:after="0" w:line="183" w:lineRule="exact"/>
              <w:rPr>
                <w:sz w:val="20"/>
                <w:szCs w:val="20"/>
                <w:color w:val="auto"/>
              </w:rPr>
            </w:pPr>
            <w:r>
              <w:rPr>
                <w:rFonts w:ascii="Arial" w:cs="Arial" w:eastAsia="Arial" w:hAnsi="Arial"/>
                <w:sz w:val="18"/>
                <w:szCs w:val="18"/>
                <w:color w:val="auto"/>
              </w:rPr>
              <w:t>–Platinum-</w:t>
            </w:r>
          </w:p>
        </w:tc>
        <w:tc>
          <w:tcPr>
            <w:tcW w:w="5060" w:type="dxa"/>
            <w:vAlign w:val="bottom"/>
            <w:shd w:val="clear" w:color="auto" w:fill="CCEEFF"/>
          </w:tcPr>
          <w:p>
            <w:pPr>
              <w:ind w:left="3240"/>
              <w:spacing w:after="0" w:line="183" w:lineRule="exact"/>
              <w:rPr>
                <w:sz w:val="20"/>
                <w:szCs w:val="20"/>
                <w:color w:val="auto"/>
              </w:rPr>
            </w:pPr>
            <w:r>
              <w:rPr>
                <w:rFonts w:ascii="Arial" w:cs="Arial" w:eastAsia="Arial" w:hAnsi="Arial"/>
                <w:sz w:val="18"/>
                <w:szCs w:val="18"/>
                <w:color w:val="auto"/>
              </w:rPr>
              <w:t>–Report results from</w:t>
            </w:r>
          </w:p>
        </w:tc>
      </w:tr>
      <w:tr>
        <w:trPr>
          <w:trHeight w:val="175"/>
        </w:trPr>
        <w:tc>
          <w:tcPr>
            <w:tcW w:w="17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Bispecific antibody</w:t>
            </w:r>
          </w:p>
        </w:tc>
        <w:tc>
          <w:tcPr>
            <w:tcW w:w="44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resistant</w:t>
            </w:r>
          </w:p>
        </w:tc>
        <w:tc>
          <w:tcPr>
            <w:tcW w:w="5060" w:type="dxa"/>
            <w:vAlign w:val="bottom"/>
            <w:shd w:val="clear" w:color="auto" w:fill="CCEEFF"/>
          </w:tcPr>
          <w:p>
            <w:pPr>
              <w:ind w:left="3240"/>
              <w:spacing w:after="0" w:line="176" w:lineRule="exact"/>
              <w:rPr>
                <w:sz w:val="20"/>
                <w:szCs w:val="20"/>
                <w:color w:val="auto"/>
              </w:rPr>
            </w:pPr>
            <w:r>
              <w:rPr>
                <w:rFonts w:ascii="Arial" w:cs="Arial" w:eastAsia="Arial" w:hAnsi="Arial"/>
                <w:sz w:val="18"/>
                <w:szCs w:val="18"/>
                <w:color w:val="auto"/>
              </w:rPr>
              <w:t>Phase 1 study in</w:t>
            </w:r>
          </w:p>
        </w:tc>
      </w:tr>
      <w:tr>
        <w:trPr>
          <w:trHeight w:val="175"/>
        </w:trPr>
        <w:tc>
          <w:tcPr>
            <w:tcW w:w="17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w w:val="99"/>
              </w:rPr>
              <w:t>targeting MUC16 and</w:t>
            </w:r>
          </w:p>
        </w:tc>
        <w:tc>
          <w:tcPr>
            <w:tcW w:w="44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ovarian cancer</w:t>
            </w:r>
          </w:p>
        </w:tc>
        <w:tc>
          <w:tcPr>
            <w:tcW w:w="5060" w:type="dxa"/>
            <w:vAlign w:val="bottom"/>
            <w:shd w:val="clear" w:color="auto" w:fill="CCEEFF"/>
          </w:tcPr>
          <w:p>
            <w:pPr>
              <w:ind w:left="3240"/>
              <w:spacing w:after="0" w:line="176" w:lineRule="exact"/>
              <w:rPr>
                <w:sz w:val="20"/>
                <w:szCs w:val="20"/>
                <w:color w:val="auto"/>
              </w:rPr>
            </w:pPr>
            <w:r>
              <w:rPr>
                <w:rFonts w:ascii="Arial" w:cs="Arial" w:eastAsia="Arial" w:hAnsi="Arial"/>
                <w:sz w:val="18"/>
                <w:szCs w:val="18"/>
                <w:color w:val="auto"/>
              </w:rPr>
              <w:t>platinum-resistant</w:t>
            </w:r>
          </w:p>
        </w:tc>
      </w:tr>
      <w:tr>
        <w:trPr>
          <w:trHeight w:val="230"/>
        </w:trPr>
        <w:tc>
          <w:tcPr>
            <w:tcW w:w="17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CD3</w:t>
            </w:r>
          </w:p>
        </w:tc>
        <w:tc>
          <w:tcPr>
            <w:tcW w:w="4440" w:type="dxa"/>
            <w:vAlign w:val="bottom"/>
            <w:shd w:val="clear" w:color="auto" w:fill="CCEEFF"/>
          </w:tcPr>
          <w:p>
            <w:pPr>
              <w:spacing w:after="0"/>
              <w:rPr>
                <w:sz w:val="19"/>
                <w:szCs w:val="19"/>
                <w:color w:val="auto"/>
              </w:rPr>
            </w:pPr>
          </w:p>
        </w:tc>
        <w:tc>
          <w:tcPr>
            <w:tcW w:w="506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ovarian cancer (2022)</w:t>
            </w:r>
          </w:p>
        </w:tc>
      </w:tr>
      <w:tr>
        <w:trPr>
          <w:trHeight w:val="175"/>
        </w:trPr>
        <w:tc>
          <w:tcPr>
            <w:tcW w:w="174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REGN5668</w:t>
            </w:r>
          </w:p>
        </w:tc>
        <w:tc>
          <w:tcPr>
            <w:tcW w:w="4440" w:type="dxa"/>
            <w:vAlign w:val="bottom"/>
          </w:tcPr>
          <w:p>
            <w:pPr>
              <w:ind w:left="140"/>
              <w:spacing w:after="0" w:line="176" w:lineRule="exact"/>
              <w:rPr>
                <w:sz w:val="20"/>
                <w:szCs w:val="20"/>
                <w:color w:val="auto"/>
              </w:rPr>
            </w:pPr>
            <w:r>
              <w:rPr>
                <w:rFonts w:ascii="Arial" w:cs="Arial" w:eastAsia="Arial" w:hAnsi="Arial"/>
                <w:sz w:val="18"/>
                <w:szCs w:val="18"/>
                <w:color w:val="auto"/>
              </w:rPr>
              <w:t>–Ovarian</w:t>
            </w:r>
          </w:p>
        </w:tc>
        <w:tc>
          <w:tcPr>
            <w:tcW w:w="5060" w:type="dxa"/>
            <w:vAlign w:val="bottom"/>
          </w:tcPr>
          <w:p>
            <w:pPr>
              <w:spacing w:after="0"/>
              <w:rPr>
                <w:sz w:val="15"/>
                <w:szCs w:val="15"/>
                <w:color w:val="auto"/>
              </w:rPr>
            </w:pPr>
          </w:p>
        </w:tc>
      </w:tr>
      <w:tr>
        <w:trPr>
          <w:trHeight w:val="176"/>
        </w:trPr>
        <w:tc>
          <w:tcPr>
            <w:tcW w:w="174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Bispecific antibody</w:t>
            </w:r>
          </w:p>
        </w:tc>
        <w:tc>
          <w:tcPr>
            <w:tcW w:w="4440" w:type="dxa"/>
            <w:vAlign w:val="bottom"/>
          </w:tcPr>
          <w:p>
            <w:pPr>
              <w:ind w:left="140"/>
              <w:spacing w:after="0" w:line="176" w:lineRule="exact"/>
              <w:rPr>
                <w:sz w:val="20"/>
                <w:szCs w:val="20"/>
                <w:color w:val="auto"/>
              </w:rPr>
            </w:pPr>
            <w:r>
              <w:rPr>
                <w:rFonts w:ascii="Arial" w:cs="Arial" w:eastAsia="Arial" w:hAnsi="Arial"/>
                <w:sz w:val="18"/>
                <w:szCs w:val="18"/>
                <w:color w:val="auto"/>
              </w:rPr>
              <w:t>cancer</w:t>
            </w:r>
          </w:p>
        </w:tc>
        <w:tc>
          <w:tcPr>
            <w:tcW w:w="5060" w:type="dxa"/>
            <w:vAlign w:val="bottom"/>
          </w:tcPr>
          <w:p>
            <w:pPr>
              <w:spacing w:after="0"/>
              <w:rPr>
                <w:sz w:val="15"/>
                <w:szCs w:val="15"/>
                <w:color w:val="auto"/>
              </w:rPr>
            </w:pPr>
          </w:p>
        </w:tc>
      </w:tr>
      <w:tr>
        <w:trPr>
          <w:trHeight w:val="175"/>
        </w:trPr>
        <w:tc>
          <w:tcPr>
            <w:tcW w:w="1740" w:type="dxa"/>
            <w:vAlign w:val="bottom"/>
          </w:tcPr>
          <w:p>
            <w:pPr>
              <w:ind w:left="20"/>
              <w:spacing w:after="0" w:line="176" w:lineRule="exact"/>
              <w:rPr>
                <w:sz w:val="20"/>
                <w:szCs w:val="20"/>
                <w:color w:val="auto"/>
              </w:rPr>
            </w:pPr>
            <w:r>
              <w:rPr>
                <w:rFonts w:ascii="Arial" w:cs="Arial" w:eastAsia="Arial" w:hAnsi="Arial"/>
                <w:sz w:val="18"/>
                <w:szCs w:val="18"/>
                <w:i w:val="1"/>
                <w:iCs w:val="1"/>
                <w:color w:val="auto"/>
                <w:w w:val="99"/>
              </w:rPr>
              <w:t>targeting MUC16 and</w:t>
            </w:r>
          </w:p>
        </w:tc>
        <w:tc>
          <w:tcPr>
            <w:tcW w:w="4440" w:type="dxa"/>
            <w:vAlign w:val="bottom"/>
          </w:tcPr>
          <w:p>
            <w:pPr>
              <w:spacing w:after="0"/>
              <w:rPr>
                <w:sz w:val="15"/>
                <w:szCs w:val="15"/>
                <w:color w:val="auto"/>
              </w:rPr>
            </w:pPr>
          </w:p>
        </w:tc>
        <w:tc>
          <w:tcPr>
            <w:tcW w:w="5060" w:type="dxa"/>
            <w:vAlign w:val="bottom"/>
          </w:tcPr>
          <w:p>
            <w:pPr>
              <w:spacing w:after="0"/>
              <w:rPr>
                <w:sz w:val="15"/>
                <w:szCs w:val="15"/>
                <w:color w:val="auto"/>
              </w:rPr>
            </w:pPr>
          </w:p>
        </w:tc>
      </w:tr>
      <w:tr>
        <w:trPr>
          <w:trHeight w:val="229"/>
        </w:trPr>
        <w:tc>
          <w:tcPr>
            <w:tcW w:w="1740" w:type="dxa"/>
            <w:vAlign w:val="bottom"/>
          </w:tcPr>
          <w:p>
            <w:pPr>
              <w:ind w:left="20"/>
              <w:spacing w:after="0"/>
              <w:rPr>
                <w:sz w:val="20"/>
                <w:szCs w:val="20"/>
                <w:color w:val="auto"/>
              </w:rPr>
            </w:pPr>
            <w:r>
              <w:rPr>
                <w:rFonts w:ascii="Arial" w:cs="Arial" w:eastAsia="Arial" w:hAnsi="Arial"/>
                <w:sz w:val="18"/>
                <w:szCs w:val="18"/>
                <w:i w:val="1"/>
                <w:iCs w:val="1"/>
                <w:color w:val="auto"/>
              </w:rPr>
              <w:t>CD28</w:t>
            </w:r>
          </w:p>
        </w:tc>
        <w:tc>
          <w:tcPr>
            <w:tcW w:w="4440" w:type="dxa"/>
            <w:vAlign w:val="bottom"/>
          </w:tcPr>
          <w:p>
            <w:pPr>
              <w:spacing w:after="0"/>
              <w:rPr>
                <w:sz w:val="19"/>
                <w:szCs w:val="19"/>
                <w:color w:val="auto"/>
              </w:rPr>
            </w:pPr>
          </w:p>
        </w:tc>
        <w:tc>
          <w:tcPr>
            <w:tcW w:w="5060" w:type="dxa"/>
            <w:vAlign w:val="bottom"/>
          </w:tcPr>
          <w:p>
            <w:pPr>
              <w:spacing w:after="0"/>
              <w:rPr>
                <w:sz w:val="19"/>
                <w:szCs w:val="19"/>
                <w:color w:val="auto"/>
              </w:rPr>
            </w:pPr>
          </w:p>
        </w:tc>
      </w:tr>
      <w:tr>
        <w:trPr>
          <w:trHeight w:val="176"/>
        </w:trPr>
        <w:tc>
          <w:tcPr>
            <w:tcW w:w="17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REGN5678</w:t>
            </w:r>
          </w:p>
        </w:tc>
        <w:tc>
          <w:tcPr>
            <w:tcW w:w="44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–Prostate</w:t>
            </w:r>
          </w:p>
        </w:tc>
        <w:tc>
          <w:tcPr>
            <w:tcW w:w="5060" w:type="dxa"/>
            <w:vAlign w:val="bottom"/>
            <w:shd w:val="clear" w:color="auto" w:fill="CCEEFF"/>
          </w:tcPr>
          <w:p>
            <w:pPr>
              <w:ind w:left="3240"/>
              <w:spacing w:after="0" w:line="176" w:lineRule="exact"/>
              <w:rPr>
                <w:sz w:val="20"/>
                <w:szCs w:val="20"/>
                <w:color w:val="auto"/>
              </w:rPr>
            </w:pPr>
            <w:r>
              <w:rPr>
                <w:rFonts w:ascii="Arial" w:cs="Arial" w:eastAsia="Arial" w:hAnsi="Arial"/>
                <w:sz w:val="18"/>
                <w:szCs w:val="18"/>
                <w:color w:val="auto"/>
              </w:rPr>
              <w:t>–Report results from</w:t>
            </w:r>
          </w:p>
        </w:tc>
      </w:tr>
      <w:tr>
        <w:trPr>
          <w:trHeight w:val="175"/>
        </w:trPr>
        <w:tc>
          <w:tcPr>
            <w:tcW w:w="17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Bispecific antibody</w:t>
            </w:r>
          </w:p>
        </w:tc>
        <w:tc>
          <w:tcPr>
            <w:tcW w:w="44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cancer</w:t>
            </w:r>
          </w:p>
        </w:tc>
        <w:tc>
          <w:tcPr>
            <w:tcW w:w="5060" w:type="dxa"/>
            <w:vAlign w:val="bottom"/>
            <w:shd w:val="clear" w:color="auto" w:fill="CCEEFF"/>
          </w:tcPr>
          <w:p>
            <w:pPr>
              <w:ind w:left="3240"/>
              <w:spacing w:after="0" w:line="176" w:lineRule="exact"/>
              <w:rPr>
                <w:sz w:val="20"/>
                <w:szCs w:val="20"/>
                <w:color w:val="auto"/>
              </w:rPr>
            </w:pPr>
            <w:r>
              <w:rPr>
                <w:rFonts w:ascii="Arial" w:cs="Arial" w:eastAsia="Arial" w:hAnsi="Arial"/>
                <w:sz w:val="18"/>
                <w:szCs w:val="18"/>
                <w:color w:val="auto"/>
                <w:w w:val="88"/>
              </w:rPr>
              <w:t>Phase 1 study in prostate</w:t>
            </w:r>
          </w:p>
        </w:tc>
      </w:tr>
      <w:tr>
        <w:trPr>
          <w:trHeight w:val="175"/>
        </w:trPr>
        <w:tc>
          <w:tcPr>
            <w:tcW w:w="17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targeting PSMA and</w:t>
            </w:r>
          </w:p>
        </w:tc>
        <w:tc>
          <w:tcPr>
            <w:tcW w:w="4440" w:type="dxa"/>
            <w:vAlign w:val="bottom"/>
            <w:shd w:val="clear" w:color="auto" w:fill="CCEEFF"/>
          </w:tcPr>
          <w:p>
            <w:pPr>
              <w:spacing w:after="0"/>
              <w:rPr>
                <w:sz w:val="15"/>
                <w:szCs w:val="15"/>
                <w:color w:val="auto"/>
              </w:rPr>
            </w:pPr>
          </w:p>
        </w:tc>
        <w:tc>
          <w:tcPr>
            <w:tcW w:w="5060" w:type="dxa"/>
            <w:vAlign w:val="bottom"/>
            <w:shd w:val="clear" w:color="auto" w:fill="CCEEFF"/>
          </w:tcPr>
          <w:p>
            <w:pPr>
              <w:ind w:left="3240"/>
              <w:spacing w:after="0" w:line="176" w:lineRule="exact"/>
              <w:rPr>
                <w:sz w:val="20"/>
                <w:szCs w:val="20"/>
                <w:color w:val="auto"/>
              </w:rPr>
            </w:pPr>
            <w:r>
              <w:rPr>
                <w:rFonts w:ascii="Arial" w:cs="Arial" w:eastAsia="Arial" w:hAnsi="Arial"/>
                <w:sz w:val="18"/>
                <w:szCs w:val="18"/>
                <w:color w:val="auto"/>
              </w:rPr>
              <w:t>cancer (2022)</w:t>
            </w:r>
          </w:p>
        </w:tc>
      </w:tr>
      <w:tr>
        <w:trPr>
          <w:trHeight w:val="230"/>
        </w:trPr>
        <w:tc>
          <w:tcPr>
            <w:tcW w:w="17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CD28</w:t>
            </w:r>
          </w:p>
        </w:tc>
        <w:tc>
          <w:tcPr>
            <w:tcW w:w="4440" w:type="dxa"/>
            <w:vAlign w:val="bottom"/>
            <w:shd w:val="clear" w:color="auto" w:fill="CCEEFF"/>
          </w:tcPr>
          <w:p>
            <w:pPr>
              <w:spacing w:after="0"/>
              <w:rPr>
                <w:sz w:val="19"/>
                <w:szCs w:val="19"/>
                <w:color w:val="auto"/>
              </w:rPr>
            </w:pPr>
          </w:p>
        </w:tc>
        <w:tc>
          <w:tcPr>
            <w:tcW w:w="506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gridSpan w:val="2"/>
          </w:tcPr>
          <w:p>
            <w:pPr>
              <w:ind w:left="240"/>
              <w:spacing w:after="0"/>
              <w:rPr>
                <w:sz w:val="20"/>
                <w:szCs w:val="20"/>
                <w:color w:val="auto"/>
              </w:rPr>
            </w:pPr>
            <w:r>
              <w:rPr>
                <w:rFonts w:ascii="Arial" w:cs="Arial" w:eastAsia="Arial" w:hAnsi="Arial"/>
                <w:sz w:val="18"/>
                <w:szCs w:val="18"/>
                <w:b w:val="1"/>
                <w:bCs w:val="1"/>
                <w:color w:val="auto"/>
              </w:rPr>
              <w:t>Clinical Program</w:t>
            </w:r>
          </w:p>
        </w:tc>
        <w:tc>
          <w:tcPr>
            <w:tcW w:w="120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Phase 1</w:t>
            </w:r>
          </w:p>
        </w:tc>
        <w:tc>
          <w:tcPr>
            <w:tcW w:w="154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Phase 2</w:t>
            </w:r>
          </w:p>
        </w:tc>
        <w:tc>
          <w:tcPr>
            <w:tcW w:w="154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Phase 3</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Regulatory</w:t>
            </w:r>
          </w:p>
        </w:tc>
        <w:tc>
          <w:tcPr>
            <w:tcW w:w="1920" w:type="dxa"/>
            <w:vAlign w:val="bottom"/>
            <w:gridSpan w:val="2"/>
          </w:tcPr>
          <w:p>
            <w:pPr>
              <w:ind w:left="360"/>
              <w:spacing w:after="0"/>
              <w:rPr>
                <w:sz w:val="20"/>
                <w:szCs w:val="20"/>
                <w:color w:val="auto"/>
              </w:rPr>
            </w:pPr>
            <w:r>
              <w:rPr>
                <w:rFonts w:ascii="Arial" w:cs="Arial" w:eastAsia="Arial" w:hAnsi="Arial"/>
                <w:sz w:val="18"/>
                <w:szCs w:val="18"/>
                <w:b w:val="1"/>
                <w:bCs w:val="1"/>
                <w:color w:val="auto"/>
              </w:rPr>
              <w:t>2020 and 2021</w:t>
            </w:r>
          </w:p>
        </w:tc>
        <w:tc>
          <w:tcPr>
            <w:tcW w:w="1840" w:type="dxa"/>
            <w:vAlign w:val="bottom"/>
          </w:tcPr>
          <w:p>
            <w:pPr>
              <w:ind w:left="280"/>
              <w:spacing w:after="0"/>
              <w:rPr>
                <w:sz w:val="20"/>
                <w:szCs w:val="20"/>
                <w:color w:val="auto"/>
              </w:rPr>
            </w:pPr>
            <w:r>
              <w:rPr>
                <w:rFonts w:ascii="Arial" w:cs="Arial" w:eastAsia="Arial" w:hAnsi="Arial"/>
                <w:sz w:val="18"/>
                <w:szCs w:val="18"/>
                <w:b w:val="1"/>
                <w:bCs w:val="1"/>
                <w:color w:val="auto"/>
              </w:rPr>
              <w:t>Select Upcoming</w:t>
            </w:r>
          </w:p>
        </w:tc>
        <w:tc>
          <w:tcPr>
            <w:tcW w:w="0" w:type="dxa"/>
            <w:vAlign w:val="bottom"/>
          </w:tcPr>
          <w:p>
            <w:pPr>
              <w:spacing w:after="0"/>
              <w:rPr>
                <w:sz w:val="1"/>
                <w:szCs w:val="1"/>
                <w:color w:val="auto"/>
              </w:rPr>
            </w:pPr>
          </w:p>
        </w:tc>
      </w:tr>
      <w:tr>
        <w:trPr>
          <w:trHeight w:val="229"/>
        </w:trPr>
        <w:tc>
          <w:tcPr>
            <w:tcW w:w="1880" w:type="dxa"/>
            <w:vAlign w:val="bottom"/>
            <w:gridSpan w:val="2"/>
          </w:tcPr>
          <w:p>
            <w:pPr>
              <w:ind w:left="460"/>
              <w:spacing w:after="0"/>
              <w:rPr>
                <w:sz w:val="20"/>
                <w:szCs w:val="20"/>
                <w:color w:val="auto"/>
              </w:rPr>
            </w:pPr>
            <w:r>
              <w:rPr>
                <w:rFonts w:ascii="Arial" w:cs="Arial" w:eastAsia="Arial" w:hAnsi="Arial"/>
                <w:sz w:val="18"/>
                <w:szCs w:val="18"/>
                <w:b w:val="1"/>
                <w:bCs w:val="1"/>
                <w:i w:val="1"/>
                <w:iCs w:val="1"/>
                <w:color w:val="auto"/>
              </w:rPr>
              <w:t>(continued)</w:t>
            </w:r>
          </w:p>
        </w:tc>
        <w:tc>
          <w:tcPr>
            <w:tcW w:w="1200" w:type="dxa"/>
            <w:vAlign w:val="bottom"/>
            <w:gridSpan w:val="2"/>
            <w:vMerge w:val="continue"/>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320" w:type="dxa"/>
            <w:vAlign w:val="bottom"/>
            <w:gridSpan w:val="2"/>
          </w:tcPr>
          <w:p>
            <w:pPr>
              <w:jc w:val="center"/>
              <w:ind w:right="100"/>
              <w:spacing w:after="0" w:line="230" w:lineRule="exact"/>
              <w:rPr>
                <w:sz w:val="20"/>
                <w:szCs w:val="20"/>
                <w:color w:val="auto"/>
              </w:rPr>
            </w:pPr>
            <w:r>
              <w:rPr>
                <w:rFonts w:ascii="Arial" w:cs="Arial" w:eastAsia="Arial" w:hAnsi="Arial"/>
                <w:sz w:val="18"/>
                <w:szCs w:val="18"/>
                <w:b w:val="1"/>
                <w:bCs w:val="1"/>
                <w:color w:val="auto"/>
                <w:w w:val="86"/>
              </w:rPr>
              <w:t>Review</w:t>
            </w:r>
            <w:r>
              <w:rPr>
                <w:rFonts w:ascii="Arial" w:cs="Arial" w:eastAsia="Arial" w:hAnsi="Arial"/>
                <w:sz w:val="23"/>
                <w:szCs w:val="23"/>
                <w:b w:val="1"/>
                <w:bCs w:val="1"/>
                <w:color w:val="auto"/>
                <w:w w:val="86"/>
                <w:vertAlign w:val="superscript"/>
              </w:rPr>
              <w:t>(i)</w:t>
            </w:r>
          </w:p>
        </w:tc>
        <w:tc>
          <w:tcPr>
            <w:tcW w:w="1920" w:type="dxa"/>
            <w:vAlign w:val="bottom"/>
            <w:gridSpan w:val="2"/>
          </w:tcPr>
          <w:p>
            <w:pPr>
              <w:ind w:left="360"/>
              <w:spacing w:after="0"/>
              <w:rPr>
                <w:sz w:val="20"/>
                <w:szCs w:val="20"/>
                <w:color w:val="auto"/>
              </w:rPr>
            </w:pPr>
            <w:r>
              <w:rPr>
                <w:rFonts w:ascii="Arial" w:cs="Arial" w:eastAsia="Arial" w:hAnsi="Arial"/>
                <w:sz w:val="18"/>
                <w:szCs w:val="18"/>
                <w:b w:val="1"/>
                <w:bCs w:val="1"/>
                <w:color w:val="auto"/>
              </w:rPr>
              <w:t>Events to Date</w:t>
            </w:r>
          </w:p>
        </w:tc>
        <w:tc>
          <w:tcPr>
            <w:tcW w:w="1840" w:type="dxa"/>
            <w:vAlign w:val="bottom"/>
          </w:tcPr>
          <w:p>
            <w:pPr>
              <w:ind w:left="440"/>
              <w:spacing w:after="0" w:line="230" w:lineRule="exact"/>
              <w:rPr>
                <w:sz w:val="20"/>
                <w:szCs w:val="20"/>
                <w:color w:val="auto"/>
              </w:rPr>
            </w:pPr>
            <w:r>
              <w:rPr>
                <w:rFonts w:ascii="Arial" w:cs="Arial" w:eastAsia="Arial" w:hAnsi="Arial"/>
                <w:sz w:val="18"/>
                <w:szCs w:val="18"/>
                <w:b w:val="1"/>
                <w:bCs w:val="1"/>
                <w:color w:val="auto"/>
              </w:rPr>
              <w:t>Milestones</w:t>
            </w:r>
            <w:r>
              <w:rPr>
                <w:rFonts w:ascii="Arial" w:cs="Arial" w:eastAsia="Arial" w:hAnsi="Arial"/>
                <w:sz w:val="23"/>
                <w:szCs w:val="23"/>
                <w:b w:val="1"/>
                <w:bCs w:val="1"/>
                <w:color w:val="auto"/>
                <w:vertAlign w:val="superscript"/>
              </w:rPr>
              <w:t>(k)</w:t>
            </w:r>
          </w:p>
        </w:tc>
        <w:tc>
          <w:tcPr>
            <w:tcW w:w="0" w:type="dxa"/>
            <w:vAlign w:val="bottom"/>
          </w:tcPr>
          <w:p>
            <w:pPr>
              <w:spacing w:after="0"/>
              <w:rPr>
                <w:sz w:val="1"/>
                <w:szCs w:val="1"/>
                <w:color w:val="auto"/>
              </w:rPr>
            </w:pPr>
          </w:p>
        </w:tc>
      </w:tr>
      <w:tr>
        <w:trPr>
          <w:trHeight w:val="169"/>
        </w:trPr>
        <w:tc>
          <w:tcPr>
            <w:tcW w:w="178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b w:val="1"/>
                <w:bCs w:val="1"/>
                <w:color w:val="auto"/>
              </w:rPr>
              <w:t>REGN5093</w:t>
            </w:r>
          </w:p>
        </w:tc>
        <w:tc>
          <w:tcPr>
            <w:tcW w:w="100" w:type="dxa"/>
            <w:vAlign w:val="bottom"/>
          </w:tcPr>
          <w:p>
            <w:pPr>
              <w:spacing w:after="0"/>
              <w:rPr>
                <w:sz w:val="14"/>
                <w:szCs w:val="14"/>
                <w:color w:val="auto"/>
              </w:rPr>
            </w:pPr>
          </w:p>
        </w:tc>
        <w:tc>
          <w:tcPr>
            <w:tcW w:w="11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–MET-altered</w:t>
            </w:r>
          </w:p>
        </w:tc>
        <w:tc>
          <w:tcPr>
            <w:tcW w:w="8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88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Bispecific antibody</w:t>
            </w:r>
          </w:p>
        </w:tc>
        <w:tc>
          <w:tcPr>
            <w:tcW w:w="1200" w:type="dxa"/>
            <w:vAlign w:val="bottom"/>
            <w:gridSpan w:val="2"/>
          </w:tcPr>
          <w:p>
            <w:pPr>
              <w:spacing w:after="0" w:line="176" w:lineRule="exact"/>
              <w:rPr>
                <w:sz w:val="20"/>
                <w:szCs w:val="20"/>
                <w:color w:val="auto"/>
              </w:rPr>
            </w:pPr>
            <w:r>
              <w:rPr>
                <w:rFonts w:ascii="Arial" w:cs="Arial" w:eastAsia="Arial" w:hAnsi="Arial"/>
                <w:sz w:val="18"/>
                <w:szCs w:val="18"/>
                <w:color w:val="auto"/>
              </w:rPr>
              <w:t>advanced</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8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targeting two distinct</w:t>
            </w:r>
          </w:p>
        </w:tc>
        <w:tc>
          <w:tcPr>
            <w:tcW w:w="1200" w:type="dxa"/>
            <w:vAlign w:val="bottom"/>
            <w:gridSpan w:val="2"/>
          </w:tcPr>
          <w:p>
            <w:pPr>
              <w:spacing w:after="0" w:line="176" w:lineRule="exact"/>
              <w:rPr>
                <w:sz w:val="20"/>
                <w:szCs w:val="20"/>
                <w:color w:val="auto"/>
              </w:rPr>
            </w:pPr>
            <w:r>
              <w:rPr>
                <w:rFonts w:ascii="Arial" w:cs="Arial" w:eastAsia="Arial" w:hAnsi="Arial"/>
                <w:sz w:val="18"/>
                <w:szCs w:val="18"/>
                <w:color w:val="auto"/>
              </w:rPr>
              <w:t>NSCLC</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880" w:type="dxa"/>
            <w:vAlign w:val="bottom"/>
            <w:gridSpan w:val="2"/>
          </w:tcPr>
          <w:p>
            <w:pPr>
              <w:ind w:left="20"/>
              <w:spacing w:after="0"/>
              <w:rPr>
                <w:sz w:val="20"/>
                <w:szCs w:val="20"/>
                <w:color w:val="auto"/>
              </w:rPr>
            </w:pPr>
            <w:r>
              <w:rPr>
                <w:rFonts w:ascii="Arial" w:cs="Arial" w:eastAsia="Arial" w:hAnsi="Arial"/>
                <w:sz w:val="18"/>
                <w:szCs w:val="18"/>
                <w:i w:val="1"/>
                <w:iCs w:val="1"/>
                <w:color w:val="auto"/>
              </w:rPr>
              <w:t>MET epitopes</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8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6"/>
                <w:szCs w:val="16"/>
                <w:b w:val="1"/>
                <w:bCs w:val="1"/>
                <w:color w:val="auto"/>
              </w:rPr>
              <w:t>REGN3767</w:t>
            </w:r>
            <w:r>
              <w:rPr>
                <w:rFonts w:ascii="Arial" w:cs="Arial" w:eastAsia="Arial" w:hAnsi="Arial"/>
                <w:sz w:val="20"/>
                <w:szCs w:val="20"/>
                <w:b w:val="1"/>
                <w:bCs w:val="1"/>
                <w:color w:val="auto"/>
                <w:vertAlign w:val="superscript"/>
              </w:rPr>
              <w:t>(f)</w:t>
            </w:r>
          </w:p>
        </w:tc>
        <w:tc>
          <w:tcPr>
            <w:tcW w:w="12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–Solid tumors</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Antibody to LAG-3</w:t>
            </w:r>
          </w:p>
        </w:tc>
        <w:tc>
          <w:tcPr>
            <w:tcW w:w="12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and advanced</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hematologic</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malignancies</w:t>
            </w: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88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REGN6569</w:t>
            </w:r>
          </w:p>
        </w:tc>
        <w:tc>
          <w:tcPr>
            <w:tcW w:w="1200" w:type="dxa"/>
            <w:vAlign w:val="bottom"/>
            <w:gridSpan w:val="2"/>
          </w:tcPr>
          <w:p>
            <w:pPr>
              <w:spacing w:after="0" w:line="176" w:lineRule="exact"/>
              <w:rPr>
                <w:sz w:val="20"/>
                <w:szCs w:val="20"/>
                <w:color w:val="auto"/>
              </w:rPr>
            </w:pPr>
            <w:r>
              <w:rPr>
                <w:rFonts w:ascii="Arial" w:cs="Arial" w:eastAsia="Arial" w:hAnsi="Arial"/>
                <w:sz w:val="18"/>
                <w:szCs w:val="18"/>
                <w:color w:val="auto"/>
              </w:rPr>
              <w:t>–Solid tumors</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8"/>
              </w:rPr>
              <w:t>–Dosing and enrollment</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8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Antibody to GITR</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in Phase 1 trial</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temporarily suspended</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5"/>
              </w:rPr>
              <w:t>due to a serious adverse</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event</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8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REGN7075</w:t>
            </w:r>
          </w:p>
        </w:tc>
        <w:tc>
          <w:tcPr>
            <w:tcW w:w="12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–Solid tumors</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Bispecific antibody</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targeting EGFR and</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CD28</w:t>
            </w: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1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780" w:type="dxa"/>
            <w:vAlign w:val="bottom"/>
            <w:shd w:val="clear" w:color="auto" w:fill="ACACAC"/>
          </w:tcPr>
          <w:p>
            <w:pPr>
              <w:spacing w:after="0"/>
              <w:rPr>
                <w:sz w:val="19"/>
                <w:szCs w:val="19"/>
                <w:color w:val="auto"/>
              </w:rPr>
            </w:pPr>
          </w:p>
        </w:tc>
        <w:tc>
          <w:tcPr>
            <w:tcW w:w="100" w:type="dxa"/>
            <w:vAlign w:val="bottom"/>
            <w:shd w:val="clear" w:color="auto" w:fill="ACACAC"/>
          </w:tcPr>
          <w:p>
            <w:pPr>
              <w:spacing w:after="0"/>
              <w:rPr>
                <w:sz w:val="19"/>
                <w:szCs w:val="19"/>
                <w:color w:val="auto"/>
              </w:rPr>
            </w:pPr>
          </w:p>
        </w:tc>
        <w:tc>
          <w:tcPr>
            <w:tcW w:w="112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46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540" w:type="dxa"/>
            <w:vAlign w:val="bottom"/>
            <w:gridSpan w:val="2"/>
            <w:shd w:val="clear" w:color="auto" w:fill="ACACAC"/>
          </w:tcPr>
          <w:p>
            <w:pPr>
              <w:ind w:left="540"/>
              <w:spacing w:after="0"/>
              <w:rPr>
                <w:sz w:val="20"/>
                <w:szCs w:val="20"/>
                <w:color w:val="auto"/>
              </w:rPr>
            </w:pPr>
            <w:r>
              <w:rPr>
                <w:rFonts w:ascii="Arial" w:cs="Arial" w:eastAsia="Arial" w:hAnsi="Arial"/>
                <w:sz w:val="18"/>
                <w:szCs w:val="18"/>
                <w:b w:val="1"/>
                <w:bCs w:val="1"/>
                <w:color w:val="auto"/>
                <w:w w:val="95"/>
              </w:rPr>
              <w:t>Hematology</w:t>
            </w:r>
          </w:p>
        </w:tc>
        <w:tc>
          <w:tcPr>
            <w:tcW w:w="124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84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84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gridSpan w:val="2"/>
          </w:tcPr>
          <w:p>
            <w:pPr>
              <w:ind w:left="20"/>
              <w:spacing w:after="0"/>
              <w:rPr>
                <w:sz w:val="20"/>
                <w:szCs w:val="20"/>
                <w:color w:val="auto"/>
              </w:rPr>
            </w:pPr>
            <w:r>
              <w:rPr>
                <w:rFonts w:ascii="Arial" w:cs="Arial" w:eastAsia="Arial" w:hAnsi="Arial"/>
                <w:sz w:val="18"/>
                <w:szCs w:val="18"/>
                <w:b w:val="1"/>
                <w:bCs w:val="1"/>
                <w:color w:val="auto"/>
              </w:rPr>
              <w:t>Odronextamab</w:t>
            </w:r>
          </w:p>
        </w:tc>
        <w:tc>
          <w:tcPr>
            <w:tcW w:w="1200" w:type="dxa"/>
            <w:vAlign w:val="bottom"/>
            <w:gridSpan w:val="2"/>
          </w:tcPr>
          <w:p>
            <w:pPr>
              <w:spacing w:after="0"/>
              <w:rPr>
                <w:sz w:val="20"/>
                <w:szCs w:val="20"/>
                <w:color w:val="auto"/>
              </w:rPr>
            </w:pPr>
            <w:r>
              <w:rPr>
                <w:rFonts w:ascii="Arial" w:cs="Arial" w:eastAsia="Arial" w:hAnsi="Arial"/>
                <w:sz w:val="18"/>
                <w:szCs w:val="18"/>
                <w:color w:val="auto"/>
              </w:rPr>
              <w:t>–Certain B-</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–B-cell non-</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–Expanded potentially</w:t>
            </w:r>
          </w:p>
        </w:tc>
        <w:tc>
          <w:tcPr>
            <w:tcW w:w="1840" w:type="dxa"/>
            <w:vAlign w:val="bottom"/>
          </w:tcPr>
          <w:p>
            <w:pPr>
              <w:ind w:left="20"/>
              <w:spacing w:after="0"/>
              <w:rPr>
                <w:sz w:val="20"/>
                <w:szCs w:val="20"/>
                <w:color w:val="auto"/>
              </w:rPr>
            </w:pPr>
            <w:r>
              <w:rPr>
                <w:rFonts w:ascii="Arial" w:cs="Arial" w:eastAsia="Arial" w:hAnsi="Arial"/>
                <w:sz w:val="18"/>
                <w:szCs w:val="18"/>
                <w:color w:val="auto"/>
              </w:rPr>
              <w:t>–Finalize protocol</w:t>
            </w:r>
          </w:p>
        </w:tc>
        <w:tc>
          <w:tcPr>
            <w:tcW w:w="0" w:type="dxa"/>
            <w:vAlign w:val="bottom"/>
          </w:tcPr>
          <w:p>
            <w:pPr>
              <w:spacing w:after="0"/>
              <w:rPr>
                <w:sz w:val="1"/>
                <w:szCs w:val="1"/>
                <w:color w:val="auto"/>
              </w:rPr>
            </w:pPr>
          </w:p>
        </w:tc>
      </w:tr>
      <w:tr>
        <w:trPr>
          <w:trHeight w:val="175"/>
        </w:trPr>
        <w:tc>
          <w:tcPr>
            <w:tcW w:w="188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(REGN1979)</w:t>
            </w:r>
          </w:p>
        </w:tc>
        <w:tc>
          <w:tcPr>
            <w:tcW w:w="1200" w:type="dxa"/>
            <w:vAlign w:val="bottom"/>
            <w:gridSpan w:val="2"/>
          </w:tcPr>
          <w:p>
            <w:pPr>
              <w:spacing w:after="0" w:line="176" w:lineRule="exact"/>
              <w:rPr>
                <w:sz w:val="20"/>
                <w:szCs w:val="20"/>
                <w:color w:val="auto"/>
              </w:rPr>
            </w:pPr>
            <w:r>
              <w:rPr>
                <w:rFonts w:ascii="Arial" w:cs="Arial" w:eastAsia="Arial" w:hAnsi="Arial"/>
                <w:sz w:val="18"/>
                <w:szCs w:val="18"/>
                <w:color w:val="auto"/>
              </w:rPr>
              <w:t>cell</w:t>
            </w:r>
          </w:p>
        </w:tc>
        <w:tc>
          <w:tcPr>
            <w:tcW w:w="15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Hodgkin</w:t>
            </w: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6"/>
              </w:rPr>
              <w:t>pivotal Phase 2 program</w:t>
            </w: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w w:val="92"/>
              </w:rPr>
              <w:t>amendment and resume</w:t>
            </w:r>
          </w:p>
        </w:tc>
        <w:tc>
          <w:tcPr>
            <w:tcW w:w="0" w:type="dxa"/>
            <w:vAlign w:val="bottom"/>
          </w:tcPr>
          <w:p>
            <w:pPr>
              <w:spacing w:after="0"/>
              <w:rPr>
                <w:sz w:val="1"/>
                <w:szCs w:val="1"/>
                <w:color w:val="auto"/>
              </w:rPr>
            </w:pPr>
          </w:p>
        </w:tc>
      </w:tr>
      <w:tr>
        <w:trPr>
          <w:trHeight w:val="176"/>
        </w:trPr>
        <w:tc>
          <w:tcPr>
            <w:tcW w:w="188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Bispecific antibody</w:t>
            </w:r>
          </w:p>
        </w:tc>
        <w:tc>
          <w:tcPr>
            <w:tcW w:w="1200" w:type="dxa"/>
            <w:vAlign w:val="bottom"/>
            <w:gridSpan w:val="2"/>
          </w:tcPr>
          <w:p>
            <w:pPr>
              <w:spacing w:after="0" w:line="176" w:lineRule="exact"/>
              <w:rPr>
                <w:sz w:val="20"/>
                <w:szCs w:val="20"/>
                <w:color w:val="auto"/>
              </w:rPr>
            </w:pPr>
            <w:r>
              <w:rPr>
                <w:rFonts w:ascii="Arial" w:cs="Arial" w:eastAsia="Arial" w:hAnsi="Arial"/>
                <w:sz w:val="16"/>
                <w:szCs w:val="16"/>
                <w:color w:val="auto"/>
              </w:rPr>
              <w:t>malignancies</w:t>
            </w:r>
            <w:r>
              <w:rPr>
                <w:rFonts w:ascii="Arial" w:cs="Arial" w:eastAsia="Arial" w:hAnsi="Arial"/>
                <w:sz w:val="20"/>
                <w:szCs w:val="20"/>
                <w:color w:val="auto"/>
                <w:vertAlign w:val="superscript"/>
              </w:rPr>
              <w:t>(c)</w:t>
            </w:r>
          </w:p>
        </w:tc>
        <w:tc>
          <w:tcPr>
            <w:tcW w:w="15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lymphoma ("B-</w:t>
            </w: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with different subtypes</w:t>
            </w: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w w:val="98"/>
              </w:rPr>
              <w:t>patient enrollment (first</w:t>
            </w:r>
          </w:p>
        </w:tc>
        <w:tc>
          <w:tcPr>
            <w:tcW w:w="0" w:type="dxa"/>
            <w:vAlign w:val="bottom"/>
          </w:tcPr>
          <w:p>
            <w:pPr>
              <w:spacing w:after="0"/>
              <w:rPr>
                <w:sz w:val="1"/>
                <w:szCs w:val="1"/>
                <w:color w:val="auto"/>
              </w:rPr>
            </w:pPr>
          </w:p>
        </w:tc>
      </w:tr>
      <w:tr>
        <w:trPr>
          <w:trHeight w:val="176"/>
        </w:trPr>
        <w:tc>
          <w:tcPr>
            <w:tcW w:w="188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targeting CD20 and</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NHL") (potentially</w:t>
            </w: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of NHL</w:t>
            </w: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half 2021)</w:t>
            </w:r>
          </w:p>
        </w:tc>
        <w:tc>
          <w:tcPr>
            <w:tcW w:w="0" w:type="dxa"/>
            <w:vAlign w:val="bottom"/>
          </w:tcPr>
          <w:p>
            <w:pPr>
              <w:spacing w:after="0"/>
              <w:rPr>
                <w:sz w:val="1"/>
                <w:szCs w:val="1"/>
                <w:color w:val="auto"/>
              </w:rPr>
            </w:pPr>
          </w:p>
        </w:tc>
      </w:tr>
      <w:tr>
        <w:trPr>
          <w:trHeight w:val="230"/>
        </w:trPr>
        <w:tc>
          <w:tcPr>
            <w:tcW w:w="1880" w:type="dxa"/>
            <w:vAlign w:val="bottom"/>
            <w:gridSpan w:val="2"/>
          </w:tcPr>
          <w:p>
            <w:pPr>
              <w:ind w:left="20"/>
              <w:spacing w:after="0"/>
              <w:rPr>
                <w:sz w:val="20"/>
                <w:szCs w:val="20"/>
                <w:color w:val="auto"/>
              </w:rPr>
            </w:pPr>
            <w:r>
              <w:rPr>
                <w:rFonts w:ascii="Arial" w:cs="Arial" w:eastAsia="Arial" w:hAnsi="Arial"/>
                <w:sz w:val="18"/>
                <w:szCs w:val="18"/>
                <w:i w:val="1"/>
                <w:iCs w:val="1"/>
                <w:color w:val="auto"/>
              </w:rPr>
              <w:t>CD3</w:t>
            </w: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pivotal study)</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gridSpan w:val="2"/>
            <w:vMerge w:val="restart"/>
          </w:tcPr>
          <w:p>
            <w:pPr>
              <w:ind w:left="20"/>
              <w:spacing w:after="0"/>
              <w:rPr>
                <w:sz w:val="20"/>
                <w:szCs w:val="20"/>
                <w:color w:val="auto"/>
              </w:rPr>
            </w:pPr>
            <w:r>
              <w:rPr>
                <w:rFonts w:ascii="Arial" w:cs="Arial" w:eastAsia="Arial" w:hAnsi="Arial"/>
                <w:sz w:val="18"/>
                <w:szCs w:val="18"/>
                <w:color w:val="auto"/>
                <w:w w:val="94"/>
              </w:rPr>
              <w:t>–Paused new enrollment</w:t>
            </w:r>
          </w:p>
        </w:tc>
        <w:tc>
          <w:tcPr>
            <w:tcW w:w="1840" w:type="dxa"/>
            <w:vAlign w:val="bottom"/>
            <w:vMerge w:val="restart"/>
          </w:tcPr>
          <w:p>
            <w:pPr>
              <w:ind w:left="20"/>
              <w:spacing w:after="0"/>
              <w:rPr>
                <w:sz w:val="20"/>
                <w:szCs w:val="20"/>
                <w:color w:val="auto"/>
              </w:rPr>
            </w:pPr>
            <w:r>
              <w:rPr>
                <w:rFonts w:ascii="Arial" w:cs="Arial" w:eastAsia="Arial" w:hAnsi="Arial"/>
                <w:sz w:val="18"/>
                <w:szCs w:val="18"/>
                <w:color w:val="auto"/>
              </w:rPr>
              <w:t>–Complete patient</w:t>
            </w:r>
          </w:p>
        </w:tc>
        <w:tc>
          <w:tcPr>
            <w:tcW w:w="0" w:type="dxa"/>
            <w:vAlign w:val="bottom"/>
          </w:tcPr>
          <w:p>
            <w:pPr>
              <w:spacing w:after="0"/>
              <w:rPr>
                <w:sz w:val="1"/>
                <w:szCs w:val="1"/>
                <w:color w:val="auto"/>
              </w:rPr>
            </w:pPr>
          </w:p>
        </w:tc>
      </w:tr>
      <w:tr>
        <w:trPr>
          <w:trHeight w:val="121"/>
        </w:trPr>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20" w:type="dxa"/>
            <w:vAlign w:val="bottom"/>
            <w:gridSpan w:val="2"/>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of patients with B-NHL</w:t>
            </w: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w w:val="95"/>
              </w:rPr>
              <w:t>enrollment in potentially</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9"/>
              </w:rPr>
              <w:t>in compliance with FDA</w:t>
            </w: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w w:val="94"/>
              </w:rPr>
              <w:t>pivotal Phase 2 study in</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partial clinical hold</w:t>
            </w: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B-NHL (second half</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96"/>
        </w:trPr>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rPr>
              <w:t>–Initiate Phase 3</w:t>
            </w:r>
          </w:p>
        </w:tc>
        <w:tc>
          <w:tcPr>
            <w:tcW w:w="0" w:type="dxa"/>
            <w:vAlign w:val="bottom"/>
          </w:tcPr>
          <w:p>
            <w:pPr>
              <w:spacing w:after="0"/>
              <w:rPr>
                <w:sz w:val="1"/>
                <w:szCs w:val="1"/>
                <w:color w:val="auto"/>
              </w:rPr>
            </w:pPr>
          </w:p>
        </w:tc>
      </w:tr>
      <w:tr>
        <w:trPr>
          <w:trHeight w:val="229"/>
        </w:trPr>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rPr>
              <w:t>program (2021)</w:t>
            </w:r>
          </w:p>
        </w:tc>
        <w:tc>
          <w:tcPr>
            <w:tcW w:w="0" w:type="dxa"/>
            <w:vAlign w:val="bottom"/>
          </w:tcPr>
          <w:p>
            <w:pPr>
              <w:spacing w:after="0"/>
              <w:rPr>
                <w:sz w:val="1"/>
                <w:szCs w:val="1"/>
                <w:color w:val="auto"/>
              </w:rPr>
            </w:pPr>
          </w:p>
        </w:tc>
      </w:tr>
      <w:tr>
        <w:trPr>
          <w:trHeight w:val="176"/>
        </w:trPr>
        <w:tc>
          <w:tcPr>
            <w:tcW w:w="18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6"/>
                <w:szCs w:val="16"/>
                <w:b w:val="1"/>
                <w:bCs w:val="1"/>
                <w:color w:val="auto"/>
              </w:rPr>
              <w:t>REGN5458</w:t>
            </w:r>
            <w:r>
              <w:rPr>
                <w:rFonts w:ascii="Arial" w:cs="Arial" w:eastAsia="Arial" w:hAnsi="Arial"/>
                <w:sz w:val="20"/>
                <w:szCs w:val="20"/>
                <w:b w:val="1"/>
                <w:bCs w:val="1"/>
                <w:color w:val="auto"/>
                <w:vertAlign w:val="superscript"/>
              </w:rPr>
              <w:t>(a)</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–Multiple</w:t>
            </w: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–Presented updated</w:t>
            </w: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–Complete patient</w:t>
            </w:r>
          </w:p>
        </w:tc>
        <w:tc>
          <w:tcPr>
            <w:tcW w:w="0" w:type="dxa"/>
            <w:vAlign w:val="bottom"/>
          </w:tcPr>
          <w:p>
            <w:pPr>
              <w:spacing w:after="0"/>
              <w:rPr>
                <w:sz w:val="1"/>
                <w:szCs w:val="1"/>
                <w:color w:val="auto"/>
              </w:rPr>
            </w:pPr>
          </w:p>
        </w:tc>
      </w:tr>
      <w:tr>
        <w:trPr>
          <w:trHeight w:val="175"/>
        </w:trPr>
        <w:tc>
          <w:tcPr>
            <w:tcW w:w="18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Bispecific antibody</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myeloma</w:t>
            </w: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results from Phase 1</w:t>
            </w: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enrollment in potentially</w:t>
            </w:r>
          </w:p>
        </w:tc>
        <w:tc>
          <w:tcPr>
            <w:tcW w:w="0" w:type="dxa"/>
            <w:vAlign w:val="bottom"/>
          </w:tcPr>
          <w:p>
            <w:pPr>
              <w:spacing w:after="0"/>
              <w:rPr>
                <w:sz w:val="1"/>
                <w:szCs w:val="1"/>
                <w:color w:val="auto"/>
              </w:rPr>
            </w:pPr>
          </w:p>
        </w:tc>
      </w:tr>
      <w:tr>
        <w:trPr>
          <w:trHeight w:val="175"/>
        </w:trPr>
        <w:tc>
          <w:tcPr>
            <w:tcW w:w="18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targeting BCMA and</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(potentially pivotal</w:t>
            </w: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study in multiple</w:t>
            </w: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pivotal Phase 2 study in</w:t>
            </w:r>
          </w:p>
        </w:tc>
        <w:tc>
          <w:tcPr>
            <w:tcW w:w="0" w:type="dxa"/>
            <w:vAlign w:val="bottom"/>
          </w:tcPr>
          <w:p>
            <w:pPr>
              <w:spacing w:after="0"/>
              <w:rPr>
                <w:sz w:val="1"/>
                <w:szCs w:val="1"/>
                <w:color w:val="auto"/>
              </w:rPr>
            </w:pPr>
          </w:p>
        </w:tc>
      </w:tr>
      <w:tr>
        <w:trPr>
          <w:trHeight w:val="175"/>
        </w:trPr>
        <w:tc>
          <w:tcPr>
            <w:tcW w:w="18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CD3</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study)</w:t>
            </w: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myeloma at ASH</w:t>
            </w: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multiple myeloma</w:t>
            </w: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(second half 2021)</w:t>
            </w:r>
          </w:p>
        </w:tc>
        <w:tc>
          <w:tcPr>
            <w:tcW w:w="0" w:type="dxa"/>
            <w:vAlign w:val="bottom"/>
          </w:tcPr>
          <w:p>
            <w:pPr>
              <w:spacing w:after="0"/>
              <w:rPr>
                <w:sz w:val="1"/>
                <w:szCs w:val="1"/>
                <w:color w:val="auto"/>
              </w:rPr>
            </w:pPr>
          </w:p>
        </w:tc>
      </w:tr>
      <w:tr>
        <w:trPr>
          <w:trHeight w:val="296"/>
        </w:trPr>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–Initiate pivotal trials in</w:t>
            </w: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earlier lines of multiple</w:t>
            </w: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myeloma therapy</w:t>
            </w: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(second half 2021)</w:t>
            </w:r>
          </w:p>
        </w:tc>
        <w:tc>
          <w:tcPr>
            <w:tcW w:w="0" w:type="dxa"/>
            <w:vAlign w:val="bottom"/>
          </w:tcPr>
          <w:p>
            <w:pPr>
              <w:spacing w:after="0"/>
              <w:rPr>
                <w:sz w:val="1"/>
                <w:szCs w:val="1"/>
                <w:color w:val="auto"/>
              </w:rPr>
            </w:pPr>
          </w:p>
        </w:tc>
      </w:tr>
      <w:tr>
        <w:trPr>
          <w:trHeight w:val="175"/>
        </w:trPr>
        <w:tc>
          <w:tcPr>
            <w:tcW w:w="1880" w:type="dxa"/>
            <w:vAlign w:val="bottom"/>
            <w:gridSpan w:val="2"/>
          </w:tcPr>
          <w:p>
            <w:pPr>
              <w:ind w:left="20"/>
              <w:spacing w:after="0" w:line="176" w:lineRule="exact"/>
              <w:rPr>
                <w:sz w:val="20"/>
                <w:szCs w:val="20"/>
                <w:color w:val="auto"/>
              </w:rPr>
            </w:pPr>
            <w:r>
              <w:rPr>
                <w:rFonts w:ascii="Arial" w:cs="Arial" w:eastAsia="Arial" w:hAnsi="Arial"/>
                <w:sz w:val="16"/>
                <w:szCs w:val="16"/>
                <w:b w:val="1"/>
                <w:bCs w:val="1"/>
                <w:color w:val="auto"/>
              </w:rPr>
              <w:t>REGN5459</w:t>
            </w:r>
            <w:r>
              <w:rPr>
                <w:rFonts w:ascii="Arial" w:cs="Arial" w:eastAsia="Arial" w:hAnsi="Arial"/>
                <w:sz w:val="20"/>
                <w:szCs w:val="20"/>
                <w:b w:val="1"/>
                <w:bCs w:val="1"/>
                <w:color w:val="auto"/>
                <w:vertAlign w:val="superscript"/>
              </w:rPr>
              <w:t>(a)</w:t>
            </w:r>
          </w:p>
        </w:tc>
        <w:tc>
          <w:tcPr>
            <w:tcW w:w="1200" w:type="dxa"/>
            <w:vAlign w:val="bottom"/>
            <w:gridSpan w:val="2"/>
          </w:tcPr>
          <w:p>
            <w:pPr>
              <w:spacing w:after="0" w:line="176" w:lineRule="exact"/>
              <w:rPr>
                <w:sz w:val="20"/>
                <w:szCs w:val="20"/>
                <w:color w:val="auto"/>
              </w:rPr>
            </w:pPr>
            <w:r>
              <w:rPr>
                <w:rFonts w:ascii="Arial" w:cs="Arial" w:eastAsia="Arial" w:hAnsi="Arial"/>
                <w:sz w:val="18"/>
                <w:szCs w:val="18"/>
                <w:color w:val="auto"/>
              </w:rPr>
              <w:t>–Multiple</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8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Bispecific antibody</w:t>
            </w:r>
          </w:p>
        </w:tc>
        <w:tc>
          <w:tcPr>
            <w:tcW w:w="1200" w:type="dxa"/>
            <w:vAlign w:val="bottom"/>
            <w:gridSpan w:val="2"/>
          </w:tcPr>
          <w:p>
            <w:pPr>
              <w:spacing w:after="0" w:line="176" w:lineRule="exact"/>
              <w:rPr>
                <w:sz w:val="20"/>
                <w:szCs w:val="20"/>
                <w:color w:val="auto"/>
              </w:rPr>
            </w:pPr>
            <w:r>
              <w:rPr>
                <w:rFonts w:ascii="Arial" w:cs="Arial" w:eastAsia="Arial" w:hAnsi="Arial"/>
                <w:sz w:val="18"/>
                <w:szCs w:val="18"/>
                <w:color w:val="auto"/>
              </w:rPr>
              <w:t>myeloma</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8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targeting BCMA and</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80" w:type="dxa"/>
            <w:vAlign w:val="bottom"/>
            <w:gridSpan w:val="2"/>
          </w:tcPr>
          <w:p>
            <w:pPr>
              <w:ind w:left="20"/>
              <w:spacing w:after="0"/>
              <w:rPr>
                <w:sz w:val="20"/>
                <w:szCs w:val="20"/>
                <w:color w:val="auto"/>
              </w:rPr>
            </w:pPr>
            <w:r>
              <w:rPr>
                <w:rFonts w:ascii="Arial" w:cs="Arial" w:eastAsia="Arial" w:hAnsi="Arial"/>
                <w:sz w:val="18"/>
                <w:szCs w:val="18"/>
                <w:i w:val="1"/>
                <w:iCs w:val="1"/>
                <w:color w:val="auto"/>
              </w:rPr>
              <w:t>CD3</w:t>
            </w: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gridSpan w:val="2"/>
          </w:tcPr>
          <w:p>
            <w:pPr>
              <w:ind w:left="220"/>
              <w:spacing w:after="0"/>
              <w:rPr>
                <w:sz w:val="20"/>
                <w:szCs w:val="20"/>
                <w:color w:val="auto"/>
              </w:rPr>
            </w:pPr>
            <w:r>
              <w:rPr>
                <w:rFonts w:ascii="Arial" w:cs="Arial" w:eastAsia="Arial" w:hAnsi="Arial"/>
                <w:sz w:val="18"/>
                <w:szCs w:val="18"/>
                <w:b w:val="1"/>
                <w:bCs w:val="1"/>
                <w:color w:val="auto"/>
              </w:rPr>
              <w:t>Clinical Program</w:t>
            </w:r>
          </w:p>
        </w:tc>
        <w:tc>
          <w:tcPr>
            <w:tcW w:w="126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Phase 1</w:t>
            </w:r>
          </w:p>
        </w:tc>
        <w:tc>
          <w:tcPr>
            <w:tcW w:w="154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Phase 2</w:t>
            </w:r>
          </w:p>
        </w:tc>
        <w:tc>
          <w:tcPr>
            <w:tcW w:w="1700" w:type="dxa"/>
            <w:vAlign w:val="bottom"/>
            <w:gridSpan w:val="3"/>
            <w:vMerge w:val="restart"/>
          </w:tcPr>
          <w:p>
            <w:pPr>
              <w:ind w:left="440"/>
              <w:spacing w:after="0"/>
              <w:rPr>
                <w:sz w:val="20"/>
                <w:szCs w:val="20"/>
                <w:color w:val="auto"/>
              </w:rPr>
            </w:pPr>
            <w:r>
              <w:rPr>
                <w:rFonts w:ascii="Arial" w:cs="Arial" w:eastAsia="Arial" w:hAnsi="Arial"/>
                <w:sz w:val="18"/>
                <w:szCs w:val="18"/>
                <w:b w:val="1"/>
                <w:bCs w:val="1"/>
                <w:color w:val="auto"/>
              </w:rPr>
              <w:t>Phase 3</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Regulatory</w:t>
            </w:r>
          </w:p>
        </w:tc>
        <w:tc>
          <w:tcPr>
            <w:tcW w:w="1920" w:type="dxa"/>
            <w:vAlign w:val="bottom"/>
            <w:gridSpan w:val="2"/>
          </w:tcPr>
          <w:p>
            <w:pPr>
              <w:ind w:left="360"/>
              <w:spacing w:after="0"/>
              <w:rPr>
                <w:sz w:val="20"/>
                <w:szCs w:val="20"/>
                <w:color w:val="auto"/>
              </w:rPr>
            </w:pPr>
            <w:r>
              <w:rPr>
                <w:rFonts w:ascii="Arial" w:cs="Arial" w:eastAsia="Arial" w:hAnsi="Arial"/>
                <w:sz w:val="18"/>
                <w:szCs w:val="18"/>
                <w:b w:val="1"/>
                <w:bCs w:val="1"/>
                <w:color w:val="auto"/>
              </w:rPr>
              <w:t>2020 and 2021</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8"/>
              </w:rPr>
              <w:t>Select Upcoming</w:t>
            </w:r>
          </w:p>
        </w:tc>
        <w:tc>
          <w:tcPr>
            <w:tcW w:w="0" w:type="dxa"/>
            <w:vAlign w:val="bottom"/>
          </w:tcPr>
          <w:p>
            <w:pPr>
              <w:spacing w:after="0"/>
              <w:rPr>
                <w:sz w:val="1"/>
                <w:szCs w:val="1"/>
                <w:color w:val="auto"/>
              </w:rPr>
            </w:pPr>
          </w:p>
        </w:tc>
      </w:tr>
      <w:tr>
        <w:trPr>
          <w:trHeight w:val="229"/>
        </w:trPr>
        <w:tc>
          <w:tcPr>
            <w:tcW w:w="1840" w:type="dxa"/>
            <w:vAlign w:val="bottom"/>
            <w:gridSpan w:val="2"/>
          </w:tcPr>
          <w:p>
            <w:pPr>
              <w:ind w:left="440"/>
              <w:spacing w:after="0"/>
              <w:rPr>
                <w:sz w:val="20"/>
                <w:szCs w:val="20"/>
                <w:color w:val="auto"/>
              </w:rPr>
            </w:pPr>
            <w:r>
              <w:rPr>
                <w:rFonts w:ascii="Arial" w:cs="Arial" w:eastAsia="Arial" w:hAnsi="Arial"/>
                <w:sz w:val="18"/>
                <w:szCs w:val="18"/>
                <w:b w:val="1"/>
                <w:bCs w:val="1"/>
                <w:i w:val="1"/>
                <w:iCs w:val="1"/>
                <w:color w:val="auto"/>
              </w:rPr>
              <w:t>(continued)</w:t>
            </w:r>
          </w:p>
        </w:tc>
        <w:tc>
          <w:tcPr>
            <w:tcW w:w="1260" w:type="dxa"/>
            <w:vAlign w:val="bottom"/>
            <w:gridSpan w:val="2"/>
            <w:vMerge w:val="continue"/>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700" w:type="dxa"/>
            <w:vAlign w:val="bottom"/>
            <w:gridSpan w:val="3"/>
            <w:vMerge w:val="continue"/>
          </w:tcPr>
          <w:p>
            <w:pPr>
              <w:spacing w:after="0"/>
              <w:rPr>
                <w:sz w:val="19"/>
                <w:szCs w:val="19"/>
                <w:color w:val="auto"/>
              </w:rPr>
            </w:pPr>
          </w:p>
        </w:tc>
        <w:tc>
          <w:tcPr>
            <w:tcW w:w="1160" w:type="dxa"/>
            <w:vAlign w:val="bottom"/>
            <w:gridSpan w:val="2"/>
          </w:tcPr>
          <w:p>
            <w:pPr>
              <w:jc w:val="center"/>
              <w:ind w:right="220"/>
              <w:spacing w:after="0" w:line="230" w:lineRule="exact"/>
              <w:rPr>
                <w:sz w:val="20"/>
                <w:szCs w:val="20"/>
                <w:color w:val="auto"/>
              </w:rPr>
            </w:pPr>
            <w:r>
              <w:rPr>
                <w:rFonts w:ascii="Arial" w:cs="Arial" w:eastAsia="Arial" w:hAnsi="Arial"/>
                <w:sz w:val="18"/>
                <w:szCs w:val="18"/>
                <w:b w:val="1"/>
                <w:bCs w:val="1"/>
                <w:color w:val="auto"/>
                <w:w w:val="86"/>
              </w:rPr>
              <w:t>Review</w:t>
            </w:r>
            <w:r>
              <w:rPr>
                <w:rFonts w:ascii="Arial" w:cs="Arial" w:eastAsia="Arial" w:hAnsi="Arial"/>
                <w:sz w:val="23"/>
                <w:szCs w:val="23"/>
                <w:b w:val="1"/>
                <w:bCs w:val="1"/>
                <w:color w:val="auto"/>
                <w:w w:val="86"/>
                <w:vertAlign w:val="superscript"/>
              </w:rPr>
              <w:t>(i)</w:t>
            </w:r>
          </w:p>
        </w:tc>
        <w:tc>
          <w:tcPr>
            <w:tcW w:w="1920" w:type="dxa"/>
            <w:vAlign w:val="bottom"/>
            <w:gridSpan w:val="2"/>
          </w:tcPr>
          <w:p>
            <w:pPr>
              <w:ind w:left="360"/>
              <w:spacing w:after="0"/>
              <w:rPr>
                <w:sz w:val="20"/>
                <w:szCs w:val="20"/>
                <w:color w:val="auto"/>
              </w:rPr>
            </w:pPr>
            <w:r>
              <w:rPr>
                <w:rFonts w:ascii="Arial" w:cs="Arial" w:eastAsia="Arial" w:hAnsi="Arial"/>
                <w:sz w:val="18"/>
                <w:szCs w:val="18"/>
                <w:b w:val="1"/>
                <w:bCs w:val="1"/>
                <w:color w:val="auto"/>
              </w:rPr>
              <w:t>Events to Date</w:t>
            </w:r>
          </w:p>
        </w:tc>
        <w:tc>
          <w:tcPr>
            <w:tcW w:w="1820" w:type="dxa"/>
            <w:vAlign w:val="bottom"/>
          </w:tcPr>
          <w:p>
            <w:pPr>
              <w:jc w:val="center"/>
              <w:spacing w:after="0" w:line="230" w:lineRule="exact"/>
              <w:rPr>
                <w:sz w:val="20"/>
                <w:szCs w:val="20"/>
                <w:color w:val="auto"/>
              </w:rPr>
            </w:pPr>
            <w:r>
              <w:rPr>
                <w:rFonts w:ascii="Arial" w:cs="Arial" w:eastAsia="Arial" w:hAnsi="Arial"/>
                <w:sz w:val="18"/>
                <w:szCs w:val="18"/>
                <w:b w:val="1"/>
                <w:bCs w:val="1"/>
                <w:color w:val="auto"/>
                <w:w w:val="87"/>
              </w:rPr>
              <w:t>Milestones</w:t>
            </w:r>
            <w:r>
              <w:rPr>
                <w:rFonts w:ascii="Arial" w:cs="Arial" w:eastAsia="Arial" w:hAnsi="Arial"/>
                <w:sz w:val="23"/>
                <w:szCs w:val="23"/>
                <w:b w:val="1"/>
                <w:bCs w:val="1"/>
                <w:color w:val="auto"/>
                <w:w w:val="87"/>
                <w:vertAlign w:val="superscript"/>
              </w:rPr>
              <w:t>(k)</w:t>
            </w:r>
          </w:p>
        </w:tc>
        <w:tc>
          <w:tcPr>
            <w:tcW w:w="0" w:type="dxa"/>
            <w:vAlign w:val="bottom"/>
          </w:tcPr>
          <w:p>
            <w:pPr>
              <w:spacing w:after="0"/>
              <w:rPr>
                <w:sz w:val="1"/>
                <w:szCs w:val="1"/>
                <w:color w:val="auto"/>
              </w:rPr>
            </w:pPr>
          </w:p>
        </w:tc>
      </w:tr>
      <w:tr>
        <w:trPr>
          <w:trHeight w:val="169"/>
        </w:trPr>
        <w:tc>
          <w:tcPr>
            <w:tcW w:w="174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5"/>
                <w:szCs w:val="15"/>
                <w:b w:val="1"/>
                <w:bCs w:val="1"/>
                <w:color w:val="auto"/>
              </w:rPr>
              <w:t>Pozelimab</w:t>
            </w:r>
            <w:r>
              <w:rPr>
                <w:rFonts w:ascii="Arial" w:cs="Arial" w:eastAsia="Arial" w:hAnsi="Arial"/>
                <w:sz w:val="19"/>
                <w:szCs w:val="19"/>
                <w:b w:val="1"/>
                <w:bCs w:val="1"/>
                <w:color w:val="auto"/>
                <w:vertAlign w:val="superscript"/>
              </w:rPr>
              <w:t>(f)</w:t>
            </w:r>
          </w:p>
        </w:tc>
        <w:tc>
          <w:tcPr>
            <w:tcW w:w="10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rPr>
              <w:t>–Paroxysmal</w:t>
            </w:r>
          </w:p>
        </w:tc>
        <w:tc>
          <w:tcPr>
            <w:tcW w:w="8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–PNH,</w:t>
            </w:r>
          </w:p>
        </w:tc>
        <w:tc>
          <w:tcPr>
            <w:tcW w:w="8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w w:val="97"/>
              </w:rPr>
              <w:t>–Initiate Phase 3 study</w:t>
            </w:r>
          </w:p>
        </w:tc>
        <w:tc>
          <w:tcPr>
            <w:tcW w:w="0" w:type="dxa"/>
            <w:vAlign w:val="bottom"/>
          </w:tcPr>
          <w:p>
            <w:pPr>
              <w:spacing w:after="0"/>
              <w:rPr>
                <w:sz w:val="1"/>
                <w:szCs w:val="1"/>
                <w:color w:val="auto"/>
              </w:rPr>
            </w:pPr>
          </w:p>
        </w:tc>
      </w:tr>
      <w:tr>
        <w:trPr>
          <w:trHeight w:val="175"/>
        </w:trPr>
        <w:tc>
          <w:tcPr>
            <w:tcW w:w="18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(REGN3918)</w:t>
            </w:r>
          </w:p>
        </w:tc>
        <w:tc>
          <w:tcPr>
            <w:tcW w:w="12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nocturnal</w:t>
            </w:r>
          </w:p>
        </w:tc>
        <w:tc>
          <w:tcPr>
            <w:tcW w:w="15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6"/>
                <w:szCs w:val="16"/>
                <w:color w:val="auto"/>
              </w:rPr>
              <w:t>monotherapy</w:t>
            </w:r>
            <w:r>
              <w:rPr>
                <w:rFonts w:ascii="Arial" w:cs="Arial" w:eastAsia="Arial" w:hAnsi="Arial"/>
                <w:sz w:val="20"/>
                <w:szCs w:val="20"/>
                <w:color w:val="auto"/>
                <w:vertAlign w:val="superscript"/>
              </w:rPr>
              <w:t>(c)</w:t>
            </w: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 myasthenia gravis</w:t>
            </w:r>
          </w:p>
        </w:tc>
        <w:tc>
          <w:tcPr>
            <w:tcW w:w="0" w:type="dxa"/>
            <w:vAlign w:val="bottom"/>
          </w:tcPr>
          <w:p>
            <w:pPr>
              <w:spacing w:after="0"/>
              <w:rPr>
                <w:sz w:val="1"/>
                <w:szCs w:val="1"/>
                <w:color w:val="auto"/>
              </w:rPr>
            </w:pPr>
          </w:p>
        </w:tc>
      </w:tr>
      <w:tr>
        <w:trPr>
          <w:trHeight w:val="176"/>
        </w:trPr>
        <w:tc>
          <w:tcPr>
            <w:tcW w:w="18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Antibody to C5</w:t>
            </w:r>
          </w:p>
        </w:tc>
        <w:tc>
          <w:tcPr>
            <w:tcW w:w="12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hemoglobinuria</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(second half 2021)</w:t>
            </w:r>
          </w:p>
        </w:tc>
        <w:tc>
          <w:tcPr>
            <w:tcW w:w="0" w:type="dxa"/>
            <w:vAlign w:val="bottom"/>
          </w:tcPr>
          <w:p>
            <w:pPr>
              <w:spacing w:after="0"/>
              <w:rPr>
                <w:sz w:val="1"/>
                <w:szCs w:val="1"/>
                <w:color w:val="auto"/>
              </w:rPr>
            </w:pPr>
          </w:p>
        </w:tc>
      </w:tr>
      <w:tr>
        <w:trPr>
          <w:trHeight w:val="176"/>
        </w:trPr>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("PNH"),</w:t>
            </w: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–CD55-deficient</w:t>
            </w: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60" w:type="dxa"/>
            <w:vAlign w:val="bottom"/>
            <w:gridSpan w:val="2"/>
            <w:vMerge w:val="restart"/>
            <w:shd w:val="clear" w:color="auto" w:fill="CCEEFF"/>
          </w:tcPr>
          <w:p>
            <w:pPr>
              <w:spacing w:after="0" w:line="176" w:lineRule="exact"/>
              <w:rPr>
                <w:sz w:val="20"/>
                <w:szCs w:val="20"/>
                <w:color w:val="auto"/>
              </w:rPr>
            </w:pPr>
            <w:r>
              <w:rPr>
                <w:rFonts w:ascii="Arial" w:cs="Arial" w:eastAsia="Arial" w:hAnsi="Arial"/>
                <w:sz w:val="18"/>
                <w:szCs w:val="18"/>
                <w:color w:val="auto"/>
              </w:rPr>
              <w:t>cemdisiran</w:t>
            </w:r>
          </w:p>
        </w:tc>
        <w:tc>
          <w:tcPr>
            <w:tcW w:w="1540" w:type="dxa"/>
            <w:vAlign w:val="bottom"/>
            <w:gridSpan w:val="2"/>
            <w:vMerge w:val="continue"/>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8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60" w:type="dxa"/>
            <w:vAlign w:val="bottom"/>
            <w:gridSpan w:val="2"/>
            <w:vMerge w:val="continue"/>
            <w:shd w:val="clear" w:color="auto" w:fill="CCEEFF"/>
          </w:tcPr>
          <w:p>
            <w:pPr>
              <w:spacing w:after="0"/>
              <w:rPr>
                <w:sz w:val="9"/>
                <w:szCs w:val="9"/>
                <w:color w:val="auto"/>
              </w:rPr>
            </w:pPr>
          </w:p>
        </w:tc>
        <w:tc>
          <w:tcPr>
            <w:tcW w:w="1540" w:type="dxa"/>
            <w:vAlign w:val="bottom"/>
            <w:gridSpan w:val="2"/>
            <w:vMerge w:val="restart"/>
            <w:shd w:val="clear" w:color="auto" w:fill="CCEEFF"/>
          </w:tcPr>
          <w:p>
            <w:pPr>
              <w:ind w:left="20"/>
              <w:spacing w:after="0" w:line="182" w:lineRule="exact"/>
              <w:rPr>
                <w:sz w:val="20"/>
                <w:szCs w:val="20"/>
                <w:color w:val="auto"/>
              </w:rPr>
            </w:pPr>
            <w:r>
              <w:rPr>
                <w:rFonts w:ascii="Arial" w:cs="Arial" w:eastAsia="Arial" w:hAnsi="Arial"/>
                <w:sz w:val="18"/>
                <w:szCs w:val="18"/>
                <w:color w:val="auto"/>
              </w:rPr>
              <w:t>protein-losing</w:t>
            </w:r>
          </w:p>
        </w:tc>
        <w:tc>
          <w:tcPr>
            <w:tcW w:w="1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60" w:type="dxa"/>
            <w:vAlign w:val="bottom"/>
            <w:gridSpan w:val="2"/>
            <w:vMerge w:val="restart"/>
            <w:shd w:val="clear" w:color="auto" w:fill="CCEEFF"/>
          </w:tcPr>
          <w:p>
            <w:pPr>
              <w:spacing w:after="0" w:line="189" w:lineRule="exact"/>
              <w:rPr>
                <w:sz w:val="20"/>
                <w:szCs w:val="20"/>
                <w:color w:val="auto"/>
              </w:rPr>
            </w:pPr>
            <w:r>
              <w:rPr>
                <w:rFonts w:ascii="Arial" w:cs="Arial" w:eastAsia="Arial" w:hAnsi="Arial"/>
                <w:sz w:val="17"/>
                <w:szCs w:val="17"/>
                <w:color w:val="auto"/>
              </w:rPr>
              <w:t>combination</w:t>
            </w:r>
            <w:r>
              <w:rPr>
                <w:rFonts w:ascii="Arial" w:cs="Arial" w:eastAsia="Arial" w:hAnsi="Arial"/>
                <w:sz w:val="21"/>
                <w:szCs w:val="21"/>
                <w:color w:val="auto"/>
                <w:vertAlign w:val="superscript"/>
              </w:rPr>
              <w:t>(c)</w:t>
            </w:r>
          </w:p>
        </w:tc>
        <w:tc>
          <w:tcPr>
            <w:tcW w:w="1540" w:type="dxa"/>
            <w:vAlign w:val="bottom"/>
            <w:gridSpan w:val="2"/>
            <w:vMerge w:val="continue"/>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1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60" w:type="dxa"/>
            <w:vAlign w:val="bottom"/>
            <w:gridSpan w:val="2"/>
            <w:vMerge w:val="continue"/>
            <w:shd w:val="clear" w:color="auto" w:fill="CCEEFF"/>
          </w:tcPr>
          <w:p>
            <w:pPr>
              <w:spacing w:after="0"/>
              <w:rPr>
                <w:sz w:val="9"/>
                <w:szCs w:val="9"/>
                <w:color w:val="auto"/>
              </w:rPr>
            </w:pPr>
          </w:p>
        </w:tc>
        <w:tc>
          <w:tcPr>
            <w:tcW w:w="1540" w:type="dxa"/>
            <w:vAlign w:val="bottom"/>
            <w:gridSpan w:val="2"/>
            <w:shd w:val="clear" w:color="auto" w:fill="CCEEFF"/>
          </w:tcPr>
          <w:p>
            <w:pPr>
              <w:ind w:left="860"/>
              <w:spacing w:after="0" w:line="114" w:lineRule="exact"/>
              <w:rPr>
                <w:sz w:val="20"/>
                <w:szCs w:val="20"/>
                <w:color w:val="auto"/>
              </w:rPr>
            </w:pPr>
            <w:r>
              <w:rPr>
                <w:rFonts w:ascii="Arial" w:cs="Arial" w:eastAsia="Arial" w:hAnsi="Arial"/>
                <w:sz w:val="12"/>
                <w:szCs w:val="12"/>
                <w:color w:val="auto"/>
              </w:rPr>
              <w:t>(c)</w:t>
            </w:r>
          </w:p>
        </w:tc>
        <w:tc>
          <w:tcPr>
            <w:tcW w:w="1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w:t>
            </w:r>
          </w:p>
        </w:tc>
        <w:tc>
          <w:tcPr>
            <w:tcW w:w="15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7"/>
                <w:szCs w:val="17"/>
                <w:color w:val="auto"/>
              </w:rPr>
              <w:t>enteropathy</w:t>
            </w: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840" w:type="dxa"/>
            <w:vAlign w:val="bottom"/>
            <w:gridSpan w:val="2"/>
          </w:tcPr>
          <w:p>
            <w:pPr>
              <w:ind w:left="20"/>
              <w:spacing w:after="0" w:line="176" w:lineRule="exact"/>
              <w:rPr>
                <w:sz w:val="20"/>
                <w:szCs w:val="20"/>
                <w:color w:val="auto"/>
              </w:rPr>
            </w:pPr>
            <w:r>
              <w:rPr>
                <w:rFonts w:ascii="Arial" w:cs="Arial" w:eastAsia="Arial" w:hAnsi="Arial"/>
                <w:sz w:val="16"/>
                <w:szCs w:val="16"/>
                <w:b w:val="1"/>
                <w:bCs w:val="1"/>
                <w:color w:val="auto"/>
              </w:rPr>
              <w:t>Cemdisiran</w:t>
            </w:r>
            <w:r>
              <w:rPr>
                <w:rFonts w:ascii="Arial" w:cs="Arial" w:eastAsia="Arial" w:hAnsi="Arial"/>
                <w:sz w:val="20"/>
                <w:szCs w:val="20"/>
                <w:b w:val="1"/>
                <w:bCs w:val="1"/>
                <w:color w:val="auto"/>
                <w:vertAlign w:val="superscript"/>
              </w:rPr>
              <w:t>(p)</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–Immunoglobulin</w:t>
            </w: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4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siRNA therapeutic</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 nephropathy</w:t>
            </w: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40" w:type="dxa"/>
            <w:vAlign w:val="bottom"/>
            <w:gridSpan w:val="2"/>
          </w:tcPr>
          <w:p>
            <w:pPr>
              <w:ind w:left="20"/>
              <w:spacing w:after="0"/>
              <w:rPr>
                <w:sz w:val="20"/>
                <w:szCs w:val="20"/>
                <w:color w:val="auto"/>
              </w:rPr>
            </w:pPr>
            <w:r>
              <w:rPr>
                <w:rFonts w:ascii="Arial" w:cs="Arial" w:eastAsia="Arial" w:hAnsi="Arial"/>
                <w:sz w:val="18"/>
                <w:szCs w:val="18"/>
                <w:i w:val="1"/>
                <w:iCs w:val="1"/>
                <w:color w:val="auto"/>
              </w:rPr>
              <w:t>targeting C5</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REGN7257</w:t>
            </w:r>
          </w:p>
        </w:tc>
        <w:tc>
          <w:tcPr>
            <w:tcW w:w="12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–Aplastic</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Antibody to IL2Rg</w:t>
            </w: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anemia</w:t>
            </w: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40" w:type="dxa"/>
            <w:vAlign w:val="bottom"/>
            <w:gridSpan w:val="2"/>
          </w:tcPr>
          <w:p>
            <w:pPr>
              <w:ind w:left="20"/>
              <w:spacing w:after="0" w:line="176" w:lineRule="exact"/>
              <w:rPr>
                <w:sz w:val="20"/>
                <w:szCs w:val="20"/>
                <w:color w:val="auto"/>
              </w:rPr>
            </w:pPr>
            <w:r>
              <w:rPr>
                <w:rFonts w:ascii="Arial" w:cs="Arial" w:eastAsia="Arial" w:hAnsi="Arial"/>
                <w:sz w:val="16"/>
                <w:szCs w:val="16"/>
                <w:b w:val="1"/>
                <w:bCs w:val="1"/>
                <w:color w:val="auto"/>
              </w:rPr>
              <w:t>NTLA-2001</w:t>
            </w:r>
            <w:r>
              <w:rPr>
                <w:rFonts w:ascii="Arial" w:cs="Arial" w:eastAsia="Arial" w:hAnsi="Arial"/>
                <w:sz w:val="20"/>
                <w:szCs w:val="20"/>
                <w:b w:val="1"/>
                <w:bCs w:val="1"/>
                <w:color w:val="auto"/>
                <w:vertAlign w:val="superscript"/>
              </w:rPr>
              <w:t>(o)</w:t>
            </w:r>
          </w:p>
        </w:tc>
        <w:tc>
          <w:tcPr>
            <w:tcW w:w="1260" w:type="dxa"/>
            <w:vAlign w:val="bottom"/>
            <w:gridSpan w:val="2"/>
          </w:tcPr>
          <w:p>
            <w:pPr>
              <w:spacing w:after="0" w:line="176" w:lineRule="exact"/>
              <w:rPr>
                <w:sz w:val="20"/>
                <w:szCs w:val="20"/>
                <w:color w:val="auto"/>
              </w:rPr>
            </w:pPr>
            <w:r>
              <w:rPr>
                <w:rFonts w:ascii="Arial" w:cs="Arial" w:eastAsia="Arial" w:hAnsi="Arial"/>
                <w:sz w:val="18"/>
                <w:szCs w:val="18"/>
                <w:color w:val="auto"/>
              </w:rPr>
              <w:t>–Hereditary</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4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TTR gene knockout</w:t>
            </w:r>
          </w:p>
        </w:tc>
        <w:tc>
          <w:tcPr>
            <w:tcW w:w="1260" w:type="dxa"/>
            <w:vAlign w:val="bottom"/>
            <w:gridSpan w:val="2"/>
          </w:tcPr>
          <w:p>
            <w:pPr>
              <w:spacing w:after="0" w:line="176" w:lineRule="exact"/>
              <w:rPr>
                <w:sz w:val="20"/>
                <w:szCs w:val="20"/>
                <w:color w:val="auto"/>
              </w:rPr>
            </w:pPr>
            <w:r>
              <w:rPr>
                <w:rFonts w:ascii="Arial" w:cs="Arial" w:eastAsia="Arial" w:hAnsi="Arial"/>
                <w:sz w:val="18"/>
                <w:szCs w:val="18"/>
                <w:color w:val="auto"/>
              </w:rPr>
              <w:t>transthyretin</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4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using CRISPR/Cas9</w:t>
            </w:r>
          </w:p>
        </w:tc>
        <w:tc>
          <w:tcPr>
            <w:tcW w:w="1260" w:type="dxa"/>
            <w:vAlign w:val="bottom"/>
            <w:gridSpan w:val="2"/>
          </w:tcPr>
          <w:p>
            <w:pPr>
              <w:spacing w:after="0" w:line="176" w:lineRule="exact"/>
              <w:rPr>
                <w:sz w:val="20"/>
                <w:szCs w:val="20"/>
                <w:color w:val="auto"/>
              </w:rPr>
            </w:pPr>
            <w:r>
              <w:rPr>
                <w:rFonts w:ascii="Arial" w:cs="Arial" w:eastAsia="Arial" w:hAnsi="Arial"/>
                <w:sz w:val="18"/>
                <w:szCs w:val="18"/>
                <w:color w:val="auto"/>
              </w:rPr>
              <w:t>amyloidosis</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spacing w:after="0" w:line="176" w:lineRule="exact"/>
              <w:rPr>
                <w:sz w:val="20"/>
                <w:szCs w:val="20"/>
                <w:color w:val="auto"/>
              </w:rPr>
            </w:pPr>
            <w:r>
              <w:rPr>
                <w:rFonts w:ascii="Arial" w:cs="Arial" w:eastAsia="Arial" w:hAnsi="Arial"/>
                <w:sz w:val="18"/>
                <w:szCs w:val="18"/>
                <w:color w:val="auto"/>
              </w:rPr>
              <w:t>with</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spacing w:after="0" w:line="176" w:lineRule="exact"/>
              <w:rPr>
                <w:sz w:val="20"/>
                <w:szCs w:val="20"/>
                <w:color w:val="auto"/>
              </w:rPr>
            </w:pPr>
            <w:r>
              <w:rPr>
                <w:rFonts w:ascii="Arial" w:cs="Arial" w:eastAsia="Arial" w:hAnsi="Arial"/>
                <w:sz w:val="18"/>
                <w:szCs w:val="18"/>
                <w:color w:val="auto"/>
              </w:rPr>
              <w:t>polyneuropathy</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("hATTR-PN")</w:t>
            </w: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1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740" w:type="dxa"/>
            <w:vAlign w:val="bottom"/>
            <w:shd w:val="clear" w:color="auto" w:fill="ACACAC"/>
          </w:tcPr>
          <w:p>
            <w:pPr>
              <w:spacing w:after="0"/>
              <w:rPr>
                <w:sz w:val="19"/>
                <w:szCs w:val="19"/>
                <w:color w:val="auto"/>
              </w:rPr>
            </w:pPr>
          </w:p>
        </w:tc>
        <w:tc>
          <w:tcPr>
            <w:tcW w:w="100" w:type="dxa"/>
            <w:vAlign w:val="bottom"/>
            <w:shd w:val="clear" w:color="auto" w:fill="ACACAC"/>
          </w:tcPr>
          <w:p>
            <w:pPr>
              <w:spacing w:after="0"/>
              <w:rPr>
                <w:sz w:val="19"/>
                <w:szCs w:val="19"/>
                <w:color w:val="auto"/>
              </w:rPr>
            </w:pPr>
          </w:p>
        </w:tc>
        <w:tc>
          <w:tcPr>
            <w:tcW w:w="118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46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700" w:type="dxa"/>
            <w:vAlign w:val="bottom"/>
            <w:gridSpan w:val="3"/>
            <w:shd w:val="clear" w:color="auto" w:fill="ACACAC"/>
          </w:tcPr>
          <w:p>
            <w:pPr>
              <w:ind w:left="300"/>
              <w:spacing w:after="0"/>
              <w:rPr>
                <w:sz w:val="20"/>
                <w:szCs w:val="20"/>
                <w:color w:val="auto"/>
              </w:rPr>
            </w:pPr>
            <w:r>
              <w:rPr>
                <w:rFonts w:ascii="Arial" w:cs="Arial" w:eastAsia="Arial" w:hAnsi="Arial"/>
                <w:sz w:val="18"/>
                <w:szCs w:val="18"/>
                <w:b w:val="1"/>
                <w:bCs w:val="1"/>
                <w:color w:val="auto"/>
                <w:w w:val="92"/>
              </w:rPr>
              <w:t>General Medicine</w:t>
            </w:r>
          </w:p>
        </w:tc>
        <w:tc>
          <w:tcPr>
            <w:tcW w:w="108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84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82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sectPr>
          <w:pgSz w:w="11900" w:h="16838" w:orient="portrait"/>
          <w:cols w:equalWidth="0" w:num="1">
            <w:col w:w="11240"/>
          </w:cols>
          <w:pgMar w:left="320" w:top="130" w:right="339" w:bottom="1440" w:gutter="0" w:footer="0" w:header="0"/>
        </w:sectPr>
      </w:pPr>
    </w:p>
    <w:tbl>
      <w:tblPr>
        <w:tblLayout w:type="fixed"/>
        <w:tblInd w:w="20" w:type="dxa"/>
        <w:tblCellMar>
          <w:top w:w="0" w:type="dxa"/>
          <w:left w:w="0" w:type="dxa"/>
          <w:bottom w:w="0" w:type="dxa"/>
          <w:right w:w="0" w:type="dxa"/>
        </w:tblCellMar>
      </w:tblPr>
      <w:tr>
        <w:trPr>
          <w:trHeight w:val="207"/>
        </w:trPr>
        <w:tc>
          <w:tcPr>
            <w:tcW w:w="1760" w:type="dxa"/>
            <w:vAlign w:val="bottom"/>
          </w:tcPr>
          <w:p>
            <w:pPr>
              <w:spacing w:after="0"/>
              <w:rPr>
                <w:sz w:val="20"/>
                <w:szCs w:val="20"/>
                <w:color w:val="auto"/>
              </w:rPr>
            </w:pPr>
            <w:r>
              <w:rPr>
                <w:rFonts w:ascii="Arial" w:cs="Arial" w:eastAsia="Arial" w:hAnsi="Arial"/>
                <w:sz w:val="18"/>
                <w:szCs w:val="18"/>
                <w:b w:val="1"/>
                <w:bCs w:val="1"/>
                <w:color w:val="auto"/>
              </w:rPr>
              <w:t>REGEN-COV</w:t>
            </w:r>
          </w:p>
        </w:tc>
        <w:tc>
          <w:tcPr>
            <w:tcW w:w="1160" w:type="dxa"/>
            <w:vAlign w:val="bottom"/>
          </w:tcPr>
          <w:p>
            <w:pPr>
              <w:ind w:left="60"/>
              <w:spacing w:after="0"/>
              <w:rPr>
                <w:sz w:val="20"/>
                <w:szCs w:val="20"/>
                <w:color w:val="auto"/>
              </w:rPr>
            </w:pPr>
            <w:r>
              <w:rPr>
                <w:rFonts w:ascii="Arial" w:cs="Arial" w:eastAsia="Arial" w:hAnsi="Arial"/>
                <w:sz w:val="18"/>
                <w:szCs w:val="18"/>
                <w:color w:val="auto"/>
              </w:rPr>
              <w:t>–COVID-19</w:t>
            </w:r>
          </w:p>
        </w:tc>
        <w:tc>
          <w:tcPr>
            <w:tcW w:w="1620" w:type="dxa"/>
            <w:vAlign w:val="bottom"/>
          </w:tcPr>
          <w:p>
            <w:pPr>
              <w:ind w:left="180"/>
              <w:spacing w:after="0"/>
              <w:rPr>
                <w:sz w:val="20"/>
                <w:szCs w:val="20"/>
                <w:color w:val="auto"/>
              </w:rPr>
            </w:pPr>
            <w:r>
              <w:rPr>
                <w:rFonts w:ascii="Arial" w:cs="Arial" w:eastAsia="Arial" w:hAnsi="Arial"/>
                <w:sz w:val="18"/>
                <w:szCs w:val="18"/>
                <w:color w:val="auto"/>
                <w:w w:val="99"/>
              </w:rPr>
              <w:t>–COVID-19 dose-</w:t>
            </w:r>
          </w:p>
        </w:tc>
        <w:tc>
          <w:tcPr>
            <w:tcW w:w="1560" w:type="dxa"/>
            <w:vAlign w:val="bottom"/>
          </w:tcPr>
          <w:p>
            <w:pPr>
              <w:ind w:left="100"/>
              <w:spacing w:after="0"/>
              <w:rPr>
                <w:sz w:val="20"/>
                <w:szCs w:val="20"/>
                <w:color w:val="auto"/>
              </w:rPr>
            </w:pPr>
            <w:r>
              <w:rPr>
                <w:rFonts w:ascii="Arial" w:cs="Arial" w:eastAsia="Arial" w:hAnsi="Arial"/>
                <w:sz w:val="18"/>
                <w:szCs w:val="18"/>
                <w:color w:val="auto"/>
              </w:rPr>
              <w:t>–COVID-19</w:t>
            </w:r>
          </w:p>
        </w:tc>
        <w:tc>
          <w:tcPr>
            <w:tcW w:w="1320" w:type="dxa"/>
            <w:vAlign w:val="bottom"/>
          </w:tcPr>
          <w:p>
            <w:pPr>
              <w:ind w:left="80"/>
              <w:spacing w:after="0"/>
              <w:rPr>
                <w:sz w:val="20"/>
                <w:szCs w:val="20"/>
                <w:color w:val="auto"/>
              </w:rPr>
            </w:pPr>
            <w:r>
              <w:rPr>
                <w:rFonts w:ascii="Arial" w:cs="Arial" w:eastAsia="Arial" w:hAnsi="Arial"/>
                <w:sz w:val="18"/>
                <w:szCs w:val="18"/>
                <w:color w:val="auto"/>
              </w:rPr>
              <w:t>–European</w:t>
            </w:r>
          </w:p>
        </w:tc>
        <w:tc>
          <w:tcPr>
            <w:tcW w:w="1800" w:type="dxa"/>
            <w:vAlign w:val="bottom"/>
          </w:tcPr>
          <w:p>
            <w:pPr>
              <w:ind w:left="80"/>
              <w:spacing w:after="0"/>
              <w:rPr>
                <w:sz w:val="20"/>
                <w:szCs w:val="20"/>
                <w:color w:val="auto"/>
              </w:rPr>
            </w:pPr>
            <w:r>
              <w:rPr>
                <w:rFonts w:ascii="Arial" w:cs="Arial" w:eastAsia="Arial" w:hAnsi="Arial"/>
                <w:sz w:val="18"/>
                <w:szCs w:val="18"/>
                <w:color w:val="auto"/>
                <w:w w:val="92"/>
              </w:rPr>
              <w:t>–Reported results from</w:t>
            </w:r>
          </w:p>
        </w:tc>
        <w:tc>
          <w:tcPr>
            <w:tcW w:w="0" w:type="dxa"/>
            <w:vAlign w:val="bottom"/>
          </w:tcPr>
          <w:p>
            <w:pPr>
              <w:spacing w:after="0"/>
              <w:rPr>
                <w:sz w:val="1"/>
                <w:szCs w:val="1"/>
                <w:color w:val="auto"/>
              </w:rPr>
            </w:pPr>
          </w:p>
        </w:tc>
      </w:tr>
      <w:tr>
        <w:trPr>
          <w:trHeight w:val="175"/>
        </w:trPr>
        <w:tc>
          <w:tcPr>
            <w:tcW w:w="1760" w:type="dxa"/>
            <w:vAlign w:val="bottom"/>
          </w:tcPr>
          <w:p>
            <w:pPr>
              <w:spacing w:after="0" w:line="176" w:lineRule="exact"/>
              <w:rPr>
                <w:sz w:val="20"/>
                <w:szCs w:val="20"/>
                <w:color w:val="auto"/>
              </w:rPr>
            </w:pPr>
            <w:r>
              <w:rPr>
                <w:rFonts w:ascii="Arial" w:cs="Arial" w:eastAsia="Arial" w:hAnsi="Arial"/>
                <w:sz w:val="18"/>
                <w:szCs w:val="18"/>
                <w:b w:val="1"/>
                <w:bCs w:val="1"/>
                <w:color w:val="auto"/>
              </w:rPr>
              <w:t>(casirivimab and</w:t>
            </w:r>
          </w:p>
        </w:tc>
        <w:tc>
          <w:tcPr>
            <w:tcW w:w="1160" w:type="dxa"/>
            <w:vAlign w:val="bottom"/>
          </w:tcPr>
          <w:p>
            <w:pPr>
              <w:ind w:left="60"/>
              <w:spacing w:after="0" w:line="176" w:lineRule="exact"/>
              <w:rPr>
                <w:sz w:val="20"/>
                <w:szCs w:val="20"/>
                <w:color w:val="auto"/>
              </w:rPr>
            </w:pPr>
            <w:r>
              <w:rPr>
                <w:rFonts w:ascii="Arial" w:cs="Arial" w:eastAsia="Arial" w:hAnsi="Arial"/>
                <w:sz w:val="18"/>
                <w:szCs w:val="18"/>
                <w:color w:val="auto"/>
              </w:rPr>
              <w:t>multi-dose</w:t>
            </w:r>
          </w:p>
        </w:tc>
        <w:tc>
          <w:tcPr>
            <w:tcW w:w="1620" w:type="dxa"/>
            <w:vAlign w:val="bottom"/>
          </w:tcPr>
          <w:p>
            <w:pPr>
              <w:ind w:left="180"/>
              <w:spacing w:after="0" w:line="176" w:lineRule="exact"/>
              <w:rPr>
                <w:sz w:val="20"/>
                <w:szCs w:val="20"/>
                <w:color w:val="auto"/>
              </w:rPr>
            </w:pPr>
            <w:r>
              <w:rPr>
                <w:rFonts w:ascii="Arial" w:cs="Arial" w:eastAsia="Arial" w:hAnsi="Arial"/>
                <w:sz w:val="18"/>
                <w:szCs w:val="18"/>
                <w:color w:val="auto"/>
              </w:rPr>
              <w:t>ranging virology</w:t>
            </w:r>
          </w:p>
        </w:tc>
        <w:tc>
          <w:tcPr>
            <w:tcW w:w="1560" w:type="dxa"/>
            <w:vAlign w:val="bottom"/>
          </w:tcPr>
          <w:p>
            <w:pPr>
              <w:ind w:left="100"/>
              <w:spacing w:after="0" w:line="176" w:lineRule="exact"/>
              <w:rPr>
                <w:sz w:val="20"/>
                <w:szCs w:val="20"/>
                <w:color w:val="auto"/>
              </w:rPr>
            </w:pPr>
            <w:r>
              <w:rPr>
                <w:rFonts w:ascii="Arial" w:cs="Arial" w:eastAsia="Arial" w:hAnsi="Arial"/>
                <w:sz w:val="18"/>
                <w:szCs w:val="18"/>
                <w:color w:val="auto"/>
              </w:rPr>
              <w:t>treatment in non-</w:t>
            </w:r>
          </w:p>
        </w:tc>
        <w:tc>
          <w:tcPr>
            <w:tcW w:w="1320" w:type="dxa"/>
            <w:vAlign w:val="bottom"/>
          </w:tcPr>
          <w:p>
            <w:pPr>
              <w:ind w:left="80"/>
              <w:spacing w:after="0" w:line="176" w:lineRule="exact"/>
              <w:rPr>
                <w:sz w:val="20"/>
                <w:szCs w:val="20"/>
                <w:color w:val="auto"/>
              </w:rPr>
            </w:pPr>
            <w:r>
              <w:rPr>
                <w:rFonts w:ascii="Arial" w:cs="Arial" w:eastAsia="Arial" w:hAnsi="Arial"/>
                <w:sz w:val="18"/>
                <w:szCs w:val="18"/>
                <w:color w:val="auto"/>
              </w:rPr>
              <w:t>Medicines</w:t>
            </w:r>
          </w:p>
        </w:tc>
        <w:tc>
          <w:tcPr>
            <w:tcW w:w="1800" w:type="dxa"/>
            <w:vAlign w:val="bottom"/>
          </w:tcPr>
          <w:p>
            <w:pPr>
              <w:ind w:left="80"/>
              <w:spacing w:after="0" w:line="176" w:lineRule="exact"/>
              <w:rPr>
                <w:sz w:val="20"/>
                <w:szCs w:val="20"/>
                <w:color w:val="auto"/>
              </w:rPr>
            </w:pPr>
            <w:r>
              <w:rPr>
                <w:rFonts w:ascii="Arial" w:cs="Arial" w:eastAsia="Arial" w:hAnsi="Arial"/>
                <w:sz w:val="18"/>
                <w:szCs w:val="18"/>
                <w:color w:val="auto"/>
              </w:rPr>
              <w:t>first 799 non-</w:t>
            </w:r>
          </w:p>
        </w:tc>
        <w:tc>
          <w:tcPr>
            <w:tcW w:w="0" w:type="dxa"/>
            <w:vAlign w:val="bottom"/>
          </w:tcPr>
          <w:p>
            <w:pPr>
              <w:spacing w:after="0"/>
              <w:rPr>
                <w:sz w:val="1"/>
                <w:szCs w:val="1"/>
                <w:color w:val="auto"/>
              </w:rPr>
            </w:pPr>
          </w:p>
        </w:tc>
      </w:tr>
      <w:tr>
        <w:trPr>
          <w:trHeight w:val="176"/>
        </w:trPr>
        <w:tc>
          <w:tcPr>
            <w:tcW w:w="1760" w:type="dxa"/>
            <w:vAlign w:val="bottom"/>
          </w:tcPr>
          <w:p>
            <w:pPr>
              <w:spacing w:after="0" w:line="176" w:lineRule="exact"/>
              <w:rPr>
                <w:sz w:val="20"/>
                <w:szCs w:val="20"/>
                <w:color w:val="auto"/>
              </w:rPr>
            </w:pPr>
            <w:r>
              <w:rPr>
                <w:rFonts w:ascii="Arial" w:cs="Arial" w:eastAsia="Arial" w:hAnsi="Arial"/>
                <w:sz w:val="16"/>
                <w:szCs w:val="16"/>
                <w:b w:val="1"/>
                <w:bCs w:val="1"/>
                <w:color w:val="auto"/>
              </w:rPr>
              <w:t>imdevimab)</w:t>
            </w:r>
            <w:r>
              <w:rPr>
                <w:rFonts w:ascii="Arial" w:cs="Arial" w:eastAsia="Arial" w:hAnsi="Arial"/>
                <w:sz w:val="20"/>
                <w:szCs w:val="20"/>
                <w:b w:val="1"/>
                <w:bCs w:val="1"/>
                <w:color w:val="auto"/>
                <w:vertAlign w:val="superscript"/>
              </w:rPr>
              <w:t>(g)(n)</w:t>
            </w:r>
          </w:p>
        </w:tc>
        <w:tc>
          <w:tcPr>
            <w:tcW w:w="1160" w:type="dxa"/>
            <w:vAlign w:val="bottom"/>
          </w:tcPr>
          <w:p>
            <w:pPr>
              <w:ind w:left="60"/>
              <w:spacing w:after="0" w:line="176" w:lineRule="exact"/>
              <w:rPr>
                <w:sz w:val="20"/>
                <w:szCs w:val="20"/>
                <w:color w:val="auto"/>
              </w:rPr>
            </w:pPr>
            <w:r>
              <w:rPr>
                <w:rFonts w:ascii="Arial" w:cs="Arial" w:eastAsia="Arial" w:hAnsi="Arial"/>
                <w:sz w:val="18"/>
                <w:szCs w:val="18"/>
                <w:color w:val="auto"/>
              </w:rPr>
              <w:t>safety study</w:t>
            </w:r>
          </w:p>
        </w:tc>
        <w:tc>
          <w:tcPr>
            <w:tcW w:w="1620" w:type="dxa"/>
            <w:vAlign w:val="bottom"/>
          </w:tcPr>
          <w:p>
            <w:pPr>
              <w:ind w:left="180"/>
              <w:spacing w:after="0" w:line="176" w:lineRule="exact"/>
              <w:rPr>
                <w:sz w:val="20"/>
                <w:szCs w:val="20"/>
                <w:color w:val="auto"/>
              </w:rPr>
            </w:pPr>
            <w:r>
              <w:rPr>
                <w:rFonts w:ascii="Arial" w:cs="Arial" w:eastAsia="Arial" w:hAnsi="Arial"/>
                <w:sz w:val="18"/>
                <w:szCs w:val="18"/>
                <w:color w:val="auto"/>
              </w:rPr>
              <w:t>study in non-</w:t>
            </w:r>
          </w:p>
        </w:tc>
        <w:tc>
          <w:tcPr>
            <w:tcW w:w="1560" w:type="dxa"/>
            <w:vAlign w:val="bottom"/>
          </w:tcPr>
          <w:p>
            <w:pPr>
              <w:ind w:left="100"/>
              <w:spacing w:after="0" w:line="176" w:lineRule="exact"/>
              <w:rPr>
                <w:sz w:val="20"/>
                <w:szCs w:val="20"/>
                <w:color w:val="auto"/>
              </w:rPr>
            </w:pPr>
            <w:r>
              <w:rPr>
                <w:rFonts w:ascii="Arial" w:cs="Arial" w:eastAsia="Arial" w:hAnsi="Arial"/>
                <w:sz w:val="18"/>
                <w:szCs w:val="18"/>
                <w:color w:val="auto"/>
              </w:rPr>
              <w:t>hospitalized</w:t>
            </w:r>
          </w:p>
        </w:tc>
        <w:tc>
          <w:tcPr>
            <w:tcW w:w="1320" w:type="dxa"/>
            <w:vAlign w:val="bottom"/>
          </w:tcPr>
          <w:p>
            <w:pPr>
              <w:ind w:left="80"/>
              <w:spacing w:after="0" w:line="176" w:lineRule="exact"/>
              <w:rPr>
                <w:sz w:val="20"/>
                <w:szCs w:val="20"/>
                <w:color w:val="auto"/>
              </w:rPr>
            </w:pPr>
            <w:r>
              <w:rPr>
                <w:rFonts w:ascii="Arial" w:cs="Arial" w:eastAsia="Arial" w:hAnsi="Arial"/>
                <w:sz w:val="18"/>
                <w:szCs w:val="18"/>
                <w:color w:val="auto"/>
              </w:rPr>
              <w:t>Agency</w:t>
            </w:r>
          </w:p>
        </w:tc>
        <w:tc>
          <w:tcPr>
            <w:tcW w:w="1800" w:type="dxa"/>
            <w:vAlign w:val="bottom"/>
          </w:tcPr>
          <w:p>
            <w:pPr>
              <w:ind w:left="80"/>
              <w:spacing w:after="0" w:line="176" w:lineRule="exact"/>
              <w:rPr>
                <w:sz w:val="20"/>
                <w:szCs w:val="20"/>
                <w:color w:val="auto"/>
              </w:rPr>
            </w:pPr>
            <w:r>
              <w:rPr>
                <w:rFonts w:ascii="Arial" w:cs="Arial" w:eastAsia="Arial" w:hAnsi="Arial"/>
                <w:sz w:val="18"/>
                <w:szCs w:val="18"/>
                <w:color w:val="auto"/>
                <w:w w:val="92"/>
              </w:rPr>
              <w:t>hospitalized COVID-19</w:t>
            </w:r>
          </w:p>
        </w:tc>
        <w:tc>
          <w:tcPr>
            <w:tcW w:w="0" w:type="dxa"/>
            <w:vAlign w:val="bottom"/>
          </w:tcPr>
          <w:p>
            <w:pPr>
              <w:spacing w:after="0"/>
              <w:rPr>
                <w:sz w:val="1"/>
                <w:szCs w:val="1"/>
                <w:color w:val="auto"/>
              </w:rPr>
            </w:pPr>
          </w:p>
        </w:tc>
      </w:tr>
      <w:tr>
        <w:trPr>
          <w:trHeight w:val="175"/>
        </w:trPr>
        <w:tc>
          <w:tcPr>
            <w:tcW w:w="1760" w:type="dxa"/>
            <w:vAlign w:val="bottom"/>
          </w:tcPr>
          <w:p>
            <w:pPr>
              <w:spacing w:after="0" w:line="176" w:lineRule="exact"/>
              <w:rPr>
                <w:sz w:val="20"/>
                <w:szCs w:val="20"/>
                <w:color w:val="auto"/>
              </w:rPr>
            </w:pPr>
            <w:r>
              <w:rPr>
                <w:rFonts w:ascii="Arial" w:cs="Arial" w:eastAsia="Arial" w:hAnsi="Arial"/>
                <w:sz w:val="18"/>
                <w:szCs w:val="18"/>
                <w:i w:val="1"/>
                <w:iCs w:val="1"/>
                <w:color w:val="auto"/>
                <w:w w:val="98"/>
              </w:rPr>
              <w:t>Multi-antibody therapy</w:t>
            </w:r>
          </w:p>
        </w:tc>
        <w:tc>
          <w:tcPr>
            <w:tcW w:w="1160" w:type="dxa"/>
            <w:vAlign w:val="bottom"/>
          </w:tcPr>
          <w:p>
            <w:pPr>
              <w:spacing w:after="0"/>
              <w:rPr>
                <w:sz w:val="15"/>
                <w:szCs w:val="15"/>
                <w:color w:val="auto"/>
              </w:rPr>
            </w:pPr>
          </w:p>
        </w:tc>
        <w:tc>
          <w:tcPr>
            <w:tcW w:w="1620" w:type="dxa"/>
            <w:vAlign w:val="bottom"/>
          </w:tcPr>
          <w:p>
            <w:pPr>
              <w:ind w:left="180"/>
              <w:spacing w:after="0" w:line="176" w:lineRule="exact"/>
              <w:rPr>
                <w:sz w:val="20"/>
                <w:szCs w:val="20"/>
                <w:color w:val="auto"/>
              </w:rPr>
            </w:pPr>
            <w:r>
              <w:rPr>
                <w:rFonts w:ascii="Arial" w:cs="Arial" w:eastAsia="Arial" w:hAnsi="Arial"/>
                <w:sz w:val="18"/>
                <w:szCs w:val="18"/>
                <w:color w:val="auto"/>
              </w:rPr>
              <w:t>hospitalized</w:t>
            </w:r>
          </w:p>
        </w:tc>
        <w:tc>
          <w:tcPr>
            <w:tcW w:w="1560" w:type="dxa"/>
            <w:vAlign w:val="bottom"/>
          </w:tcPr>
          <w:p>
            <w:pPr>
              <w:ind w:left="100"/>
              <w:spacing w:after="0" w:line="176" w:lineRule="exact"/>
              <w:rPr>
                <w:sz w:val="20"/>
                <w:szCs w:val="20"/>
                <w:color w:val="auto"/>
              </w:rPr>
            </w:pPr>
            <w:r>
              <w:rPr>
                <w:rFonts w:ascii="Arial" w:cs="Arial" w:eastAsia="Arial" w:hAnsi="Arial"/>
                <w:sz w:val="18"/>
                <w:szCs w:val="18"/>
                <w:color w:val="auto"/>
              </w:rPr>
              <w:t>patients</w:t>
            </w:r>
          </w:p>
        </w:tc>
        <w:tc>
          <w:tcPr>
            <w:tcW w:w="1320" w:type="dxa"/>
            <w:vAlign w:val="bottom"/>
          </w:tcPr>
          <w:p>
            <w:pPr>
              <w:ind w:left="80"/>
              <w:spacing w:after="0" w:line="176" w:lineRule="exact"/>
              <w:rPr>
                <w:sz w:val="20"/>
                <w:szCs w:val="20"/>
                <w:color w:val="auto"/>
              </w:rPr>
            </w:pPr>
            <w:r>
              <w:rPr>
                <w:rFonts w:ascii="Arial" w:cs="Arial" w:eastAsia="Arial" w:hAnsi="Arial"/>
                <w:sz w:val="18"/>
                <w:szCs w:val="18"/>
                <w:color w:val="auto"/>
              </w:rPr>
              <w:t>("EMA")</w:t>
            </w:r>
          </w:p>
        </w:tc>
        <w:tc>
          <w:tcPr>
            <w:tcW w:w="1800" w:type="dxa"/>
            <w:vAlign w:val="bottom"/>
          </w:tcPr>
          <w:p>
            <w:pPr>
              <w:ind w:left="80"/>
              <w:spacing w:after="0" w:line="176" w:lineRule="exact"/>
              <w:rPr>
                <w:sz w:val="20"/>
                <w:szCs w:val="20"/>
                <w:color w:val="auto"/>
              </w:rPr>
            </w:pPr>
            <w:r>
              <w:rPr>
                <w:rFonts w:ascii="Arial" w:cs="Arial" w:eastAsia="Arial" w:hAnsi="Arial"/>
                <w:sz w:val="18"/>
                <w:szCs w:val="18"/>
                <w:color w:val="auto"/>
              </w:rPr>
              <w:t>patients in Phase 2/3</w:t>
            </w:r>
          </w:p>
        </w:tc>
        <w:tc>
          <w:tcPr>
            <w:tcW w:w="0" w:type="dxa"/>
            <w:vAlign w:val="bottom"/>
          </w:tcPr>
          <w:p>
            <w:pPr>
              <w:spacing w:after="0"/>
              <w:rPr>
                <w:sz w:val="1"/>
                <w:szCs w:val="1"/>
                <w:color w:val="auto"/>
              </w:rPr>
            </w:pPr>
          </w:p>
        </w:tc>
      </w:tr>
      <w:tr>
        <w:trPr>
          <w:trHeight w:val="176"/>
        </w:trPr>
        <w:tc>
          <w:tcPr>
            <w:tcW w:w="1760" w:type="dxa"/>
            <w:vAlign w:val="bottom"/>
          </w:tcPr>
          <w:p>
            <w:pPr>
              <w:spacing w:after="0" w:line="176" w:lineRule="exact"/>
              <w:rPr>
                <w:sz w:val="20"/>
                <w:szCs w:val="20"/>
                <w:color w:val="auto"/>
              </w:rPr>
            </w:pPr>
            <w:r>
              <w:rPr>
                <w:rFonts w:ascii="Arial" w:cs="Arial" w:eastAsia="Arial" w:hAnsi="Arial"/>
                <w:sz w:val="18"/>
                <w:szCs w:val="18"/>
                <w:i w:val="1"/>
                <w:iCs w:val="1"/>
                <w:color w:val="auto"/>
              </w:rPr>
              <w:t>to SARS-CoV-2 virus</w:t>
            </w:r>
          </w:p>
        </w:tc>
        <w:tc>
          <w:tcPr>
            <w:tcW w:w="1160" w:type="dxa"/>
            <w:vAlign w:val="bottom"/>
          </w:tcPr>
          <w:p>
            <w:pPr>
              <w:spacing w:after="0"/>
              <w:rPr>
                <w:sz w:val="15"/>
                <w:szCs w:val="15"/>
                <w:color w:val="auto"/>
              </w:rPr>
            </w:pPr>
          </w:p>
        </w:tc>
        <w:tc>
          <w:tcPr>
            <w:tcW w:w="1620" w:type="dxa"/>
            <w:vAlign w:val="bottom"/>
          </w:tcPr>
          <w:p>
            <w:pPr>
              <w:ind w:left="180"/>
              <w:spacing w:after="0" w:line="176" w:lineRule="exact"/>
              <w:rPr>
                <w:sz w:val="20"/>
                <w:szCs w:val="20"/>
                <w:color w:val="auto"/>
              </w:rPr>
            </w:pPr>
            <w:r>
              <w:rPr>
                <w:rFonts w:ascii="Arial" w:cs="Arial" w:eastAsia="Arial" w:hAnsi="Arial"/>
                <w:sz w:val="18"/>
                <w:szCs w:val="18"/>
                <w:color w:val="auto"/>
              </w:rPr>
              <w:t>patients</w:t>
            </w:r>
          </w:p>
        </w:tc>
        <w:tc>
          <w:tcPr>
            <w:tcW w:w="1560" w:type="dxa"/>
            <w:vAlign w:val="bottom"/>
          </w:tcPr>
          <w:p>
            <w:pPr>
              <w:spacing w:after="0"/>
              <w:rPr>
                <w:sz w:val="15"/>
                <w:szCs w:val="15"/>
                <w:color w:val="auto"/>
              </w:rPr>
            </w:pPr>
          </w:p>
        </w:tc>
        <w:tc>
          <w:tcPr>
            <w:tcW w:w="1320" w:type="dxa"/>
            <w:vAlign w:val="bottom"/>
          </w:tcPr>
          <w:p>
            <w:pPr>
              <w:ind w:left="80"/>
              <w:spacing w:after="0" w:line="176" w:lineRule="exact"/>
              <w:rPr>
                <w:sz w:val="20"/>
                <w:szCs w:val="20"/>
                <w:color w:val="auto"/>
              </w:rPr>
            </w:pPr>
            <w:r>
              <w:rPr>
                <w:rFonts w:ascii="Arial" w:cs="Arial" w:eastAsia="Arial" w:hAnsi="Arial"/>
                <w:sz w:val="18"/>
                <w:szCs w:val="18"/>
                <w:color w:val="auto"/>
              </w:rPr>
              <w:t>Rolling Review</w:t>
            </w:r>
          </w:p>
        </w:tc>
        <w:tc>
          <w:tcPr>
            <w:tcW w:w="1800" w:type="dxa"/>
            <w:vAlign w:val="bottom"/>
          </w:tcPr>
          <w:p>
            <w:pPr>
              <w:ind w:left="80"/>
              <w:spacing w:after="0" w:line="176" w:lineRule="exact"/>
              <w:rPr>
                <w:sz w:val="20"/>
                <w:szCs w:val="20"/>
                <w:color w:val="auto"/>
              </w:rPr>
            </w:pPr>
            <w:r>
              <w:rPr>
                <w:rFonts w:ascii="Arial" w:cs="Arial" w:eastAsia="Arial" w:hAnsi="Arial"/>
                <w:sz w:val="18"/>
                <w:szCs w:val="18"/>
                <w:color w:val="auto"/>
              </w:rPr>
              <w:t>trial showing that trial</w:t>
            </w:r>
          </w:p>
        </w:tc>
        <w:tc>
          <w:tcPr>
            <w:tcW w:w="0" w:type="dxa"/>
            <w:vAlign w:val="bottom"/>
          </w:tcPr>
          <w:p>
            <w:pPr>
              <w:spacing w:after="0"/>
              <w:rPr>
                <w:sz w:val="1"/>
                <w:szCs w:val="1"/>
                <w:color w:val="auto"/>
              </w:rPr>
            </w:pPr>
          </w:p>
        </w:tc>
      </w:tr>
      <w:tr>
        <w:trPr>
          <w:trHeight w:val="175"/>
        </w:trPr>
        <w:tc>
          <w:tcPr>
            <w:tcW w:w="1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60" w:type="dxa"/>
            <w:vAlign w:val="bottom"/>
            <w:vMerge w:val="restart"/>
          </w:tcPr>
          <w:p>
            <w:pPr>
              <w:ind w:left="100"/>
              <w:spacing w:after="0"/>
              <w:rPr>
                <w:sz w:val="20"/>
                <w:szCs w:val="20"/>
                <w:color w:val="auto"/>
              </w:rPr>
            </w:pPr>
            <w:r>
              <w:rPr>
                <w:rFonts w:ascii="Arial" w:cs="Arial" w:eastAsia="Arial" w:hAnsi="Arial"/>
                <w:sz w:val="18"/>
                <w:szCs w:val="18"/>
                <w:color w:val="auto"/>
              </w:rPr>
              <w:t>–COVID-19</w:t>
            </w:r>
          </w:p>
        </w:tc>
        <w:tc>
          <w:tcPr>
            <w:tcW w:w="1320" w:type="dxa"/>
            <w:vAlign w:val="bottom"/>
          </w:tcPr>
          <w:p>
            <w:pPr>
              <w:ind w:left="80"/>
              <w:spacing w:after="0" w:line="176" w:lineRule="exact"/>
              <w:rPr>
                <w:sz w:val="20"/>
                <w:szCs w:val="20"/>
                <w:color w:val="auto"/>
              </w:rPr>
            </w:pPr>
            <w:r>
              <w:rPr>
                <w:rFonts w:ascii="Arial" w:cs="Arial" w:eastAsia="Arial" w:hAnsi="Arial"/>
                <w:sz w:val="18"/>
                <w:szCs w:val="18"/>
                <w:color w:val="auto"/>
              </w:rPr>
              <w:t>of casirivimab</w:t>
            </w:r>
          </w:p>
        </w:tc>
        <w:tc>
          <w:tcPr>
            <w:tcW w:w="1800" w:type="dxa"/>
            <w:vAlign w:val="bottom"/>
          </w:tcPr>
          <w:p>
            <w:pPr>
              <w:ind w:left="80"/>
              <w:spacing w:after="0" w:line="176" w:lineRule="exact"/>
              <w:rPr>
                <w:sz w:val="20"/>
                <w:szCs w:val="20"/>
                <w:color w:val="auto"/>
              </w:rPr>
            </w:pPr>
            <w:r>
              <w:rPr>
                <w:rFonts w:ascii="Arial" w:cs="Arial" w:eastAsia="Arial" w:hAnsi="Arial"/>
                <w:sz w:val="18"/>
                <w:szCs w:val="18"/>
                <w:color w:val="auto"/>
              </w:rPr>
              <w:t>met primary and key</w:t>
            </w:r>
          </w:p>
        </w:tc>
        <w:tc>
          <w:tcPr>
            <w:tcW w:w="0" w:type="dxa"/>
            <w:vAlign w:val="bottom"/>
          </w:tcPr>
          <w:p>
            <w:pPr>
              <w:spacing w:after="0"/>
              <w:rPr>
                <w:sz w:val="1"/>
                <w:szCs w:val="1"/>
                <w:color w:val="auto"/>
              </w:rPr>
            </w:pPr>
          </w:p>
        </w:tc>
      </w:tr>
      <w:tr>
        <w:trPr>
          <w:trHeight w:val="68"/>
        </w:trPr>
        <w:tc>
          <w:tcPr>
            <w:tcW w:w="17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1320" w:type="dxa"/>
            <w:vAlign w:val="bottom"/>
            <w:vMerge w:val="restart"/>
          </w:tcPr>
          <w:p>
            <w:pPr>
              <w:ind w:left="80"/>
              <w:spacing w:after="0" w:line="176" w:lineRule="exact"/>
              <w:rPr>
                <w:sz w:val="20"/>
                <w:szCs w:val="20"/>
                <w:color w:val="auto"/>
              </w:rPr>
            </w:pPr>
            <w:r>
              <w:rPr>
                <w:rFonts w:ascii="Arial" w:cs="Arial" w:eastAsia="Arial" w:hAnsi="Arial"/>
                <w:sz w:val="18"/>
                <w:szCs w:val="18"/>
                <w:color w:val="auto"/>
                <w:w w:val="99"/>
              </w:rPr>
              <w:t>and imdevimab</w:t>
            </w:r>
          </w:p>
        </w:tc>
        <w:tc>
          <w:tcPr>
            <w:tcW w:w="1800" w:type="dxa"/>
            <w:vAlign w:val="bottom"/>
            <w:vMerge w:val="restart"/>
          </w:tcPr>
          <w:p>
            <w:pPr>
              <w:ind w:left="80"/>
              <w:spacing w:after="0" w:line="176" w:lineRule="exact"/>
              <w:rPr>
                <w:sz w:val="20"/>
                <w:szCs w:val="20"/>
                <w:color w:val="auto"/>
              </w:rPr>
            </w:pPr>
            <w:r>
              <w:rPr>
                <w:rFonts w:ascii="Arial" w:cs="Arial" w:eastAsia="Arial" w:hAnsi="Arial"/>
                <w:sz w:val="18"/>
                <w:szCs w:val="18"/>
                <w:color w:val="auto"/>
              </w:rPr>
              <w:t>secondary endpoints</w:t>
            </w: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560" w:type="dxa"/>
            <w:vAlign w:val="bottom"/>
            <w:vMerge w:val="restart"/>
          </w:tcPr>
          <w:p>
            <w:pPr>
              <w:ind w:left="100"/>
              <w:spacing w:after="0" w:line="176" w:lineRule="exact"/>
              <w:rPr>
                <w:sz w:val="20"/>
                <w:szCs w:val="20"/>
                <w:color w:val="auto"/>
              </w:rPr>
            </w:pPr>
            <w:r>
              <w:rPr>
                <w:rFonts w:ascii="Arial" w:cs="Arial" w:eastAsia="Arial" w:hAnsi="Arial"/>
                <w:sz w:val="18"/>
                <w:szCs w:val="18"/>
                <w:color w:val="auto"/>
              </w:rPr>
              <w:t>treatment in</w:t>
            </w:r>
          </w:p>
        </w:tc>
        <w:tc>
          <w:tcPr>
            <w:tcW w:w="1320" w:type="dxa"/>
            <w:vAlign w:val="bottom"/>
            <w:vMerge w:val="continue"/>
          </w:tcPr>
          <w:p>
            <w:pPr>
              <w:spacing w:after="0"/>
              <w:rPr>
                <w:sz w:val="9"/>
                <w:szCs w:val="9"/>
                <w:color w:val="auto"/>
              </w:rPr>
            </w:pP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7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1320" w:type="dxa"/>
            <w:vAlign w:val="bottom"/>
            <w:vMerge w:val="restart"/>
          </w:tcPr>
          <w:p>
            <w:pPr>
              <w:ind w:left="80"/>
              <w:spacing w:after="0"/>
              <w:rPr>
                <w:sz w:val="20"/>
                <w:szCs w:val="20"/>
                <w:color w:val="auto"/>
              </w:rPr>
            </w:pPr>
            <w:r>
              <w:rPr>
                <w:rFonts w:ascii="Arial" w:cs="Arial" w:eastAsia="Arial" w:hAnsi="Arial"/>
                <w:sz w:val="18"/>
                <w:szCs w:val="18"/>
                <w:color w:val="auto"/>
              </w:rPr>
              <w:t>data</w:t>
            </w: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60" w:type="dxa"/>
            <w:vAlign w:val="bottom"/>
          </w:tcPr>
          <w:p>
            <w:pPr>
              <w:ind w:left="100"/>
              <w:spacing w:after="0" w:line="176" w:lineRule="exact"/>
              <w:rPr>
                <w:sz w:val="20"/>
                <w:szCs w:val="20"/>
                <w:color w:val="auto"/>
              </w:rPr>
            </w:pPr>
            <w:r>
              <w:rPr>
                <w:rFonts w:ascii="Arial" w:cs="Arial" w:eastAsia="Arial" w:hAnsi="Arial"/>
                <w:sz w:val="18"/>
                <w:szCs w:val="18"/>
                <w:color w:val="auto"/>
              </w:rPr>
              <w:t>hospitalized</w:t>
            </w:r>
          </w:p>
        </w:tc>
        <w:tc>
          <w:tcPr>
            <w:tcW w:w="1320" w:type="dxa"/>
            <w:vAlign w:val="bottom"/>
            <w:vMerge w:val="continue"/>
          </w:tcPr>
          <w:p>
            <w:pPr>
              <w:spacing w:after="0"/>
              <w:rPr>
                <w:sz w:val="15"/>
                <w:szCs w:val="15"/>
                <w:color w:val="auto"/>
              </w:rPr>
            </w:pPr>
          </w:p>
        </w:tc>
        <w:tc>
          <w:tcPr>
            <w:tcW w:w="1800" w:type="dxa"/>
            <w:vAlign w:val="bottom"/>
            <w:vMerge w:val="restart"/>
          </w:tcPr>
          <w:p>
            <w:pPr>
              <w:ind w:left="80"/>
              <w:spacing w:after="0"/>
              <w:rPr>
                <w:sz w:val="20"/>
                <w:szCs w:val="20"/>
                <w:color w:val="auto"/>
              </w:rPr>
            </w:pPr>
            <w:r>
              <w:rPr>
                <w:rFonts w:ascii="Arial" w:cs="Arial" w:eastAsia="Arial" w:hAnsi="Arial"/>
                <w:sz w:val="18"/>
                <w:szCs w:val="18"/>
                <w:color w:val="auto"/>
              </w:rPr>
              <w:t>–Received EUA from</w:t>
            </w: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560" w:type="dxa"/>
            <w:vAlign w:val="bottom"/>
            <w:vMerge w:val="restart"/>
          </w:tcPr>
          <w:p>
            <w:pPr>
              <w:ind w:left="100"/>
              <w:spacing w:after="0"/>
              <w:rPr>
                <w:sz w:val="20"/>
                <w:szCs w:val="20"/>
                <w:color w:val="auto"/>
              </w:rPr>
            </w:pPr>
            <w:r>
              <w:rPr>
                <w:rFonts w:ascii="Arial" w:cs="Arial" w:eastAsia="Arial" w:hAnsi="Arial"/>
                <w:sz w:val="18"/>
                <w:szCs w:val="18"/>
                <w:color w:val="auto"/>
              </w:rPr>
              <w:t>patients</w:t>
            </w:r>
          </w:p>
        </w:tc>
        <w:tc>
          <w:tcPr>
            <w:tcW w:w="132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7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1320" w:type="dxa"/>
            <w:vAlign w:val="bottom"/>
          </w:tcPr>
          <w:p>
            <w:pPr>
              <w:spacing w:after="0"/>
              <w:rPr>
                <w:sz w:val="10"/>
                <w:szCs w:val="10"/>
                <w:color w:val="auto"/>
              </w:rPr>
            </w:pPr>
          </w:p>
        </w:tc>
        <w:tc>
          <w:tcPr>
            <w:tcW w:w="1800" w:type="dxa"/>
            <w:vAlign w:val="bottom"/>
            <w:vMerge w:val="restart"/>
          </w:tcPr>
          <w:p>
            <w:pPr>
              <w:ind w:left="80"/>
              <w:spacing w:after="0" w:line="176" w:lineRule="exact"/>
              <w:rPr>
                <w:sz w:val="20"/>
                <w:szCs w:val="20"/>
                <w:color w:val="auto"/>
              </w:rPr>
            </w:pPr>
            <w:r>
              <w:rPr>
                <w:rFonts w:ascii="Arial" w:cs="Arial" w:eastAsia="Arial" w:hAnsi="Arial"/>
                <w:sz w:val="18"/>
                <w:szCs w:val="18"/>
                <w:color w:val="auto"/>
              </w:rPr>
              <w:t>FDA for mild to</w:t>
            </w:r>
          </w:p>
        </w:tc>
        <w:tc>
          <w:tcPr>
            <w:tcW w:w="0" w:type="dxa"/>
            <w:vAlign w:val="bottom"/>
          </w:tcPr>
          <w:p>
            <w:pPr>
              <w:spacing w:after="0"/>
              <w:rPr>
                <w:sz w:val="1"/>
                <w:szCs w:val="1"/>
                <w:color w:val="auto"/>
              </w:rPr>
            </w:pPr>
          </w:p>
        </w:tc>
      </w:tr>
      <w:tr>
        <w:trPr>
          <w:trHeight w:val="53"/>
        </w:trPr>
        <w:tc>
          <w:tcPr>
            <w:tcW w:w="17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60" w:type="dxa"/>
            <w:vAlign w:val="bottom"/>
            <w:vMerge w:val="restart"/>
          </w:tcPr>
          <w:p>
            <w:pPr>
              <w:ind w:left="100"/>
              <w:spacing w:after="0"/>
              <w:rPr>
                <w:sz w:val="20"/>
                <w:szCs w:val="20"/>
                <w:color w:val="auto"/>
              </w:rPr>
            </w:pPr>
            <w:r>
              <w:rPr>
                <w:rFonts w:ascii="Arial" w:cs="Arial" w:eastAsia="Arial" w:hAnsi="Arial"/>
                <w:sz w:val="18"/>
                <w:szCs w:val="18"/>
                <w:color w:val="auto"/>
              </w:rPr>
              <w:t>–COVID-19</w:t>
            </w:r>
          </w:p>
        </w:tc>
        <w:tc>
          <w:tcPr>
            <w:tcW w:w="1320" w:type="dxa"/>
            <w:vAlign w:val="bottom"/>
          </w:tcPr>
          <w:p>
            <w:pPr>
              <w:spacing w:after="0"/>
              <w:rPr>
                <w:sz w:val="15"/>
                <w:szCs w:val="15"/>
                <w:color w:val="auto"/>
              </w:rPr>
            </w:pPr>
          </w:p>
        </w:tc>
        <w:tc>
          <w:tcPr>
            <w:tcW w:w="1800" w:type="dxa"/>
            <w:vAlign w:val="bottom"/>
          </w:tcPr>
          <w:p>
            <w:pPr>
              <w:ind w:left="80"/>
              <w:spacing w:after="0" w:line="176" w:lineRule="exact"/>
              <w:rPr>
                <w:sz w:val="20"/>
                <w:szCs w:val="20"/>
                <w:color w:val="auto"/>
              </w:rPr>
            </w:pPr>
            <w:r>
              <w:rPr>
                <w:rFonts w:ascii="Arial" w:cs="Arial" w:eastAsia="Arial" w:hAnsi="Arial"/>
                <w:sz w:val="18"/>
                <w:szCs w:val="18"/>
                <w:color w:val="auto"/>
                <w:w w:val="92"/>
              </w:rPr>
              <w:t>moderate COVID-19 in</w:t>
            </w:r>
          </w:p>
        </w:tc>
        <w:tc>
          <w:tcPr>
            <w:tcW w:w="0" w:type="dxa"/>
            <w:vAlign w:val="bottom"/>
          </w:tcPr>
          <w:p>
            <w:pPr>
              <w:spacing w:after="0"/>
              <w:rPr>
                <w:sz w:val="1"/>
                <w:szCs w:val="1"/>
                <w:color w:val="auto"/>
              </w:rPr>
            </w:pPr>
          </w:p>
        </w:tc>
      </w:tr>
      <w:tr>
        <w:trPr>
          <w:trHeight w:val="175"/>
        </w:trPr>
        <w:tc>
          <w:tcPr>
            <w:tcW w:w="1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1800" w:type="dxa"/>
            <w:vAlign w:val="bottom"/>
          </w:tcPr>
          <w:p>
            <w:pPr>
              <w:ind w:left="80"/>
              <w:spacing w:after="0" w:line="176" w:lineRule="exact"/>
              <w:rPr>
                <w:sz w:val="20"/>
                <w:szCs w:val="20"/>
                <w:color w:val="auto"/>
              </w:rPr>
            </w:pPr>
            <w:r>
              <w:rPr>
                <w:rFonts w:ascii="Arial" w:cs="Arial" w:eastAsia="Arial" w:hAnsi="Arial"/>
                <w:sz w:val="18"/>
                <w:szCs w:val="18"/>
                <w:color w:val="auto"/>
              </w:rPr>
              <w:t>high risk non-</w:t>
            </w:r>
          </w:p>
        </w:tc>
        <w:tc>
          <w:tcPr>
            <w:tcW w:w="0" w:type="dxa"/>
            <w:vAlign w:val="bottom"/>
          </w:tcPr>
          <w:p>
            <w:pPr>
              <w:spacing w:after="0"/>
              <w:rPr>
                <w:sz w:val="1"/>
                <w:szCs w:val="1"/>
                <w:color w:val="auto"/>
              </w:rPr>
            </w:pPr>
          </w:p>
        </w:tc>
      </w:tr>
      <w:tr>
        <w:trPr>
          <w:trHeight w:val="175"/>
        </w:trPr>
        <w:tc>
          <w:tcPr>
            <w:tcW w:w="1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60" w:type="dxa"/>
            <w:vAlign w:val="bottom"/>
          </w:tcPr>
          <w:p>
            <w:pPr>
              <w:ind w:left="100"/>
              <w:spacing w:after="0" w:line="176" w:lineRule="exact"/>
              <w:rPr>
                <w:sz w:val="20"/>
                <w:szCs w:val="20"/>
                <w:color w:val="auto"/>
              </w:rPr>
            </w:pPr>
            <w:r>
              <w:rPr>
                <w:rFonts w:ascii="Arial" w:cs="Arial" w:eastAsia="Arial" w:hAnsi="Arial"/>
                <w:sz w:val="18"/>
                <w:szCs w:val="18"/>
                <w:color w:val="auto"/>
              </w:rPr>
              <w:t>treatment in</w:t>
            </w:r>
          </w:p>
        </w:tc>
        <w:tc>
          <w:tcPr>
            <w:tcW w:w="1320" w:type="dxa"/>
            <w:vAlign w:val="bottom"/>
          </w:tcPr>
          <w:p>
            <w:pPr>
              <w:spacing w:after="0"/>
              <w:rPr>
                <w:sz w:val="15"/>
                <w:szCs w:val="15"/>
                <w:color w:val="auto"/>
              </w:rPr>
            </w:pPr>
          </w:p>
        </w:tc>
        <w:tc>
          <w:tcPr>
            <w:tcW w:w="1800" w:type="dxa"/>
            <w:vAlign w:val="bottom"/>
          </w:tcPr>
          <w:p>
            <w:pPr>
              <w:ind w:left="80"/>
              <w:spacing w:after="0" w:line="176" w:lineRule="exact"/>
              <w:rPr>
                <w:sz w:val="20"/>
                <w:szCs w:val="20"/>
                <w:color w:val="auto"/>
              </w:rPr>
            </w:pPr>
            <w:r>
              <w:rPr>
                <w:rFonts w:ascii="Arial" w:cs="Arial" w:eastAsia="Arial" w:hAnsi="Arial"/>
                <w:sz w:val="18"/>
                <w:szCs w:val="18"/>
                <w:color w:val="auto"/>
              </w:rPr>
              <w:t>hospitalized patients</w:t>
            </w: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560" w:type="dxa"/>
            <w:vAlign w:val="bottom"/>
          </w:tcPr>
          <w:p>
            <w:pPr>
              <w:ind w:left="100"/>
              <w:spacing w:after="0" w:line="135" w:lineRule="exact"/>
              <w:rPr>
                <w:sz w:val="20"/>
                <w:szCs w:val="20"/>
                <w:color w:val="auto"/>
              </w:rPr>
            </w:pPr>
            <w:r>
              <w:rPr>
                <w:rFonts w:ascii="Arial" w:cs="Arial" w:eastAsia="Arial" w:hAnsi="Arial"/>
                <w:sz w:val="15"/>
                <w:szCs w:val="15"/>
                <w:color w:val="auto"/>
              </w:rPr>
              <w:t>hospitalized</w:t>
            </w:r>
          </w:p>
        </w:tc>
        <w:tc>
          <w:tcPr>
            <w:tcW w:w="13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60" w:type="dxa"/>
            <w:vAlign w:val="bottom"/>
          </w:tcPr>
          <w:p>
            <w:pPr>
              <w:ind w:left="100"/>
              <w:spacing w:after="0"/>
              <w:rPr>
                <w:sz w:val="20"/>
                <w:szCs w:val="20"/>
                <w:color w:val="auto"/>
              </w:rPr>
            </w:pPr>
            <w:r>
              <w:rPr>
                <w:rFonts w:ascii="Arial" w:cs="Arial" w:eastAsia="Arial" w:hAnsi="Arial"/>
                <w:sz w:val="18"/>
                <w:szCs w:val="18"/>
                <w:color w:val="auto"/>
                <w:w w:val="93"/>
              </w:rPr>
              <w:t>patients (UK-based</w:t>
            </w:r>
          </w:p>
        </w:tc>
        <w:tc>
          <w:tcPr>
            <w:tcW w:w="1320" w:type="dxa"/>
            <w:vAlign w:val="bottom"/>
          </w:tcPr>
          <w:p>
            <w:pPr>
              <w:spacing w:after="0"/>
              <w:rPr>
                <w:sz w:val="18"/>
                <w:szCs w:val="18"/>
                <w:color w:val="auto"/>
              </w:rPr>
            </w:pPr>
          </w:p>
        </w:tc>
        <w:tc>
          <w:tcPr>
            <w:tcW w:w="1800" w:type="dxa"/>
            <w:vAlign w:val="bottom"/>
          </w:tcPr>
          <w:p>
            <w:pPr>
              <w:ind w:left="80"/>
              <w:spacing w:after="0"/>
              <w:rPr>
                <w:sz w:val="20"/>
                <w:szCs w:val="20"/>
                <w:color w:val="auto"/>
              </w:rPr>
            </w:pPr>
            <w:r>
              <w:rPr>
                <w:rFonts w:ascii="Arial" w:cs="Arial" w:eastAsia="Arial" w:hAnsi="Arial"/>
                <w:sz w:val="18"/>
                <w:szCs w:val="18"/>
                <w:color w:val="auto"/>
              </w:rPr>
              <w:t>–Reported data from</w:t>
            </w:r>
          </w:p>
        </w:tc>
        <w:tc>
          <w:tcPr>
            <w:tcW w:w="0" w:type="dxa"/>
            <w:vAlign w:val="bottom"/>
          </w:tcPr>
          <w:p>
            <w:pPr>
              <w:spacing w:after="0"/>
              <w:rPr>
                <w:sz w:val="1"/>
                <w:szCs w:val="1"/>
                <w:color w:val="auto"/>
              </w:rPr>
            </w:pPr>
          </w:p>
        </w:tc>
      </w:tr>
      <w:tr>
        <w:trPr>
          <w:trHeight w:val="176"/>
        </w:trPr>
        <w:tc>
          <w:tcPr>
            <w:tcW w:w="1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60" w:type="dxa"/>
            <w:vAlign w:val="bottom"/>
          </w:tcPr>
          <w:p>
            <w:pPr>
              <w:ind w:left="100"/>
              <w:spacing w:after="0" w:line="176" w:lineRule="exact"/>
              <w:rPr>
                <w:sz w:val="20"/>
                <w:szCs w:val="20"/>
                <w:color w:val="auto"/>
              </w:rPr>
            </w:pPr>
            <w:r>
              <w:rPr>
                <w:rFonts w:ascii="Arial" w:cs="Arial" w:eastAsia="Arial" w:hAnsi="Arial"/>
                <w:sz w:val="18"/>
                <w:szCs w:val="18"/>
                <w:color w:val="auto"/>
              </w:rPr>
              <w:t>RECOVERY trial)</w:t>
            </w:r>
          </w:p>
        </w:tc>
        <w:tc>
          <w:tcPr>
            <w:tcW w:w="1320" w:type="dxa"/>
            <w:vAlign w:val="bottom"/>
          </w:tcPr>
          <w:p>
            <w:pPr>
              <w:spacing w:after="0"/>
              <w:rPr>
                <w:sz w:val="15"/>
                <w:szCs w:val="15"/>
                <w:color w:val="auto"/>
              </w:rPr>
            </w:pPr>
          </w:p>
        </w:tc>
        <w:tc>
          <w:tcPr>
            <w:tcW w:w="1800" w:type="dxa"/>
            <w:vAlign w:val="bottom"/>
          </w:tcPr>
          <w:p>
            <w:pPr>
              <w:ind w:left="80"/>
              <w:spacing w:after="0" w:line="176" w:lineRule="exact"/>
              <w:rPr>
                <w:sz w:val="20"/>
                <w:szCs w:val="20"/>
                <w:color w:val="auto"/>
              </w:rPr>
            </w:pPr>
            <w:r>
              <w:rPr>
                <w:rFonts w:ascii="Arial" w:cs="Arial" w:eastAsia="Arial" w:hAnsi="Arial"/>
                <w:sz w:val="18"/>
                <w:szCs w:val="18"/>
                <w:color w:val="auto"/>
              </w:rPr>
              <w:t>Phase 1/2/3 trial in</w:t>
            </w:r>
          </w:p>
        </w:tc>
        <w:tc>
          <w:tcPr>
            <w:tcW w:w="0" w:type="dxa"/>
            <w:vAlign w:val="bottom"/>
          </w:tcPr>
          <w:p>
            <w:pPr>
              <w:spacing w:after="0"/>
              <w:rPr>
                <w:sz w:val="1"/>
                <w:szCs w:val="1"/>
                <w:color w:val="auto"/>
              </w:rPr>
            </w:pPr>
          </w:p>
        </w:tc>
      </w:tr>
      <w:tr>
        <w:trPr>
          <w:trHeight w:val="175"/>
        </w:trPr>
        <w:tc>
          <w:tcPr>
            <w:tcW w:w="1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0" w:type="dxa"/>
            <w:vAlign w:val="bottom"/>
          </w:tcPr>
          <w:p>
            <w:pPr>
              <w:ind w:left="80"/>
              <w:spacing w:after="0" w:line="176" w:lineRule="exact"/>
              <w:rPr>
                <w:sz w:val="20"/>
                <w:szCs w:val="20"/>
                <w:color w:val="auto"/>
              </w:rPr>
            </w:pPr>
            <w:r>
              <w:rPr>
                <w:rFonts w:ascii="Arial" w:cs="Arial" w:eastAsia="Arial" w:hAnsi="Arial"/>
                <w:sz w:val="18"/>
                <w:szCs w:val="18"/>
                <w:color w:val="auto"/>
                <w:w w:val="92"/>
              </w:rPr>
              <w:t>hospitalized COVID-19</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560" w:type="dxa"/>
            <w:vAlign w:val="bottom"/>
          </w:tcPr>
          <w:p>
            <w:pPr>
              <w:ind w:left="100"/>
              <w:spacing w:after="0" w:line="202" w:lineRule="exact"/>
              <w:rPr>
                <w:sz w:val="20"/>
                <w:szCs w:val="20"/>
                <w:color w:val="auto"/>
              </w:rPr>
            </w:pPr>
            <w:r>
              <w:rPr>
                <w:rFonts w:ascii="Arial" w:cs="Arial" w:eastAsia="Arial" w:hAnsi="Arial"/>
                <w:sz w:val="18"/>
                <w:szCs w:val="18"/>
                <w:color w:val="auto"/>
              </w:rPr>
              <w:t>–COVID-19</w:t>
            </w:r>
          </w:p>
        </w:tc>
        <w:tc>
          <w:tcPr>
            <w:tcW w:w="1320" w:type="dxa"/>
            <w:vAlign w:val="bottom"/>
          </w:tcPr>
          <w:p>
            <w:pPr>
              <w:spacing w:after="0"/>
              <w:rPr>
                <w:sz w:val="17"/>
                <w:szCs w:val="17"/>
                <w:color w:val="auto"/>
              </w:rPr>
            </w:pPr>
          </w:p>
        </w:tc>
        <w:tc>
          <w:tcPr>
            <w:tcW w:w="1800" w:type="dxa"/>
            <w:vAlign w:val="bottom"/>
          </w:tcPr>
          <w:p>
            <w:pPr>
              <w:ind w:left="80"/>
              <w:spacing w:after="0" w:line="202" w:lineRule="exact"/>
              <w:rPr>
                <w:sz w:val="20"/>
                <w:szCs w:val="20"/>
                <w:color w:val="auto"/>
              </w:rPr>
            </w:pPr>
            <w:r>
              <w:rPr>
                <w:rFonts w:ascii="Arial" w:cs="Arial" w:eastAsia="Arial" w:hAnsi="Arial"/>
                <w:sz w:val="18"/>
                <w:szCs w:val="18"/>
                <w:color w:val="auto"/>
                <w:w w:val="96"/>
              </w:rPr>
              <w:t>patients requiring low-</w:t>
            </w:r>
          </w:p>
        </w:tc>
        <w:tc>
          <w:tcPr>
            <w:tcW w:w="0" w:type="dxa"/>
            <w:vAlign w:val="bottom"/>
          </w:tcPr>
          <w:p>
            <w:pPr>
              <w:spacing w:after="0"/>
              <w:rPr>
                <w:sz w:val="1"/>
                <w:szCs w:val="1"/>
                <w:color w:val="auto"/>
              </w:rPr>
            </w:pPr>
          </w:p>
        </w:tc>
      </w:tr>
      <w:tr>
        <w:trPr>
          <w:trHeight w:val="175"/>
        </w:trPr>
        <w:tc>
          <w:tcPr>
            <w:tcW w:w="1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60" w:type="dxa"/>
            <w:vAlign w:val="bottom"/>
          </w:tcPr>
          <w:p>
            <w:pPr>
              <w:ind w:left="100"/>
              <w:spacing w:after="0" w:line="176" w:lineRule="exact"/>
              <w:rPr>
                <w:sz w:val="20"/>
                <w:szCs w:val="20"/>
                <w:color w:val="auto"/>
              </w:rPr>
            </w:pPr>
            <w:r>
              <w:rPr>
                <w:rFonts w:ascii="Arial" w:cs="Arial" w:eastAsia="Arial" w:hAnsi="Arial"/>
                <w:sz w:val="16"/>
                <w:szCs w:val="16"/>
                <w:color w:val="auto"/>
              </w:rPr>
              <w:t>prevention</w:t>
            </w:r>
            <w:r>
              <w:rPr>
                <w:rFonts w:ascii="Arial" w:cs="Arial" w:eastAsia="Arial" w:hAnsi="Arial"/>
                <w:sz w:val="20"/>
                <w:szCs w:val="20"/>
                <w:color w:val="auto"/>
                <w:vertAlign w:val="superscript"/>
              </w:rPr>
              <w:t>(m)</w:t>
            </w:r>
          </w:p>
        </w:tc>
        <w:tc>
          <w:tcPr>
            <w:tcW w:w="1320" w:type="dxa"/>
            <w:vAlign w:val="bottom"/>
          </w:tcPr>
          <w:p>
            <w:pPr>
              <w:spacing w:after="0"/>
              <w:rPr>
                <w:sz w:val="15"/>
                <w:szCs w:val="15"/>
                <w:color w:val="auto"/>
              </w:rPr>
            </w:pPr>
          </w:p>
        </w:tc>
        <w:tc>
          <w:tcPr>
            <w:tcW w:w="1800" w:type="dxa"/>
            <w:vAlign w:val="bottom"/>
          </w:tcPr>
          <w:p>
            <w:pPr>
              <w:ind w:left="80"/>
              <w:spacing w:after="0" w:line="176" w:lineRule="exact"/>
              <w:rPr>
                <w:sz w:val="20"/>
                <w:szCs w:val="20"/>
                <w:color w:val="auto"/>
              </w:rPr>
            </w:pPr>
            <w:r>
              <w:rPr>
                <w:rFonts w:ascii="Arial" w:cs="Arial" w:eastAsia="Arial" w:hAnsi="Arial"/>
                <w:sz w:val="18"/>
                <w:szCs w:val="18"/>
                <w:color w:val="auto"/>
              </w:rPr>
              <w:t>flow oxygen and that</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0" w:type="dxa"/>
            <w:vAlign w:val="bottom"/>
          </w:tcPr>
          <w:p>
            <w:pPr>
              <w:ind w:left="80"/>
              <w:spacing w:after="0" w:line="149" w:lineRule="exact"/>
              <w:rPr>
                <w:sz w:val="20"/>
                <w:szCs w:val="20"/>
                <w:color w:val="auto"/>
              </w:rPr>
            </w:pPr>
            <w:r>
              <w:rPr>
                <w:rFonts w:ascii="Arial" w:cs="Arial" w:eastAsia="Arial" w:hAnsi="Arial"/>
                <w:sz w:val="17"/>
                <w:szCs w:val="17"/>
                <w:color w:val="auto"/>
              </w:rPr>
              <w:t>Phase 3 program will</w:t>
            </w:r>
          </w:p>
        </w:tc>
        <w:tc>
          <w:tcPr>
            <w:tcW w:w="0" w:type="dxa"/>
            <w:vAlign w:val="bottom"/>
          </w:tcPr>
          <w:p>
            <w:pPr>
              <w:spacing w:after="0"/>
              <w:rPr>
                <w:sz w:val="1"/>
                <w:szCs w:val="1"/>
                <w:color w:val="auto"/>
              </w:rPr>
            </w:pPr>
          </w:p>
        </w:tc>
      </w:tr>
      <w:tr>
        <w:trPr>
          <w:trHeight w:val="175"/>
        </w:trPr>
        <w:tc>
          <w:tcPr>
            <w:tcW w:w="1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0" w:type="dxa"/>
            <w:vAlign w:val="bottom"/>
          </w:tcPr>
          <w:p>
            <w:pPr>
              <w:ind w:left="80"/>
              <w:spacing w:after="0" w:line="176" w:lineRule="exact"/>
              <w:rPr>
                <w:sz w:val="20"/>
                <w:szCs w:val="20"/>
                <w:color w:val="auto"/>
              </w:rPr>
            </w:pPr>
            <w:r>
              <w:rPr>
                <w:rFonts w:ascii="Arial" w:cs="Arial" w:eastAsia="Arial" w:hAnsi="Arial"/>
                <w:sz w:val="18"/>
                <w:szCs w:val="18"/>
                <w:color w:val="auto"/>
              </w:rPr>
              <w:t>continue based on</w:t>
            </w: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0" w:type="dxa"/>
            <w:vAlign w:val="bottom"/>
          </w:tcPr>
          <w:p>
            <w:pPr>
              <w:ind w:left="80"/>
              <w:spacing w:after="0"/>
              <w:rPr>
                <w:sz w:val="20"/>
                <w:szCs w:val="20"/>
                <w:color w:val="auto"/>
              </w:rPr>
            </w:pPr>
            <w:r>
              <w:rPr>
                <w:rFonts w:ascii="Arial" w:cs="Arial" w:eastAsia="Arial" w:hAnsi="Arial"/>
                <w:sz w:val="18"/>
                <w:szCs w:val="18"/>
                <w:color w:val="auto"/>
                <w:w w:val="92"/>
              </w:rPr>
              <w:t>passing futility analysis</w:t>
            </w:r>
          </w:p>
        </w:tc>
        <w:tc>
          <w:tcPr>
            <w:tcW w:w="0" w:type="dxa"/>
            <w:vAlign w:val="bottom"/>
          </w:tcPr>
          <w:p>
            <w:pPr>
              <w:spacing w:after="0"/>
              <w:rPr>
                <w:sz w:val="1"/>
                <w:szCs w:val="1"/>
                <w:color w:val="auto"/>
              </w:rPr>
            </w:pPr>
          </w:p>
        </w:tc>
      </w:tr>
      <w:tr>
        <w:trPr>
          <w:trHeight w:val="296"/>
        </w:trPr>
        <w:tc>
          <w:tcPr>
            <w:tcW w:w="1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0" w:type="dxa"/>
            <w:vAlign w:val="bottom"/>
          </w:tcPr>
          <w:p>
            <w:pPr>
              <w:ind w:left="80"/>
              <w:spacing w:after="0"/>
              <w:rPr>
                <w:sz w:val="20"/>
                <w:szCs w:val="20"/>
                <w:color w:val="auto"/>
              </w:rPr>
            </w:pPr>
            <w:r>
              <w:rPr>
                <w:rFonts w:ascii="Arial" w:cs="Arial" w:eastAsia="Arial" w:hAnsi="Arial"/>
                <w:sz w:val="18"/>
                <w:szCs w:val="18"/>
                <w:color w:val="auto"/>
                <w:w w:val="96"/>
              </w:rPr>
              <w:t>–IDMC recommended</w:t>
            </w:r>
          </w:p>
        </w:tc>
        <w:tc>
          <w:tcPr>
            <w:tcW w:w="0" w:type="dxa"/>
            <w:vAlign w:val="bottom"/>
          </w:tcPr>
          <w:p>
            <w:pPr>
              <w:spacing w:after="0"/>
              <w:rPr>
                <w:sz w:val="1"/>
                <w:szCs w:val="1"/>
                <w:color w:val="auto"/>
              </w:rPr>
            </w:pPr>
          </w:p>
        </w:tc>
      </w:tr>
      <w:tr>
        <w:trPr>
          <w:trHeight w:val="175"/>
        </w:trPr>
        <w:tc>
          <w:tcPr>
            <w:tcW w:w="1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0" w:type="dxa"/>
            <w:vAlign w:val="bottom"/>
          </w:tcPr>
          <w:p>
            <w:pPr>
              <w:ind w:left="80"/>
              <w:spacing w:after="0" w:line="176" w:lineRule="exact"/>
              <w:rPr>
                <w:sz w:val="20"/>
                <w:szCs w:val="20"/>
                <w:color w:val="auto"/>
              </w:rPr>
            </w:pPr>
            <w:r>
              <w:rPr>
                <w:rFonts w:ascii="Arial" w:cs="Arial" w:eastAsia="Arial" w:hAnsi="Arial"/>
                <w:sz w:val="18"/>
                <w:szCs w:val="18"/>
                <w:color w:val="auto"/>
              </w:rPr>
              <w:t>further enrollment of</w:t>
            </w:r>
          </w:p>
        </w:tc>
        <w:tc>
          <w:tcPr>
            <w:tcW w:w="0" w:type="dxa"/>
            <w:vAlign w:val="bottom"/>
          </w:tcPr>
          <w:p>
            <w:pPr>
              <w:spacing w:after="0"/>
              <w:rPr>
                <w:sz w:val="1"/>
                <w:szCs w:val="1"/>
                <w:color w:val="auto"/>
              </w:rPr>
            </w:pPr>
          </w:p>
        </w:tc>
      </w:tr>
      <w:tr>
        <w:trPr>
          <w:trHeight w:val="175"/>
        </w:trPr>
        <w:tc>
          <w:tcPr>
            <w:tcW w:w="1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0" w:type="dxa"/>
            <w:vAlign w:val="bottom"/>
          </w:tcPr>
          <w:p>
            <w:pPr>
              <w:ind w:left="80"/>
              <w:spacing w:after="0" w:line="176" w:lineRule="exact"/>
              <w:rPr>
                <w:sz w:val="20"/>
                <w:szCs w:val="20"/>
                <w:color w:val="auto"/>
              </w:rPr>
            </w:pPr>
            <w:r>
              <w:rPr>
                <w:rFonts w:ascii="Arial" w:cs="Arial" w:eastAsia="Arial" w:hAnsi="Arial"/>
                <w:sz w:val="18"/>
                <w:szCs w:val="18"/>
                <w:color w:val="auto"/>
              </w:rPr>
              <w:t>hospitalized patients</w:t>
            </w:r>
          </w:p>
        </w:tc>
        <w:tc>
          <w:tcPr>
            <w:tcW w:w="0" w:type="dxa"/>
            <w:vAlign w:val="bottom"/>
          </w:tcPr>
          <w:p>
            <w:pPr>
              <w:spacing w:after="0"/>
              <w:rPr>
                <w:sz w:val="1"/>
                <w:szCs w:val="1"/>
                <w:color w:val="auto"/>
              </w:rPr>
            </w:pPr>
          </w:p>
        </w:tc>
      </w:tr>
      <w:tr>
        <w:trPr>
          <w:trHeight w:val="175"/>
        </w:trPr>
        <w:tc>
          <w:tcPr>
            <w:tcW w:w="1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0" w:type="dxa"/>
            <w:vAlign w:val="bottom"/>
          </w:tcPr>
          <w:p>
            <w:pPr>
              <w:ind w:left="80"/>
              <w:spacing w:after="0" w:line="176" w:lineRule="exact"/>
              <w:rPr>
                <w:sz w:val="20"/>
                <w:szCs w:val="20"/>
                <w:color w:val="auto"/>
              </w:rPr>
            </w:pPr>
            <w:r>
              <w:rPr>
                <w:rFonts w:ascii="Arial" w:cs="Arial" w:eastAsia="Arial" w:hAnsi="Arial"/>
                <w:sz w:val="18"/>
                <w:szCs w:val="18"/>
                <w:color w:val="auto"/>
              </w:rPr>
              <w:t>requiring high-flow</w:t>
            </w:r>
          </w:p>
        </w:tc>
        <w:tc>
          <w:tcPr>
            <w:tcW w:w="0" w:type="dxa"/>
            <w:vAlign w:val="bottom"/>
          </w:tcPr>
          <w:p>
            <w:pPr>
              <w:spacing w:after="0"/>
              <w:rPr>
                <w:sz w:val="1"/>
                <w:szCs w:val="1"/>
                <w:color w:val="auto"/>
              </w:rPr>
            </w:pPr>
          </w:p>
        </w:tc>
      </w:tr>
      <w:tr>
        <w:trPr>
          <w:trHeight w:val="176"/>
        </w:trPr>
        <w:tc>
          <w:tcPr>
            <w:tcW w:w="1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0" w:type="dxa"/>
            <w:vAlign w:val="bottom"/>
          </w:tcPr>
          <w:p>
            <w:pPr>
              <w:ind w:left="80"/>
              <w:spacing w:after="0" w:line="176" w:lineRule="exact"/>
              <w:rPr>
                <w:sz w:val="20"/>
                <w:szCs w:val="20"/>
                <w:color w:val="auto"/>
              </w:rPr>
            </w:pPr>
            <w:r>
              <w:rPr>
                <w:rFonts w:ascii="Arial" w:cs="Arial" w:eastAsia="Arial" w:hAnsi="Arial"/>
                <w:sz w:val="18"/>
                <w:szCs w:val="18"/>
                <w:color w:val="auto"/>
                <w:w w:val="97"/>
              </w:rPr>
              <w:t>oxygen or mechanical</w:t>
            </w:r>
          </w:p>
        </w:tc>
        <w:tc>
          <w:tcPr>
            <w:tcW w:w="0" w:type="dxa"/>
            <w:vAlign w:val="bottom"/>
          </w:tcPr>
          <w:p>
            <w:pPr>
              <w:spacing w:after="0"/>
              <w:rPr>
                <w:sz w:val="1"/>
                <w:szCs w:val="1"/>
                <w:color w:val="auto"/>
              </w:rPr>
            </w:pPr>
          </w:p>
        </w:tc>
      </w:tr>
      <w:tr>
        <w:trPr>
          <w:trHeight w:val="175"/>
        </w:trPr>
        <w:tc>
          <w:tcPr>
            <w:tcW w:w="1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0" w:type="dxa"/>
            <w:vAlign w:val="bottom"/>
          </w:tcPr>
          <w:p>
            <w:pPr>
              <w:ind w:left="80"/>
              <w:spacing w:after="0" w:line="176" w:lineRule="exact"/>
              <w:rPr>
                <w:sz w:val="20"/>
                <w:szCs w:val="20"/>
                <w:color w:val="auto"/>
              </w:rPr>
            </w:pPr>
            <w:r>
              <w:rPr>
                <w:rFonts w:ascii="Arial" w:cs="Arial" w:eastAsia="Arial" w:hAnsi="Arial"/>
                <w:sz w:val="18"/>
                <w:szCs w:val="18"/>
                <w:color w:val="auto"/>
                <w:w w:val="89"/>
              </w:rPr>
              <w:t>ventilation be placed on</w:t>
            </w: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0" w:type="dxa"/>
            <w:vAlign w:val="bottom"/>
          </w:tcPr>
          <w:p>
            <w:pPr>
              <w:ind w:left="80"/>
              <w:spacing w:after="0"/>
              <w:rPr>
                <w:sz w:val="20"/>
                <w:szCs w:val="20"/>
                <w:color w:val="auto"/>
              </w:rPr>
            </w:pPr>
            <w:r>
              <w:rPr>
                <w:rFonts w:ascii="Arial" w:cs="Arial" w:eastAsia="Arial" w:hAnsi="Arial"/>
                <w:sz w:val="18"/>
                <w:szCs w:val="18"/>
                <w:color w:val="auto"/>
              </w:rPr>
              <w:t>hold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-3377565</wp:posOffset>
            </wp:positionV>
            <wp:extent cx="7132320" cy="33775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3775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right="60"/>
        <w:spacing w:after="0" w:line="244" w:lineRule="auto"/>
        <w:rPr>
          <w:sz w:val="20"/>
          <w:szCs w:val="20"/>
          <w:color w:val="auto"/>
        </w:rPr>
      </w:pPr>
      <w:r>
        <w:rPr>
          <w:rFonts w:ascii="Arial" w:cs="Arial" w:eastAsia="Arial" w:hAnsi="Arial"/>
          <w:sz w:val="16"/>
          <w:szCs w:val="16"/>
          <w:color w:val="auto"/>
        </w:rPr>
        <w:t>–Report additional data from Phase 3 portion of COVID-19 study in non-hospitalized patients (first half 2021)</w:t>
      </w:r>
    </w:p>
    <w:p>
      <w:pPr>
        <w:spacing w:after="0" w:line="118"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color w:val="auto"/>
        </w:rPr>
        <w:t>–Report results for lower 1,200 mg dose from Phase 3 portion of COVID-19 study in non-hospitalized patients (first half 2021)</w:t>
      </w:r>
    </w:p>
    <w:p>
      <w:pPr>
        <w:spacing w:after="0" w:line="120" w:lineRule="exact"/>
        <w:rPr>
          <w:sz w:val="20"/>
          <w:szCs w:val="20"/>
          <w:color w:val="auto"/>
        </w:rPr>
      </w:pPr>
    </w:p>
    <w:p>
      <w:pPr>
        <w:ind w:right="100"/>
        <w:spacing w:after="0" w:line="228" w:lineRule="auto"/>
        <w:rPr>
          <w:sz w:val="20"/>
          <w:szCs w:val="20"/>
          <w:color w:val="auto"/>
        </w:rPr>
      </w:pPr>
      <w:r>
        <w:rPr>
          <w:rFonts w:ascii="Arial" w:cs="Arial" w:eastAsia="Arial" w:hAnsi="Arial"/>
          <w:sz w:val="17"/>
          <w:szCs w:val="17"/>
          <w:color w:val="auto"/>
        </w:rPr>
        <w:t>–Report additional data from Phase 3 portion of COVID-19 prevention study (second quarter 2021)</w:t>
      </w:r>
    </w:p>
    <w:p>
      <w:pPr>
        <w:spacing w:after="0" w:line="125" w:lineRule="exact"/>
        <w:rPr>
          <w:sz w:val="20"/>
          <w:szCs w:val="20"/>
          <w:color w:val="auto"/>
        </w:rPr>
      </w:pPr>
    </w:p>
    <w:p>
      <w:pPr>
        <w:ind w:right="320"/>
        <w:spacing w:after="0" w:line="244" w:lineRule="auto"/>
        <w:rPr>
          <w:sz w:val="20"/>
          <w:szCs w:val="20"/>
          <w:color w:val="auto"/>
        </w:rPr>
      </w:pPr>
      <w:r>
        <w:rPr>
          <w:rFonts w:ascii="Arial" w:cs="Arial" w:eastAsia="Arial" w:hAnsi="Arial"/>
          <w:sz w:val="16"/>
          <w:szCs w:val="16"/>
          <w:color w:val="auto"/>
        </w:rPr>
        <w:t>–Data to be reported from Phase 3 RECOVERY trial in hospitalized patients (first half 2021)</w:t>
      </w:r>
    </w:p>
    <w:p>
      <w:pPr>
        <w:spacing w:after="0" w:line="1250" w:lineRule="exact"/>
        <w:rPr>
          <w:sz w:val="20"/>
          <w:szCs w:val="20"/>
          <w:color w:val="auto"/>
        </w:rPr>
      </w:pPr>
    </w:p>
    <w:p>
      <w:pPr>
        <w:sectPr>
          <w:pgSz w:w="11900" w:h="16838" w:orient="portrait"/>
          <w:cols w:equalWidth="0" w:num="2">
            <w:col w:w="9240" w:space="200"/>
            <w:col w:w="180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20" w:type="dxa"/>
            <w:vAlign w:val="bottom"/>
            <w:gridSpan w:val="2"/>
          </w:tcPr>
          <w:p>
            <w:pPr>
              <w:ind w:left="200"/>
              <w:spacing w:after="0"/>
              <w:rPr>
                <w:sz w:val="20"/>
                <w:szCs w:val="20"/>
                <w:color w:val="auto"/>
              </w:rPr>
            </w:pPr>
            <w:r>
              <w:rPr>
                <w:rFonts w:ascii="Arial" w:cs="Arial" w:eastAsia="Arial" w:hAnsi="Arial"/>
                <w:sz w:val="18"/>
                <w:szCs w:val="18"/>
                <w:b w:val="1"/>
                <w:bCs w:val="1"/>
                <w:color w:val="auto"/>
              </w:rPr>
              <w:t>Clinical Program</w:t>
            </w:r>
          </w:p>
        </w:tc>
        <w:tc>
          <w:tcPr>
            <w:tcW w:w="114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Phase 1</w:t>
            </w:r>
          </w:p>
        </w:tc>
        <w:tc>
          <w:tcPr>
            <w:tcW w:w="164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Phase 2</w:t>
            </w:r>
          </w:p>
        </w:tc>
        <w:tc>
          <w:tcPr>
            <w:tcW w:w="1680" w:type="dxa"/>
            <w:vAlign w:val="bottom"/>
            <w:gridSpan w:val="2"/>
            <w:vMerge w:val="restart"/>
          </w:tcPr>
          <w:p>
            <w:pPr>
              <w:ind w:left="500"/>
              <w:spacing w:after="0"/>
              <w:rPr>
                <w:sz w:val="20"/>
                <w:szCs w:val="20"/>
                <w:color w:val="auto"/>
              </w:rPr>
            </w:pPr>
            <w:r>
              <w:rPr>
                <w:rFonts w:ascii="Arial" w:cs="Arial" w:eastAsia="Arial" w:hAnsi="Arial"/>
                <w:sz w:val="18"/>
                <w:szCs w:val="18"/>
                <w:b w:val="1"/>
                <w:bCs w:val="1"/>
                <w:color w:val="auto"/>
              </w:rPr>
              <w:t>Phase 3</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Regulatory</w:t>
            </w:r>
          </w:p>
        </w:tc>
        <w:tc>
          <w:tcPr>
            <w:tcW w:w="1900" w:type="dxa"/>
            <w:vAlign w:val="bottom"/>
            <w:gridSpan w:val="2"/>
          </w:tcPr>
          <w:p>
            <w:pPr>
              <w:ind w:left="360"/>
              <w:spacing w:after="0"/>
              <w:rPr>
                <w:sz w:val="20"/>
                <w:szCs w:val="20"/>
                <w:color w:val="auto"/>
              </w:rPr>
            </w:pPr>
            <w:r>
              <w:rPr>
                <w:rFonts w:ascii="Arial" w:cs="Arial" w:eastAsia="Arial" w:hAnsi="Arial"/>
                <w:sz w:val="18"/>
                <w:szCs w:val="18"/>
                <w:b w:val="1"/>
                <w:bCs w:val="1"/>
                <w:color w:val="auto"/>
              </w:rPr>
              <w:t>2020 and 2021</w:t>
            </w:r>
          </w:p>
        </w:tc>
        <w:tc>
          <w:tcPr>
            <w:tcW w:w="1780" w:type="dxa"/>
            <w:vAlign w:val="bottom"/>
          </w:tcPr>
          <w:p>
            <w:pPr>
              <w:ind w:left="240"/>
              <w:spacing w:after="0"/>
              <w:rPr>
                <w:sz w:val="20"/>
                <w:szCs w:val="20"/>
                <w:color w:val="auto"/>
              </w:rPr>
            </w:pPr>
            <w:r>
              <w:rPr>
                <w:rFonts w:ascii="Arial" w:cs="Arial" w:eastAsia="Arial" w:hAnsi="Arial"/>
                <w:sz w:val="18"/>
                <w:szCs w:val="18"/>
                <w:b w:val="1"/>
                <w:bCs w:val="1"/>
                <w:color w:val="auto"/>
              </w:rPr>
              <w:t>Select Upcoming</w:t>
            </w:r>
          </w:p>
        </w:tc>
        <w:tc>
          <w:tcPr>
            <w:tcW w:w="0" w:type="dxa"/>
            <w:vAlign w:val="bottom"/>
          </w:tcPr>
          <w:p>
            <w:pPr>
              <w:spacing w:after="0"/>
              <w:rPr>
                <w:sz w:val="1"/>
                <w:szCs w:val="1"/>
                <w:color w:val="auto"/>
              </w:rPr>
            </w:pPr>
          </w:p>
        </w:tc>
      </w:tr>
      <w:tr>
        <w:trPr>
          <w:trHeight w:val="229"/>
        </w:trPr>
        <w:tc>
          <w:tcPr>
            <w:tcW w:w="1820" w:type="dxa"/>
            <w:vAlign w:val="bottom"/>
            <w:gridSpan w:val="2"/>
          </w:tcPr>
          <w:p>
            <w:pPr>
              <w:ind w:left="440"/>
              <w:spacing w:after="0"/>
              <w:rPr>
                <w:sz w:val="20"/>
                <w:szCs w:val="20"/>
                <w:color w:val="auto"/>
              </w:rPr>
            </w:pPr>
            <w:r>
              <w:rPr>
                <w:rFonts w:ascii="Arial" w:cs="Arial" w:eastAsia="Arial" w:hAnsi="Arial"/>
                <w:sz w:val="18"/>
                <w:szCs w:val="18"/>
                <w:b w:val="1"/>
                <w:bCs w:val="1"/>
                <w:i w:val="1"/>
                <w:iCs w:val="1"/>
                <w:color w:val="auto"/>
              </w:rPr>
              <w:t>(continued)</w:t>
            </w:r>
          </w:p>
        </w:tc>
        <w:tc>
          <w:tcPr>
            <w:tcW w:w="1140" w:type="dxa"/>
            <w:vAlign w:val="bottom"/>
            <w:gridSpan w:val="2"/>
            <w:vMerge w:val="continue"/>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280" w:type="dxa"/>
            <w:vAlign w:val="bottom"/>
            <w:gridSpan w:val="2"/>
          </w:tcPr>
          <w:p>
            <w:pPr>
              <w:jc w:val="center"/>
              <w:ind w:right="80"/>
              <w:spacing w:after="0" w:line="230" w:lineRule="exact"/>
              <w:rPr>
                <w:sz w:val="20"/>
                <w:szCs w:val="20"/>
                <w:color w:val="auto"/>
              </w:rPr>
            </w:pPr>
            <w:r>
              <w:rPr>
                <w:rFonts w:ascii="Arial" w:cs="Arial" w:eastAsia="Arial" w:hAnsi="Arial"/>
                <w:sz w:val="18"/>
                <w:szCs w:val="18"/>
                <w:b w:val="1"/>
                <w:bCs w:val="1"/>
                <w:color w:val="auto"/>
                <w:w w:val="88"/>
              </w:rPr>
              <w:t>Review</w:t>
            </w:r>
            <w:r>
              <w:rPr>
                <w:rFonts w:ascii="Arial" w:cs="Arial" w:eastAsia="Arial" w:hAnsi="Arial"/>
                <w:sz w:val="23"/>
                <w:szCs w:val="23"/>
                <w:b w:val="1"/>
                <w:bCs w:val="1"/>
                <w:color w:val="auto"/>
                <w:w w:val="88"/>
                <w:vertAlign w:val="superscript"/>
              </w:rPr>
              <w:t>(i)</w:t>
            </w:r>
          </w:p>
        </w:tc>
        <w:tc>
          <w:tcPr>
            <w:tcW w:w="1900" w:type="dxa"/>
            <w:vAlign w:val="bottom"/>
            <w:gridSpan w:val="2"/>
          </w:tcPr>
          <w:p>
            <w:pPr>
              <w:ind w:left="360"/>
              <w:spacing w:after="0"/>
              <w:rPr>
                <w:sz w:val="20"/>
                <w:szCs w:val="20"/>
                <w:color w:val="auto"/>
              </w:rPr>
            </w:pPr>
            <w:r>
              <w:rPr>
                <w:rFonts w:ascii="Arial" w:cs="Arial" w:eastAsia="Arial" w:hAnsi="Arial"/>
                <w:sz w:val="18"/>
                <w:szCs w:val="18"/>
                <w:b w:val="1"/>
                <w:bCs w:val="1"/>
                <w:color w:val="auto"/>
              </w:rPr>
              <w:t>Events to Date</w:t>
            </w:r>
          </w:p>
        </w:tc>
        <w:tc>
          <w:tcPr>
            <w:tcW w:w="1780" w:type="dxa"/>
            <w:vAlign w:val="bottom"/>
          </w:tcPr>
          <w:p>
            <w:pPr>
              <w:ind w:left="400"/>
              <w:spacing w:after="0" w:line="230" w:lineRule="exact"/>
              <w:rPr>
                <w:sz w:val="20"/>
                <w:szCs w:val="20"/>
                <w:color w:val="auto"/>
              </w:rPr>
            </w:pPr>
            <w:r>
              <w:rPr>
                <w:rFonts w:ascii="Arial" w:cs="Arial" w:eastAsia="Arial" w:hAnsi="Arial"/>
                <w:sz w:val="18"/>
                <w:szCs w:val="18"/>
                <w:b w:val="1"/>
                <w:bCs w:val="1"/>
                <w:color w:val="auto"/>
              </w:rPr>
              <w:t>Milestones</w:t>
            </w:r>
            <w:r>
              <w:rPr>
                <w:rFonts w:ascii="Arial" w:cs="Arial" w:eastAsia="Arial" w:hAnsi="Arial"/>
                <w:sz w:val="23"/>
                <w:szCs w:val="23"/>
                <w:b w:val="1"/>
                <w:bCs w:val="1"/>
                <w:color w:val="auto"/>
                <w:vertAlign w:val="superscript"/>
              </w:rPr>
              <w:t>(k)</w:t>
            </w:r>
          </w:p>
        </w:tc>
        <w:tc>
          <w:tcPr>
            <w:tcW w:w="0" w:type="dxa"/>
            <w:vAlign w:val="bottom"/>
          </w:tcPr>
          <w:p>
            <w:pPr>
              <w:spacing w:after="0"/>
              <w:rPr>
                <w:sz w:val="1"/>
                <w:szCs w:val="1"/>
                <w:color w:val="auto"/>
              </w:rPr>
            </w:pPr>
          </w:p>
        </w:tc>
      </w:tr>
      <w:tr>
        <w:trPr>
          <w:trHeight w:val="169"/>
        </w:trPr>
        <w:tc>
          <w:tcPr>
            <w:tcW w:w="174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rPr>
              <w:t>REGEN-COV</w:t>
            </w: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–Reported positive</w:t>
            </w:r>
          </w:p>
        </w:tc>
        <w:tc>
          <w:tcPr>
            <w:tcW w:w="80" w:type="dxa"/>
            <w:vAlign w:val="bottom"/>
            <w:tcBorders>
              <w:top w:val="single" w:sz="8" w:color="CCEEFF"/>
            </w:tcBorders>
            <w:shd w:val="clear" w:color="auto" w:fill="CCEEFF"/>
          </w:tcPr>
          <w:p>
            <w:pPr>
              <w:spacing w:after="0"/>
              <w:rPr>
                <w:sz w:val="14"/>
                <w:szCs w:val="14"/>
                <w:color w:val="auto"/>
              </w:rPr>
            </w:pPr>
          </w:p>
        </w:tc>
        <w:tc>
          <w:tcPr>
            <w:tcW w:w="178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–Report data from</w:t>
            </w:r>
          </w:p>
        </w:tc>
        <w:tc>
          <w:tcPr>
            <w:tcW w:w="0" w:type="dxa"/>
            <w:vAlign w:val="bottom"/>
          </w:tcPr>
          <w:p>
            <w:pPr>
              <w:spacing w:after="0"/>
              <w:rPr>
                <w:sz w:val="1"/>
                <w:szCs w:val="1"/>
                <w:color w:val="auto"/>
              </w:rPr>
            </w:pPr>
          </w:p>
        </w:tc>
      </w:tr>
      <w:tr>
        <w:trPr>
          <w:trHeight w:val="175"/>
        </w:trPr>
        <w:tc>
          <w:tcPr>
            <w:tcW w:w="18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(casirivimab and</w:t>
            </w: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initial results from</w:t>
            </w:r>
          </w:p>
        </w:tc>
        <w:tc>
          <w:tcPr>
            <w:tcW w:w="17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Phase 2 dose-ranging</w:t>
            </w:r>
          </w:p>
        </w:tc>
        <w:tc>
          <w:tcPr>
            <w:tcW w:w="0" w:type="dxa"/>
            <w:vAlign w:val="bottom"/>
          </w:tcPr>
          <w:p>
            <w:pPr>
              <w:spacing w:after="0"/>
              <w:rPr>
                <w:sz w:val="1"/>
                <w:szCs w:val="1"/>
                <w:color w:val="auto"/>
              </w:rPr>
            </w:pPr>
          </w:p>
        </w:tc>
      </w:tr>
      <w:tr>
        <w:trPr>
          <w:trHeight w:val="176"/>
        </w:trPr>
        <w:tc>
          <w:tcPr>
            <w:tcW w:w="18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6"/>
                <w:szCs w:val="16"/>
                <w:b w:val="1"/>
                <w:bCs w:val="1"/>
                <w:color w:val="auto"/>
              </w:rPr>
              <w:t>imdevimab)</w:t>
            </w:r>
            <w:r>
              <w:rPr>
                <w:rFonts w:ascii="Arial" w:cs="Arial" w:eastAsia="Arial" w:hAnsi="Arial"/>
                <w:sz w:val="20"/>
                <w:szCs w:val="20"/>
                <w:b w:val="1"/>
                <w:bCs w:val="1"/>
                <w:color w:val="auto"/>
                <w:vertAlign w:val="superscript"/>
              </w:rPr>
              <w:t>(g)(n)</w:t>
            </w: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Phase 3 portion of</w:t>
            </w:r>
          </w:p>
        </w:tc>
        <w:tc>
          <w:tcPr>
            <w:tcW w:w="17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virology study in non-</w:t>
            </w:r>
          </w:p>
        </w:tc>
        <w:tc>
          <w:tcPr>
            <w:tcW w:w="0" w:type="dxa"/>
            <w:vAlign w:val="bottom"/>
          </w:tcPr>
          <w:p>
            <w:pPr>
              <w:spacing w:after="0"/>
              <w:rPr>
                <w:sz w:val="1"/>
                <w:szCs w:val="1"/>
                <w:color w:val="auto"/>
              </w:rPr>
            </w:pPr>
          </w:p>
        </w:tc>
      </w:tr>
      <w:tr>
        <w:trPr>
          <w:trHeight w:val="176"/>
        </w:trPr>
        <w:tc>
          <w:tcPr>
            <w:tcW w:w="18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(continued)</w:t>
            </w: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COVID-19 prevention</w:t>
            </w:r>
          </w:p>
        </w:tc>
        <w:tc>
          <w:tcPr>
            <w:tcW w:w="17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hospitalized patients</w:t>
            </w:r>
          </w:p>
        </w:tc>
        <w:tc>
          <w:tcPr>
            <w:tcW w:w="0" w:type="dxa"/>
            <w:vAlign w:val="bottom"/>
          </w:tcPr>
          <w:p>
            <w:pPr>
              <w:spacing w:after="0"/>
              <w:rPr>
                <w:sz w:val="1"/>
                <w:szCs w:val="1"/>
                <w:color w:val="auto"/>
              </w:rPr>
            </w:pPr>
          </w:p>
        </w:tc>
      </w:tr>
      <w:tr>
        <w:trPr>
          <w:trHeight w:val="230"/>
        </w:trPr>
        <w:tc>
          <w:tcPr>
            <w:tcW w:w="1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study</w:t>
            </w:r>
          </w:p>
        </w:tc>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(first half 2021)</w:t>
            </w:r>
          </w:p>
        </w:tc>
        <w:tc>
          <w:tcPr>
            <w:tcW w:w="0" w:type="dxa"/>
            <w:vAlign w:val="bottom"/>
          </w:tcPr>
          <w:p>
            <w:pPr>
              <w:spacing w:after="0"/>
              <w:rPr>
                <w:sz w:val="1"/>
                <w:szCs w:val="1"/>
                <w:color w:val="auto"/>
              </w:rPr>
            </w:pPr>
          </w:p>
        </w:tc>
      </w:tr>
      <w:tr>
        <w:trPr>
          <w:trHeight w:val="296"/>
        </w:trPr>
        <w:tc>
          <w:tcPr>
            <w:tcW w:w="1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9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–Papers published in</w:t>
            </w:r>
          </w:p>
        </w:tc>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–Submit BLA and</w:t>
            </w:r>
          </w:p>
        </w:tc>
        <w:tc>
          <w:tcPr>
            <w:tcW w:w="0" w:type="dxa"/>
            <w:vAlign w:val="bottom"/>
          </w:tcPr>
          <w:p>
            <w:pPr>
              <w:spacing w:after="0"/>
              <w:rPr>
                <w:sz w:val="1"/>
                <w:szCs w:val="1"/>
                <w:color w:val="auto"/>
              </w:rPr>
            </w:pPr>
          </w:p>
        </w:tc>
      </w:tr>
      <w:tr>
        <w:trPr>
          <w:trHeight w:val="68"/>
        </w:trPr>
        <w:tc>
          <w:tcPr>
            <w:tcW w:w="17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900" w:type="dxa"/>
            <w:vAlign w:val="bottom"/>
            <w:gridSpan w:val="2"/>
            <w:vMerge w:val="continue"/>
            <w:shd w:val="clear" w:color="auto" w:fill="CCEEFF"/>
          </w:tcPr>
          <w:p>
            <w:pPr>
              <w:spacing w:after="0"/>
              <w:rPr>
                <w:sz w:val="5"/>
                <w:szCs w:val="5"/>
                <w:color w:val="auto"/>
              </w:rPr>
            </w:pPr>
          </w:p>
        </w:tc>
        <w:tc>
          <w:tcPr>
            <w:tcW w:w="1780" w:type="dxa"/>
            <w:vAlign w:val="bottom"/>
            <w:vMerge w:val="restart"/>
            <w:shd w:val="clear" w:color="auto" w:fill="CCEEFF"/>
          </w:tcPr>
          <w:p>
            <w:pPr>
              <w:ind w:left="20"/>
              <w:spacing w:after="0" w:line="176" w:lineRule="exact"/>
              <w:rPr>
                <w:sz w:val="20"/>
                <w:szCs w:val="20"/>
                <w:color w:val="auto"/>
              </w:rPr>
            </w:pPr>
            <w:r>
              <w:rPr>
                <w:rFonts w:ascii="Arial" w:cs="Arial" w:eastAsia="Arial" w:hAnsi="Arial"/>
                <w:sz w:val="18"/>
                <w:szCs w:val="18"/>
                <w:color w:val="auto"/>
              </w:rPr>
              <w:t>MAA for COVID-19</w:t>
            </w:r>
          </w:p>
        </w:tc>
        <w:tc>
          <w:tcPr>
            <w:tcW w:w="0" w:type="dxa"/>
            <w:vAlign w:val="bottom"/>
          </w:tcPr>
          <w:p>
            <w:pPr>
              <w:spacing w:after="0"/>
              <w:rPr>
                <w:sz w:val="1"/>
                <w:szCs w:val="1"/>
                <w:color w:val="auto"/>
              </w:rPr>
            </w:pPr>
          </w:p>
        </w:tc>
      </w:tr>
      <w:tr>
        <w:trPr>
          <w:trHeight w:val="108"/>
        </w:trPr>
        <w:tc>
          <w:tcPr>
            <w:tcW w:w="1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900" w:type="dxa"/>
            <w:vAlign w:val="bottom"/>
            <w:gridSpan w:val="2"/>
            <w:vMerge w:val="restart"/>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 xml:space="preserve">Science </w:t>
            </w:r>
            <w:r>
              <w:rPr>
                <w:rFonts w:ascii="Arial" w:cs="Arial" w:eastAsia="Arial" w:hAnsi="Arial"/>
                <w:sz w:val="18"/>
                <w:szCs w:val="18"/>
                <w:color w:val="auto"/>
              </w:rPr>
              <w:t>and</w:t>
            </w:r>
            <w:r>
              <w:rPr>
                <w:rFonts w:ascii="Arial" w:cs="Arial" w:eastAsia="Arial" w:hAnsi="Arial"/>
                <w:sz w:val="18"/>
                <w:szCs w:val="18"/>
                <w:i w:val="1"/>
                <w:iCs w:val="1"/>
                <w:color w:val="auto"/>
              </w:rPr>
              <w:t xml:space="preserve"> New</w:t>
            </w:r>
          </w:p>
        </w:tc>
        <w:tc>
          <w:tcPr>
            <w:tcW w:w="17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7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900" w:type="dxa"/>
            <w:vAlign w:val="bottom"/>
            <w:gridSpan w:val="2"/>
            <w:vMerge w:val="continue"/>
            <w:shd w:val="clear" w:color="auto" w:fill="CCEEFF"/>
          </w:tcPr>
          <w:p>
            <w:pPr>
              <w:spacing w:after="0"/>
              <w:rPr>
                <w:sz w:val="5"/>
                <w:szCs w:val="5"/>
                <w:color w:val="auto"/>
              </w:rPr>
            </w:pPr>
          </w:p>
        </w:tc>
        <w:tc>
          <w:tcPr>
            <w:tcW w:w="17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(mid-2021)</w:t>
            </w:r>
          </w:p>
        </w:tc>
        <w:tc>
          <w:tcPr>
            <w:tcW w:w="0" w:type="dxa"/>
            <w:vAlign w:val="bottom"/>
          </w:tcPr>
          <w:p>
            <w:pPr>
              <w:spacing w:after="0"/>
              <w:rPr>
                <w:sz w:val="1"/>
                <w:szCs w:val="1"/>
                <w:color w:val="auto"/>
              </w:rPr>
            </w:pPr>
          </w:p>
        </w:tc>
      </w:tr>
      <w:tr>
        <w:trPr>
          <w:trHeight w:val="176"/>
        </w:trPr>
        <w:tc>
          <w:tcPr>
            <w:tcW w:w="1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England Journal of</w:t>
            </w:r>
          </w:p>
        </w:tc>
        <w:tc>
          <w:tcPr>
            <w:tcW w:w="17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 xml:space="preserve">Medicine </w:t>
            </w:r>
            <w:r>
              <w:rPr>
                <w:rFonts w:ascii="Arial" w:cs="Arial" w:eastAsia="Arial" w:hAnsi="Arial"/>
                <w:sz w:val="18"/>
                <w:szCs w:val="18"/>
                <w:color w:val="auto"/>
              </w:rPr>
              <w:t>("NEJM")</w:t>
            </w: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describing REGEN-</w:t>
            </w: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COV and initial trial</w:t>
            </w: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results</w:t>
            </w: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30" w:right="339" w:bottom="1440" w:gutter="0" w:footer="0" w:header="0"/>
        </w:sectPr>
      </w:pPr>
    </w:p>
    <w:tbl>
      <w:tblPr>
        <w:tblLayout w:type="fixed"/>
        <w:tblInd w:w="20" w:type="dxa"/>
        <w:tblCellMar>
          <w:top w:w="0" w:type="dxa"/>
          <w:left w:w="0" w:type="dxa"/>
          <w:bottom w:w="0" w:type="dxa"/>
          <w:right w:w="0" w:type="dxa"/>
        </w:tblCellMar>
      </w:tblPr>
      <w:tr>
        <w:trPr>
          <w:trHeight w:val="175"/>
        </w:trPr>
        <w:tc>
          <w:tcPr>
            <w:tcW w:w="3000" w:type="dxa"/>
            <w:vAlign w:val="bottom"/>
          </w:tcPr>
          <w:p>
            <w:pPr>
              <w:spacing w:after="0" w:line="176" w:lineRule="exact"/>
              <w:rPr>
                <w:sz w:val="20"/>
                <w:szCs w:val="20"/>
                <w:color w:val="auto"/>
              </w:rPr>
            </w:pPr>
            <w:r>
              <w:rPr>
                <w:rFonts w:ascii="Arial" w:cs="Arial" w:eastAsia="Arial" w:hAnsi="Arial"/>
                <w:sz w:val="18"/>
                <w:szCs w:val="18"/>
                <w:b w:val="1"/>
                <w:bCs w:val="1"/>
                <w:color w:val="auto"/>
              </w:rPr>
              <w:t>Praluent</w:t>
            </w:r>
          </w:p>
        </w:tc>
        <w:tc>
          <w:tcPr>
            <w:tcW w:w="3200" w:type="dxa"/>
            <w:vAlign w:val="bottom"/>
          </w:tcPr>
          <w:p>
            <w:pPr>
              <w:ind w:left="1600"/>
              <w:spacing w:after="0" w:line="176" w:lineRule="exact"/>
              <w:rPr>
                <w:sz w:val="20"/>
                <w:szCs w:val="20"/>
                <w:color w:val="auto"/>
              </w:rPr>
            </w:pPr>
            <w:r>
              <w:rPr>
                <w:rFonts w:ascii="Arial" w:cs="Arial" w:eastAsia="Arial" w:hAnsi="Arial"/>
                <w:sz w:val="18"/>
                <w:szCs w:val="18"/>
                <w:color w:val="auto"/>
              </w:rPr>
              <w:t>–Homozygous</w:t>
            </w:r>
          </w:p>
        </w:tc>
        <w:tc>
          <w:tcPr>
            <w:tcW w:w="1180" w:type="dxa"/>
            <w:vAlign w:val="bottom"/>
          </w:tcPr>
          <w:p>
            <w:pPr>
              <w:ind w:left="80"/>
              <w:spacing w:after="0" w:line="176" w:lineRule="exact"/>
              <w:rPr>
                <w:sz w:val="20"/>
                <w:szCs w:val="20"/>
                <w:color w:val="auto"/>
              </w:rPr>
            </w:pPr>
            <w:r>
              <w:rPr>
                <w:rFonts w:ascii="Arial" w:cs="Arial" w:eastAsia="Arial" w:hAnsi="Arial"/>
                <w:sz w:val="18"/>
                <w:szCs w:val="18"/>
                <w:color w:val="auto"/>
              </w:rPr>
              <w:t>–HoFH in</w:t>
            </w:r>
          </w:p>
        </w:tc>
        <w:tc>
          <w:tcPr>
            <w:tcW w:w="1840" w:type="dxa"/>
            <w:vAlign w:val="bottom"/>
          </w:tcPr>
          <w:p>
            <w:pPr>
              <w:ind w:left="180"/>
              <w:spacing w:after="0" w:line="176" w:lineRule="exact"/>
              <w:rPr>
                <w:sz w:val="20"/>
                <w:szCs w:val="20"/>
                <w:color w:val="auto"/>
              </w:rPr>
            </w:pPr>
            <w:r>
              <w:rPr>
                <w:rFonts w:ascii="Arial" w:cs="Arial" w:eastAsia="Arial" w:hAnsi="Arial"/>
                <w:sz w:val="18"/>
                <w:szCs w:val="18"/>
                <w:color w:val="auto"/>
                <w:w w:val="89"/>
              </w:rPr>
              <w:t>–Reported results from</w:t>
            </w:r>
          </w:p>
        </w:tc>
      </w:tr>
      <w:tr>
        <w:trPr>
          <w:trHeight w:val="176"/>
        </w:trPr>
        <w:tc>
          <w:tcPr>
            <w:tcW w:w="3000" w:type="dxa"/>
            <w:vAlign w:val="bottom"/>
          </w:tcPr>
          <w:p>
            <w:pPr>
              <w:spacing w:after="0" w:line="176" w:lineRule="exact"/>
              <w:rPr>
                <w:sz w:val="20"/>
                <w:szCs w:val="20"/>
                <w:color w:val="auto"/>
              </w:rPr>
            </w:pPr>
            <w:r>
              <w:rPr>
                <w:rFonts w:ascii="Arial" w:cs="Arial" w:eastAsia="Arial" w:hAnsi="Arial"/>
                <w:sz w:val="16"/>
                <w:szCs w:val="16"/>
                <w:b w:val="1"/>
                <w:bCs w:val="1"/>
                <w:color w:val="auto"/>
              </w:rPr>
              <w:t>(alirocumab)</w:t>
            </w:r>
            <w:r>
              <w:rPr>
                <w:rFonts w:ascii="Arial" w:cs="Arial" w:eastAsia="Arial" w:hAnsi="Arial"/>
                <w:sz w:val="20"/>
                <w:szCs w:val="20"/>
                <w:b w:val="1"/>
                <w:bCs w:val="1"/>
                <w:color w:val="auto"/>
                <w:vertAlign w:val="superscript"/>
              </w:rPr>
              <w:t>(j)</w:t>
            </w:r>
          </w:p>
        </w:tc>
        <w:tc>
          <w:tcPr>
            <w:tcW w:w="3200" w:type="dxa"/>
            <w:vAlign w:val="bottom"/>
          </w:tcPr>
          <w:p>
            <w:pPr>
              <w:ind w:left="1600"/>
              <w:spacing w:after="0" w:line="176" w:lineRule="exact"/>
              <w:rPr>
                <w:sz w:val="20"/>
                <w:szCs w:val="20"/>
                <w:color w:val="auto"/>
              </w:rPr>
            </w:pPr>
            <w:r>
              <w:rPr>
                <w:rFonts w:ascii="Arial" w:cs="Arial" w:eastAsia="Arial" w:hAnsi="Arial"/>
                <w:sz w:val="18"/>
                <w:szCs w:val="18"/>
                <w:color w:val="auto"/>
              </w:rPr>
              <w:t>familial</w:t>
            </w:r>
          </w:p>
        </w:tc>
        <w:tc>
          <w:tcPr>
            <w:tcW w:w="1180" w:type="dxa"/>
            <w:vAlign w:val="bottom"/>
          </w:tcPr>
          <w:p>
            <w:pPr>
              <w:ind w:left="80"/>
              <w:spacing w:after="0" w:line="176" w:lineRule="exact"/>
              <w:rPr>
                <w:sz w:val="20"/>
                <w:szCs w:val="20"/>
                <w:color w:val="auto"/>
              </w:rPr>
            </w:pPr>
            <w:r>
              <w:rPr>
                <w:rFonts w:ascii="Arial" w:cs="Arial" w:eastAsia="Arial" w:hAnsi="Arial"/>
                <w:sz w:val="18"/>
                <w:szCs w:val="18"/>
                <w:color w:val="auto"/>
              </w:rPr>
              <w:t>adults (U.S.)</w:t>
            </w:r>
          </w:p>
        </w:tc>
        <w:tc>
          <w:tcPr>
            <w:tcW w:w="1840" w:type="dxa"/>
            <w:vAlign w:val="bottom"/>
          </w:tcPr>
          <w:p>
            <w:pPr>
              <w:ind w:left="180"/>
              <w:spacing w:after="0" w:line="176" w:lineRule="exact"/>
              <w:rPr>
                <w:sz w:val="20"/>
                <w:szCs w:val="20"/>
                <w:color w:val="auto"/>
              </w:rPr>
            </w:pPr>
            <w:r>
              <w:rPr>
                <w:rFonts w:ascii="Arial" w:cs="Arial" w:eastAsia="Arial" w:hAnsi="Arial"/>
                <w:sz w:val="18"/>
                <w:szCs w:val="18"/>
                <w:color w:val="auto"/>
                <w:w w:val="92"/>
              </w:rPr>
              <w:t>Phase 3 study in adult</w:t>
            </w:r>
          </w:p>
        </w:tc>
      </w:tr>
      <w:tr>
        <w:trPr>
          <w:trHeight w:val="175"/>
        </w:trPr>
        <w:tc>
          <w:tcPr>
            <w:tcW w:w="3000" w:type="dxa"/>
            <w:vAlign w:val="bottom"/>
          </w:tcPr>
          <w:p>
            <w:pPr>
              <w:spacing w:after="0" w:line="176" w:lineRule="exact"/>
              <w:rPr>
                <w:sz w:val="20"/>
                <w:szCs w:val="20"/>
                <w:color w:val="auto"/>
              </w:rPr>
            </w:pPr>
            <w:r>
              <w:rPr>
                <w:rFonts w:ascii="Arial" w:cs="Arial" w:eastAsia="Arial" w:hAnsi="Arial"/>
                <w:sz w:val="18"/>
                <w:szCs w:val="18"/>
                <w:i w:val="1"/>
                <w:iCs w:val="1"/>
                <w:color w:val="auto"/>
              </w:rPr>
              <w:t>Antibody to PCSK9</w:t>
            </w:r>
          </w:p>
        </w:tc>
        <w:tc>
          <w:tcPr>
            <w:tcW w:w="3200" w:type="dxa"/>
            <w:vAlign w:val="bottom"/>
          </w:tcPr>
          <w:p>
            <w:pPr>
              <w:ind w:left="1600"/>
              <w:spacing w:after="0" w:line="176" w:lineRule="exact"/>
              <w:rPr>
                <w:sz w:val="20"/>
                <w:szCs w:val="20"/>
                <w:color w:val="auto"/>
              </w:rPr>
            </w:pPr>
            <w:r>
              <w:rPr>
                <w:rFonts w:ascii="Arial" w:cs="Arial" w:eastAsia="Arial" w:hAnsi="Arial"/>
                <w:sz w:val="18"/>
                <w:szCs w:val="18"/>
                <w:color w:val="auto"/>
                <w:w w:val="92"/>
              </w:rPr>
              <w:t>hypercholesterolemia</w:t>
            </w:r>
          </w:p>
        </w:tc>
        <w:tc>
          <w:tcPr>
            <w:tcW w:w="1180" w:type="dxa"/>
            <w:vAlign w:val="bottom"/>
          </w:tcPr>
          <w:p>
            <w:pPr>
              <w:spacing w:after="0"/>
              <w:rPr>
                <w:sz w:val="15"/>
                <w:szCs w:val="15"/>
                <w:color w:val="auto"/>
              </w:rPr>
            </w:pPr>
          </w:p>
        </w:tc>
        <w:tc>
          <w:tcPr>
            <w:tcW w:w="1840" w:type="dxa"/>
            <w:vAlign w:val="bottom"/>
          </w:tcPr>
          <w:p>
            <w:pPr>
              <w:ind w:left="180"/>
              <w:spacing w:after="0" w:line="176" w:lineRule="exact"/>
              <w:rPr>
                <w:sz w:val="20"/>
                <w:szCs w:val="20"/>
                <w:color w:val="auto"/>
              </w:rPr>
            </w:pPr>
            <w:r>
              <w:rPr>
                <w:rFonts w:ascii="Arial" w:cs="Arial" w:eastAsia="Arial" w:hAnsi="Arial"/>
                <w:sz w:val="18"/>
                <w:szCs w:val="18"/>
                <w:color w:val="auto"/>
              </w:rPr>
              <w:t>patients with HoFH</w:t>
            </w:r>
          </w:p>
        </w:tc>
      </w:tr>
      <w:tr>
        <w:trPr>
          <w:trHeight w:val="176"/>
        </w:trPr>
        <w:tc>
          <w:tcPr>
            <w:tcW w:w="3000" w:type="dxa"/>
            <w:vAlign w:val="bottom"/>
          </w:tcPr>
          <w:p>
            <w:pPr>
              <w:spacing w:after="0"/>
              <w:rPr>
                <w:sz w:val="15"/>
                <w:szCs w:val="15"/>
                <w:color w:val="auto"/>
              </w:rPr>
            </w:pPr>
          </w:p>
        </w:tc>
        <w:tc>
          <w:tcPr>
            <w:tcW w:w="3200" w:type="dxa"/>
            <w:vAlign w:val="bottom"/>
          </w:tcPr>
          <w:p>
            <w:pPr>
              <w:ind w:left="1600"/>
              <w:spacing w:after="0" w:line="176" w:lineRule="exact"/>
              <w:rPr>
                <w:sz w:val="20"/>
                <w:szCs w:val="20"/>
                <w:color w:val="auto"/>
              </w:rPr>
            </w:pPr>
            <w:r>
              <w:rPr>
                <w:rFonts w:ascii="Arial" w:cs="Arial" w:eastAsia="Arial" w:hAnsi="Arial"/>
                <w:sz w:val="16"/>
                <w:szCs w:val="16"/>
                <w:color w:val="auto"/>
              </w:rPr>
              <w:t>("HoFH")</w:t>
            </w:r>
            <w:r>
              <w:rPr>
                <w:rFonts w:ascii="Arial" w:cs="Arial" w:eastAsia="Arial" w:hAnsi="Arial"/>
                <w:sz w:val="20"/>
                <w:szCs w:val="20"/>
                <w:color w:val="auto"/>
                <w:vertAlign w:val="superscript"/>
              </w:rPr>
              <w:t>(c)</w:t>
            </w:r>
            <w:r>
              <w:rPr>
                <w:rFonts w:ascii="Arial" w:cs="Arial" w:eastAsia="Arial" w:hAnsi="Arial"/>
                <w:sz w:val="16"/>
                <w:szCs w:val="16"/>
                <w:color w:val="auto"/>
              </w:rPr>
              <w:t xml:space="preserve"> in</w:t>
            </w:r>
          </w:p>
        </w:tc>
        <w:tc>
          <w:tcPr>
            <w:tcW w:w="118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230"/>
        </w:trPr>
        <w:tc>
          <w:tcPr>
            <w:tcW w:w="3000" w:type="dxa"/>
            <w:vAlign w:val="bottom"/>
          </w:tcPr>
          <w:p>
            <w:pPr>
              <w:spacing w:after="0"/>
              <w:rPr>
                <w:sz w:val="20"/>
                <w:szCs w:val="20"/>
                <w:color w:val="auto"/>
              </w:rPr>
            </w:pPr>
          </w:p>
        </w:tc>
        <w:tc>
          <w:tcPr>
            <w:tcW w:w="3200" w:type="dxa"/>
            <w:vAlign w:val="bottom"/>
          </w:tcPr>
          <w:p>
            <w:pPr>
              <w:ind w:left="1600"/>
              <w:spacing w:after="0"/>
              <w:rPr>
                <w:sz w:val="20"/>
                <w:szCs w:val="20"/>
                <w:color w:val="auto"/>
              </w:rPr>
            </w:pPr>
            <w:r>
              <w:rPr>
                <w:rFonts w:ascii="Arial" w:cs="Arial" w:eastAsia="Arial" w:hAnsi="Arial"/>
                <w:sz w:val="18"/>
                <w:szCs w:val="18"/>
                <w:color w:val="auto"/>
              </w:rPr>
              <w:t>pediatrics</w:t>
            </w:r>
          </w:p>
        </w:tc>
        <w:tc>
          <w:tcPr>
            <w:tcW w:w="11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18"/>
        </w:trPr>
        <w:tc>
          <w:tcPr>
            <w:tcW w:w="3000" w:type="dxa"/>
            <w:vAlign w:val="bottom"/>
          </w:tcPr>
          <w:p>
            <w:pPr>
              <w:spacing w:after="0"/>
              <w:rPr>
                <w:sz w:val="24"/>
                <w:szCs w:val="24"/>
                <w:color w:val="auto"/>
              </w:rPr>
            </w:pPr>
          </w:p>
        </w:tc>
        <w:tc>
          <w:tcPr>
            <w:tcW w:w="3200" w:type="dxa"/>
            <w:vAlign w:val="bottom"/>
          </w:tcPr>
          <w:p>
            <w:pPr>
              <w:ind w:left="1600"/>
              <w:spacing w:after="0"/>
              <w:rPr>
                <w:sz w:val="20"/>
                <w:szCs w:val="20"/>
                <w:color w:val="auto"/>
              </w:rPr>
            </w:pPr>
            <w:r>
              <w:rPr>
                <w:rFonts w:ascii="Arial" w:cs="Arial" w:eastAsia="Arial" w:hAnsi="Arial"/>
                <w:sz w:val="18"/>
                <w:szCs w:val="18"/>
                <w:color w:val="auto"/>
                <w:w w:val="99"/>
              </w:rPr>
              <w:t>–HeFH in pediatrics</w:t>
            </w:r>
          </w:p>
        </w:tc>
        <w:tc>
          <w:tcPr>
            <w:tcW w:w="118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ind w:right="200"/>
        <w:spacing w:after="0" w:line="248" w:lineRule="auto"/>
        <w:rPr>
          <w:sz w:val="20"/>
          <w:szCs w:val="20"/>
          <w:color w:val="auto"/>
        </w:rPr>
      </w:pPr>
      <w:r>
        <w:rPr>
          <w:rFonts w:ascii="Arial" w:cs="Arial" w:eastAsia="Arial" w:hAnsi="Arial"/>
          <w:sz w:val="16"/>
          <w:szCs w:val="16"/>
          <w:color w:val="auto"/>
        </w:rPr>
        <w:t>–FDA decision on sBLA for HoFH in adults (target action date of April 4, 2021)</w:t>
      </w:r>
    </w:p>
    <w:p>
      <w:pPr>
        <w:spacing w:after="0" w:line="116"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–Report interim results from Phase 3 study for HeFH in pediatrics (first half 2021)</w:t>
      </w:r>
    </w:p>
    <w:p>
      <w:pPr>
        <w:spacing w:after="0" w:line="1" w:lineRule="exact"/>
        <w:rPr>
          <w:sz w:val="20"/>
          <w:szCs w:val="20"/>
          <w:color w:val="auto"/>
        </w:rPr>
      </w:pPr>
    </w:p>
    <w:p>
      <w:pPr>
        <w:sectPr>
          <w:pgSz w:w="11900" w:h="16838" w:orient="portrait"/>
          <w:cols w:equalWidth="0" w:num="2">
            <w:col w:w="9240" w:space="240"/>
            <w:col w:w="1760"/>
          </w:cols>
          <w:pgMar w:left="320" w:top="130" w:right="33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2940" w:type="dxa"/>
            <w:vAlign w:val="bottom"/>
            <w:shd w:val="clear" w:color="auto" w:fill="CCEEFF"/>
          </w:tcPr>
          <w:p>
            <w:pPr>
              <w:ind w:left="20"/>
              <w:spacing w:after="0" w:line="172" w:lineRule="exact"/>
              <w:rPr>
                <w:sz w:val="20"/>
                <w:szCs w:val="20"/>
                <w:color w:val="auto"/>
              </w:rPr>
            </w:pPr>
            <w:r>
              <w:rPr>
                <w:rFonts w:ascii="Arial" w:cs="Arial" w:eastAsia="Arial" w:hAnsi="Arial"/>
                <w:sz w:val="15"/>
                <w:szCs w:val="15"/>
                <w:b w:val="1"/>
                <w:bCs w:val="1"/>
                <w:color w:val="auto"/>
              </w:rPr>
              <w:t>Fasinumab</w:t>
            </w:r>
            <w:r>
              <w:rPr>
                <w:rFonts w:ascii="Arial" w:cs="Arial" w:eastAsia="Arial" w:hAnsi="Arial"/>
                <w:sz w:val="19"/>
                <w:szCs w:val="19"/>
                <w:b w:val="1"/>
                <w:bCs w:val="1"/>
                <w:color w:val="auto"/>
                <w:vertAlign w:val="superscript"/>
              </w:rPr>
              <w:t>(l)(f)</w:t>
            </w:r>
          </w:p>
        </w:tc>
        <w:tc>
          <w:tcPr>
            <w:tcW w:w="3880" w:type="dxa"/>
            <w:vAlign w:val="bottom"/>
            <w:shd w:val="clear" w:color="auto" w:fill="CCEEFF"/>
          </w:tcPr>
          <w:p>
            <w:pPr>
              <w:ind w:left="1680"/>
              <w:spacing w:after="0" w:line="172" w:lineRule="exact"/>
              <w:rPr>
                <w:sz w:val="20"/>
                <w:szCs w:val="20"/>
                <w:color w:val="auto"/>
              </w:rPr>
            </w:pPr>
            <w:r>
              <w:rPr>
                <w:rFonts w:ascii="Arial" w:cs="Arial" w:eastAsia="Arial" w:hAnsi="Arial"/>
                <w:sz w:val="18"/>
                <w:szCs w:val="18"/>
                <w:color w:val="auto"/>
              </w:rPr>
              <w:t>–Osteoarthritis pain</w:t>
            </w:r>
          </w:p>
        </w:tc>
        <w:tc>
          <w:tcPr>
            <w:tcW w:w="2540" w:type="dxa"/>
            <w:vAlign w:val="bottom"/>
            <w:shd w:val="clear" w:color="auto" w:fill="CCEEFF"/>
          </w:tcPr>
          <w:p>
            <w:pPr>
              <w:ind w:left="760"/>
              <w:spacing w:after="0" w:line="172" w:lineRule="exact"/>
              <w:rPr>
                <w:sz w:val="20"/>
                <w:szCs w:val="20"/>
                <w:color w:val="auto"/>
              </w:rPr>
            </w:pPr>
            <w:r>
              <w:rPr>
                <w:rFonts w:ascii="Arial" w:cs="Arial" w:eastAsia="Arial" w:hAnsi="Arial"/>
                <w:sz w:val="18"/>
                <w:szCs w:val="18"/>
                <w:color w:val="auto"/>
              </w:rPr>
              <w:t>–Reported top-line</w:t>
            </w:r>
          </w:p>
        </w:tc>
        <w:tc>
          <w:tcPr>
            <w:tcW w:w="1880" w:type="dxa"/>
            <w:vAlign w:val="bottom"/>
            <w:shd w:val="clear" w:color="auto" w:fill="CCEEFF"/>
          </w:tcPr>
          <w:p>
            <w:pPr>
              <w:ind w:left="120"/>
              <w:spacing w:after="0" w:line="172" w:lineRule="exact"/>
              <w:rPr>
                <w:sz w:val="20"/>
                <w:szCs w:val="20"/>
                <w:color w:val="auto"/>
              </w:rPr>
            </w:pPr>
            <w:r>
              <w:rPr>
                <w:rFonts w:ascii="Arial" w:cs="Arial" w:eastAsia="Arial" w:hAnsi="Arial"/>
                <w:sz w:val="18"/>
                <w:szCs w:val="18"/>
                <w:color w:val="auto"/>
              </w:rPr>
              <w:t>–Report additional</w:t>
            </w:r>
          </w:p>
        </w:tc>
        <w:tc>
          <w:tcPr>
            <w:tcW w:w="0" w:type="dxa"/>
            <w:vAlign w:val="bottom"/>
          </w:tcPr>
          <w:p>
            <w:pPr>
              <w:spacing w:after="0"/>
              <w:rPr>
                <w:sz w:val="1"/>
                <w:szCs w:val="1"/>
                <w:color w:val="auto"/>
              </w:rPr>
            </w:pPr>
          </w:p>
        </w:tc>
      </w:tr>
      <w:tr>
        <w:trPr>
          <w:trHeight w:val="176"/>
        </w:trPr>
        <w:tc>
          <w:tcPr>
            <w:tcW w:w="29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(REGN475)</w:t>
            </w:r>
          </w:p>
        </w:tc>
        <w:tc>
          <w:tcPr>
            <w:tcW w:w="3880" w:type="dxa"/>
            <w:vAlign w:val="bottom"/>
            <w:shd w:val="clear" w:color="auto" w:fill="CCEEFF"/>
          </w:tcPr>
          <w:p>
            <w:pPr>
              <w:ind w:left="1680"/>
              <w:spacing w:after="0" w:line="176" w:lineRule="exact"/>
              <w:rPr>
                <w:sz w:val="20"/>
                <w:szCs w:val="20"/>
                <w:color w:val="auto"/>
              </w:rPr>
            </w:pPr>
            <w:r>
              <w:rPr>
                <w:rFonts w:ascii="Arial" w:cs="Arial" w:eastAsia="Arial" w:hAnsi="Arial"/>
                <w:sz w:val="16"/>
                <w:szCs w:val="16"/>
                <w:color w:val="auto"/>
              </w:rPr>
              <w:t>of the knee or hip</w:t>
            </w:r>
            <w:r>
              <w:rPr>
                <w:rFonts w:ascii="Arial" w:cs="Arial" w:eastAsia="Arial" w:hAnsi="Arial"/>
                <w:sz w:val="20"/>
                <w:szCs w:val="20"/>
                <w:color w:val="auto"/>
                <w:vertAlign w:val="superscript"/>
              </w:rPr>
              <w:t>(e)</w:t>
            </w:r>
          </w:p>
        </w:tc>
        <w:tc>
          <w:tcPr>
            <w:tcW w:w="2540" w:type="dxa"/>
            <w:vAlign w:val="bottom"/>
            <w:shd w:val="clear" w:color="auto" w:fill="CCEEFF"/>
          </w:tcPr>
          <w:p>
            <w:pPr>
              <w:ind w:left="760"/>
              <w:spacing w:after="0" w:line="176" w:lineRule="exact"/>
              <w:rPr>
                <w:sz w:val="20"/>
                <w:szCs w:val="20"/>
                <w:color w:val="auto"/>
              </w:rPr>
            </w:pPr>
            <w:r>
              <w:rPr>
                <w:rFonts w:ascii="Arial" w:cs="Arial" w:eastAsia="Arial" w:hAnsi="Arial"/>
                <w:sz w:val="18"/>
                <w:szCs w:val="18"/>
                <w:color w:val="auto"/>
              </w:rPr>
              <w:t>results from Phase 3</w:t>
            </w:r>
          </w:p>
        </w:tc>
        <w:tc>
          <w:tcPr>
            <w:tcW w:w="188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longer-term safety</w:t>
            </w:r>
          </w:p>
        </w:tc>
        <w:tc>
          <w:tcPr>
            <w:tcW w:w="0" w:type="dxa"/>
            <w:vAlign w:val="bottom"/>
          </w:tcPr>
          <w:p>
            <w:pPr>
              <w:spacing w:after="0"/>
              <w:rPr>
                <w:sz w:val="1"/>
                <w:szCs w:val="1"/>
                <w:color w:val="auto"/>
              </w:rPr>
            </w:pPr>
          </w:p>
        </w:tc>
      </w:tr>
      <w:tr>
        <w:trPr>
          <w:trHeight w:val="175"/>
        </w:trPr>
        <w:tc>
          <w:tcPr>
            <w:tcW w:w="29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Antibody to NGF</w:t>
            </w:r>
          </w:p>
        </w:tc>
        <w:tc>
          <w:tcPr>
            <w:tcW w:w="3880" w:type="dxa"/>
            <w:vAlign w:val="bottom"/>
            <w:shd w:val="clear" w:color="auto" w:fill="CCEEFF"/>
          </w:tcPr>
          <w:p>
            <w:pPr>
              <w:spacing w:after="0"/>
              <w:rPr>
                <w:sz w:val="15"/>
                <w:szCs w:val="15"/>
                <w:color w:val="auto"/>
              </w:rPr>
            </w:pPr>
          </w:p>
        </w:tc>
        <w:tc>
          <w:tcPr>
            <w:tcW w:w="2540" w:type="dxa"/>
            <w:vAlign w:val="bottom"/>
            <w:shd w:val="clear" w:color="auto" w:fill="CCEEFF"/>
          </w:tcPr>
          <w:p>
            <w:pPr>
              <w:ind w:left="760"/>
              <w:spacing w:after="0" w:line="176" w:lineRule="exact"/>
              <w:rPr>
                <w:sz w:val="20"/>
                <w:szCs w:val="20"/>
                <w:color w:val="auto"/>
              </w:rPr>
            </w:pPr>
            <w:r>
              <w:rPr>
                <w:rFonts w:ascii="Arial" w:cs="Arial" w:eastAsia="Arial" w:hAnsi="Arial"/>
                <w:sz w:val="18"/>
                <w:szCs w:val="18"/>
                <w:color w:val="auto"/>
              </w:rPr>
              <w:t>trials in osteoarthritis</w:t>
            </w:r>
          </w:p>
        </w:tc>
        <w:tc>
          <w:tcPr>
            <w:tcW w:w="188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results from Phase 3</w:t>
            </w:r>
          </w:p>
        </w:tc>
        <w:tc>
          <w:tcPr>
            <w:tcW w:w="0" w:type="dxa"/>
            <w:vAlign w:val="bottom"/>
          </w:tcPr>
          <w:p>
            <w:pPr>
              <w:spacing w:after="0"/>
              <w:rPr>
                <w:sz w:val="1"/>
                <w:szCs w:val="1"/>
                <w:color w:val="auto"/>
              </w:rPr>
            </w:pPr>
          </w:p>
        </w:tc>
      </w:tr>
      <w:tr>
        <w:trPr>
          <w:trHeight w:val="176"/>
        </w:trPr>
        <w:tc>
          <w:tcPr>
            <w:tcW w:w="2940" w:type="dxa"/>
            <w:vAlign w:val="bottom"/>
            <w:shd w:val="clear" w:color="auto" w:fill="CCEEFF"/>
          </w:tcPr>
          <w:p>
            <w:pPr>
              <w:spacing w:after="0"/>
              <w:rPr>
                <w:sz w:val="15"/>
                <w:szCs w:val="15"/>
                <w:color w:val="auto"/>
              </w:rPr>
            </w:pPr>
          </w:p>
        </w:tc>
        <w:tc>
          <w:tcPr>
            <w:tcW w:w="3880" w:type="dxa"/>
            <w:vAlign w:val="bottom"/>
            <w:shd w:val="clear" w:color="auto" w:fill="CCEEFF"/>
          </w:tcPr>
          <w:p>
            <w:pPr>
              <w:spacing w:after="0"/>
              <w:rPr>
                <w:sz w:val="15"/>
                <w:szCs w:val="15"/>
                <w:color w:val="auto"/>
              </w:rPr>
            </w:pPr>
          </w:p>
        </w:tc>
        <w:tc>
          <w:tcPr>
            <w:tcW w:w="2540" w:type="dxa"/>
            <w:vAlign w:val="bottom"/>
            <w:shd w:val="clear" w:color="auto" w:fill="CCEEFF"/>
          </w:tcPr>
          <w:p>
            <w:pPr>
              <w:ind w:left="760"/>
              <w:spacing w:after="0" w:line="176" w:lineRule="exact"/>
              <w:rPr>
                <w:sz w:val="20"/>
                <w:szCs w:val="20"/>
                <w:color w:val="auto"/>
              </w:rPr>
            </w:pPr>
            <w:r>
              <w:rPr>
                <w:rFonts w:ascii="Arial" w:cs="Arial" w:eastAsia="Arial" w:hAnsi="Arial"/>
                <w:sz w:val="18"/>
                <w:szCs w:val="18"/>
                <w:color w:val="auto"/>
                <w:w w:val="98"/>
              </w:rPr>
              <w:t>pain of the knee or hip</w:t>
            </w:r>
          </w:p>
        </w:tc>
        <w:tc>
          <w:tcPr>
            <w:tcW w:w="188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4"/>
              </w:rPr>
              <w:t>studies in osteoarthritis</w:t>
            </w:r>
          </w:p>
        </w:tc>
        <w:tc>
          <w:tcPr>
            <w:tcW w:w="0" w:type="dxa"/>
            <w:vAlign w:val="bottom"/>
          </w:tcPr>
          <w:p>
            <w:pPr>
              <w:spacing w:after="0"/>
              <w:rPr>
                <w:sz w:val="1"/>
                <w:szCs w:val="1"/>
                <w:color w:val="auto"/>
              </w:rPr>
            </w:pPr>
          </w:p>
        </w:tc>
      </w:tr>
      <w:tr>
        <w:trPr>
          <w:trHeight w:val="176"/>
        </w:trPr>
        <w:tc>
          <w:tcPr>
            <w:tcW w:w="2940" w:type="dxa"/>
            <w:vAlign w:val="bottom"/>
            <w:shd w:val="clear" w:color="auto" w:fill="CCEEFF"/>
          </w:tcPr>
          <w:p>
            <w:pPr>
              <w:spacing w:after="0"/>
              <w:rPr>
                <w:sz w:val="15"/>
                <w:szCs w:val="15"/>
                <w:color w:val="auto"/>
              </w:rPr>
            </w:pPr>
          </w:p>
        </w:tc>
        <w:tc>
          <w:tcPr>
            <w:tcW w:w="3880" w:type="dxa"/>
            <w:vAlign w:val="bottom"/>
            <w:shd w:val="clear" w:color="auto" w:fill="CCEEFF"/>
          </w:tcPr>
          <w:p>
            <w:pPr>
              <w:spacing w:after="0"/>
              <w:rPr>
                <w:sz w:val="15"/>
                <w:szCs w:val="15"/>
                <w:color w:val="auto"/>
              </w:rPr>
            </w:pPr>
          </w:p>
        </w:tc>
        <w:tc>
          <w:tcPr>
            <w:tcW w:w="2540" w:type="dxa"/>
            <w:vAlign w:val="bottom"/>
            <w:vMerge w:val="restart"/>
            <w:shd w:val="clear" w:color="auto" w:fill="CCEEFF"/>
          </w:tcPr>
          <w:p>
            <w:pPr>
              <w:ind w:left="760"/>
              <w:spacing w:after="0"/>
              <w:rPr>
                <w:sz w:val="20"/>
                <w:szCs w:val="20"/>
                <w:color w:val="auto"/>
              </w:rPr>
            </w:pPr>
            <w:r>
              <w:rPr>
                <w:rFonts w:ascii="Arial" w:cs="Arial" w:eastAsia="Arial" w:hAnsi="Arial"/>
                <w:sz w:val="18"/>
                <w:szCs w:val="18"/>
                <w:color w:val="auto"/>
                <w:w w:val="98"/>
              </w:rPr>
              <w:t>–Discontinued actively</w:t>
            </w:r>
          </w:p>
        </w:tc>
        <w:tc>
          <w:tcPr>
            <w:tcW w:w="188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7"/>
              </w:rPr>
              <w:t>pain of the knee or hip</w:t>
            </w:r>
          </w:p>
        </w:tc>
        <w:tc>
          <w:tcPr>
            <w:tcW w:w="0" w:type="dxa"/>
            <w:vAlign w:val="bottom"/>
          </w:tcPr>
          <w:p>
            <w:pPr>
              <w:spacing w:after="0"/>
              <w:rPr>
                <w:sz w:val="1"/>
                <w:szCs w:val="1"/>
                <w:color w:val="auto"/>
              </w:rPr>
            </w:pPr>
          </w:p>
        </w:tc>
      </w:tr>
      <w:tr>
        <w:trPr>
          <w:trHeight w:val="175"/>
        </w:trPr>
        <w:tc>
          <w:tcPr>
            <w:tcW w:w="2940" w:type="dxa"/>
            <w:vAlign w:val="bottom"/>
            <w:shd w:val="clear" w:color="auto" w:fill="CCEEFF"/>
          </w:tcPr>
          <w:p>
            <w:pPr>
              <w:spacing w:after="0"/>
              <w:rPr>
                <w:sz w:val="15"/>
                <w:szCs w:val="15"/>
                <w:color w:val="auto"/>
              </w:rPr>
            </w:pPr>
          </w:p>
        </w:tc>
        <w:tc>
          <w:tcPr>
            <w:tcW w:w="3880" w:type="dxa"/>
            <w:vAlign w:val="bottom"/>
            <w:shd w:val="clear" w:color="auto" w:fill="CCEEFF"/>
          </w:tcPr>
          <w:p>
            <w:pPr>
              <w:spacing w:after="0"/>
              <w:rPr>
                <w:sz w:val="15"/>
                <w:szCs w:val="15"/>
                <w:color w:val="auto"/>
              </w:rPr>
            </w:pPr>
          </w:p>
        </w:tc>
        <w:tc>
          <w:tcPr>
            <w:tcW w:w="2540" w:type="dxa"/>
            <w:vAlign w:val="bottom"/>
            <w:vMerge w:val="continue"/>
            <w:shd w:val="clear" w:color="auto" w:fill="CCEEFF"/>
          </w:tcPr>
          <w:p>
            <w:pPr>
              <w:spacing w:after="0"/>
              <w:rPr>
                <w:sz w:val="15"/>
                <w:szCs w:val="15"/>
                <w:color w:val="auto"/>
              </w:rPr>
            </w:pPr>
          </w:p>
        </w:tc>
        <w:tc>
          <w:tcPr>
            <w:tcW w:w="188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(first half 2021)</w:t>
            </w:r>
          </w:p>
        </w:tc>
        <w:tc>
          <w:tcPr>
            <w:tcW w:w="0" w:type="dxa"/>
            <w:vAlign w:val="bottom"/>
          </w:tcPr>
          <w:p>
            <w:pPr>
              <w:spacing w:after="0"/>
              <w:rPr>
                <w:sz w:val="1"/>
                <w:szCs w:val="1"/>
                <w:color w:val="auto"/>
              </w:rPr>
            </w:pPr>
          </w:p>
        </w:tc>
      </w:tr>
      <w:tr>
        <w:trPr>
          <w:trHeight w:val="176"/>
        </w:trPr>
        <w:tc>
          <w:tcPr>
            <w:tcW w:w="2940" w:type="dxa"/>
            <w:vAlign w:val="bottom"/>
            <w:shd w:val="clear" w:color="auto" w:fill="CCEEFF"/>
          </w:tcPr>
          <w:p>
            <w:pPr>
              <w:spacing w:after="0"/>
              <w:rPr>
                <w:sz w:val="15"/>
                <w:szCs w:val="15"/>
                <w:color w:val="auto"/>
              </w:rPr>
            </w:pPr>
          </w:p>
        </w:tc>
        <w:tc>
          <w:tcPr>
            <w:tcW w:w="3880" w:type="dxa"/>
            <w:vAlign w:val="bottom"/>
            <w:shd w:val="clear" w:color="auto" w:fill="CCEEFF"/>
          </w:tcPr>
          <w:p>
            <w:pPr>
              <w:spacing w:after="0"/>
              <w:rPr>
                <w:sz w:val="15"/>
                <w:szCs w:val="15"/>
                <w:color w:val="auto"/>
              </w:rPr>
            </w:pPr>
          </w:p>
        </w:tc>
        <w:tc>
          <w:tcPr>
            <w:tcW w:w="2540" w:type="dxa"/>
            <w:vAlign w:val="bottom"/>
            <w:shd w:val="clear" w:color="auto" w:fill="CCEEFF"/>
          </w:tcPr>
          <w:p>
            <w:pPr>
              <w:ind w:left="760"/>
              <w:spacing w:after="0" w:line="176" w:lineRule="exact"/>
              <w:rPr>
                <w:sz w:val="20"/>
                <w:szCs w:val="20"/>
                <w:color w:val="auto"/>
              </w:rPr>
            </w:pPr>
            <w:r>
              <w:rPr>
                <w:rFonts w:ascii="Arial" w:cs="Arial" w:eastAsia="Arial" w:hAnsi="Arial"/>
                <w:sz w:val="18"/>
                <w:szCs w:val="18"/>
                <w:color w:val="auto"/>
              </w:rPr>
              <w:t>treating patients</w:t>
            </w:r>
          </w:p>
        </w:tc>
        <w:tc>
          <w:tcPr>
            <w:tcW w:w="1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40" w:type="dxa"/>
            <w:vAlign w:val="bottom"/>
            <w:shd w:val="clear" w:color="auto" w:fill="CCEEFF"/>
          </w:tcPr>
          <w:p>
            <w:pPr>
              <w:spacing w:after="0"/>
              <w:rPr>
                <w:sz w:val="15"/>
                <w:szCs w:val="15"/>
                <w:color w:val="auto"/>
              </w:rPr>
            </w:pPr>
          </w:p>
        </w:tc>
        <w:tc>
          <w:tcPr>
            <w:tcW w:w="3880" w:type="dxa"/>
            <w:vAlign w:val="bottom"/>
            <w:shd w:val="clear" w:color="auto" w:fill="CCEEFF"/>
          </w:tcPr>
          <w:p>
            <w:pPr>
              <w:spacing w:after="0"/>
              <w:rPr>
                <w:sz w:val="15"/>
                <w:szCs w:val="15"/>
                <w:color w:val="auto"/>
              </w:rPr>
            </w:pPr>
          </w:p>
        </w:tc>
        <w:tc>
          <w:tcPr>
            <w:tcW w:w="2540" w:type="dxa"/>
            <w:vAlign w:val="bottom"/>
            <w:shd w:val="clear" w:color="auto" w:fill="CCEEFF"/>
          </w:tcPr>
          <w:p>
            <w:pPr>
              <w:ind w:left="760"/>
              <w:spacing w:after="0" w:line="176" w:lineRule="exact"/>
              <w:rPr>
                <w:sz w:val="20"/>
                <w:szCs w:val="20"/>
                <w:color w:val="auto"/>
              </w:rPr>
            </w:pPr>
            <w:r>
              <w:rPr>
                <w:rFonts w:ascii="Arial" w:cs="Arial" w:eastAsia="Arial" w:hAnsi="Arial"/>
                <w:sz w:val="18"/>
                <w:szCs w:val="18"/>
                <w:color w:val="auto"/>
              </w:rPr>
              <w:t>following</w:t>
            </w:r>
          </w:p>
        </w:tc>
        <w:tc>
          <w:tcPr>
            <w:tcW w:w="188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w w:val="96"/>
              </w:rPr>
              <w:t>–Continue discussions</w:t>
            </w:r>
          </w:p>
        </w:tc>
        <w:tc>
          <w:tcPr>
            <w:tcW w:w="0" w:type="dxa"/>
            <w:vAlign w:val="bottom"/>
          </w:tcPr>
          <w:p>
            <w:pPr>
              <w:spacing w:after="0"/>
              <w:rPr>
                <w:sz w:val="1"/>
                <w:szCs w:val="1"/>
                <w:color w:val="auto"/>
              </w:rPr>
            </w:pPr>
          </w:p>
        </w:tc>
      </w:tr>
      <w:tr>
        <w:trPr>
          <w:trHeight w:val="68"/>
        </w:trPr>
        <w:tc>
          <w:tcPr>
            <w:tcW w:w="2940" w:type="dxa"/>
            <w:vAlign w:val="bottom"/>
            <w:shd w:val="clear" w:color="auto" w:fill="CCEEFF"/>
          </w:tcPr>
          <w:p>
            <w:pPr>
              <w:spacing w:after="0"/>
              <w:rPr>
                <w:sz w:val="5"/>
                <w:szCs w:val="5"/>
                <w:color w:val="auto"/>
              </w:rPr>
            </w:pPr>
          </w:p>
        </w:tc>
        <w:tc>
          <w:tcPr>
            <w:tcW w:w="3880" w:type="dxa"/>
            <w:vAlign w:val="bottom"/>
            <w:shd w:val="clear" w:color="auto" w:fill="CCEEFF"/>
          </w:tcPr>
          <w:p>
            <w:pPr>
              <w:spacing w:after="0"/>
              <w:rPr>
                <w:sz w:val="5"/>
                <w:szCs w:val="5"/>
                <w:color w:val="auto"/>
              </w:rPr>
            </w:pPr>
          </w:p>
        </w:tc>
        <w:tc>
          <w:tcPr>
            <w:tcW w:w="2540" w:type="dxa"/>
            <w:vAlign w:val="bottom"/>
            <w:vMerge w:val="restart"/>
            <w:shd w:val="clear" w:color="auto" w:fill="CCEEFF"/>
          </w:tcPr>
          <w:p>
            <w:pPr>
              <w:ind w:left="760"/>
              <w:spacing w:after="0" w:line="176" w:lineRule="exact"/>
              <w:rPr>
                <w:sz w:val="20"/>
                <w:szCs w:val="20"/>
                <w:color w:val="auto"/>
              </w:rPr>
            </w:pPr>
            <w:r>
              <w:rPr>
                <w:rFonts w:ascii="Arial" w:cs="Arial" w:eastAsia="Arial" w:hAnsi="Arial"/>
                <w:sz w:val="18"/>
                <w:szCs w:val="18"/>
                <w:color w:val="auto"/>
              </w:rPr>
              <w:t>recommendation from</w:t>
            </w:r>
          </w:p>
        </w:tc>
        <w:tc>
          <w:tcPr>
            <w:tcW w:w="18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940" w:type="dxa"/>
            <w:vAlign w:val="bottom"/>
            <w:shd w:val="clear" w:color="auto" w:fill="CCEEFF"/>
          </w:tcPr>
          <w:p>
            <w:pPr>
              <w:spacing w:after="0"/>
              <w:rPr>
                <w:sz w:val="9"/>
                <w:szCs w:val="9"/>
                <w:color w:val="auto"/>
              </w:rPr>
            </w:pPr>
          </w:p>
        </w:tc>
        <w:tc>
          <w:tcPr>
            <w:tcW w:w="3880" w:type="dxa"/>
            <w:vAlign w:val="bottom"/>
            <w:shd w:val="clear" w:color="auto" w:fill="CCEEFF"/>
          </w:tcPr>
          <w:p>
            <w:pPr>
              <w:spacing w:after="0"/>
              <w:rPr>
                <w:sz w:val="9"/>
                <w:szCs w:val="9"/>
                <w:color w:val="auto"/>
              </w:rPr>
            </w:pPr>
          </w:p>
        </w:tc>
        <w:tc>
          <w:tcPr>
            <w:tcW w:w="2540" w:type="dxa"/>
            <w:vAlign w:val="bottom"/>
            <w:vMerge w:val="continue"/>
            <w:shd w:val="clear" w:color="auto" w:fill="CCEEFF"/>
          </w:tcPr>
          <w:p>
            <w:pPr>
              <w:spacing w:after="0"/>
              <w:rPr>
                <w:sz w:val="9"/>
                <w:szCs w:val="9"/>
                <w:color w:val="auto"/>
              </w:rPr>
            </w:pPr>
          </w:p>
        </w:tc>
        <w:tc>
          <w:tcPr>
            <w:tcW w:w="1880" w:type="dxa"/>
            <w:vAlign w:val="bottom"/>
            <w:vMerge w:val="restart"/>
            <w:shd w:val="clear" w:color="auto" w:fill="CCEEFF"/>
          </w:tcPr>
          <w:p>
            <w:pPr>
              <w:ind w:left="120"/>
              <w:spacing w:after="0" w:line="176" w:lineRule="exact"/>
              <w:rPr>
                <w:sz w:val="20"/>
                <w:szCs w:val="20"/>
                <w:color w:val="auto"/>
              </w:rPr>
            </w:pPr>
            <w:r>
              <w:rPr>
                <w:rFonts w:ascii="Arial" w:cs="Arial" w:eastAsia="Arial" w:hAnsi="Arial"/>
                <w:sz w:val="18"/>
                <w:szCs w:val="18"/>
                <w:color w:val="auto"/>
              </w:rPr>
              <w:t>with regulatory</w:t>
            </w:r>
          </w:p>
        </w:tc>
        <w:tc>
          <w:tcPr>
            <w:tcW w:w="0" w:type="dxa"/>
            <w:vAlign w:val="bottom"/>
          </w:tcPr>
          <w:p>
            <w:pPr>
              <w:spacing w:after="0"/>
              <w:rPr>
                <w:sz w:val="1"/>
                <w:szCs w:val="1"/>
                <w:color w:val="auto"/>
              </w:rPr>
            </w:pPr>
          </w:p>
        </w:tc>
      </w:tr>
      <w:tr>
        <w:trPr>
          <w:trHeight w:val="68"/>
        </w:trPr>
        <w:tc>
          <w:tcPr>
            <w:tcW w:w="2940" w:type="dxa"/>
            <w:vAlign w:val="bottom"/>
            <w:shd w:val="clear" w:color="auto" w:fill="CCEEFF"/>
          </w:tcPr>
          <w:p>
            <w:pPr>
              <w:spacing w:after="0"/>
              <w:rPr>
                <w:sz w:val="5"/>
                <w:szCs w:val="5"/>
                <w:color w:val="auto"/>
              </w:rPr>
            </w:pPr>
          </w:p>
        </w:tc>
        <w:tc>
          <w:tcPr>
            <w:tcW w:w="3880" w:type="dxa"/>
            <w:vAlign w:val="bottom"/>
            <w:shd w:val="clear" w:color="auto" w:fill="CCEEFF"/>
          </w:tcPr>
          <w:p>
            <w:pPr>
              <w:spacing w:after="0"/>
              <w:rPr>
                <w:sz w:val="5"/>
                <w:szCs w:val="5"/>
                <w:color w:val="auto"/>
              </w:rPr>
            </w:pPr>
          </w:p>
        </w:tc>
        <w:tc>
          <w:tcPr>
            <w:tcW w:w="2540" w:type="dxa"/>
            <w:vAlign w:val="bottom"/>
            <w:vMerge w:val="restart"/>
            <w:shd w:val="clear" w:color="auto" w:fill="CCEEFF"/>
          </w:tcPr>
          <w:p>
            <w:pPr>
              <w:ind w:left="760"/>
              <w:spacing w:after="0" w:line="176" w:lineRule="exact"/>
              <w:rPr>
                <w:sz w:val="20"/>
                <w:szCs w:val="20"/>
                <w:color w:val="auto"/>
              </w:rPr>
            </w:pPr>
            <w:r>
              <w:rPr>
                <w:rFonts w:ascii="Arial" w:cs="Arial" w:eastAsia="Arial" w:hAnsi="Arial"/>
                <w:sz w:val="18"/>
                <w:szCs w:val="18"/>
                <w:color w:val="auto"/>
              </w:rPr>
              <w:t>the IDMC that the</w:t>
            </w:r>
          </w:p>
        </w:tc>
        <w:tc>
          <w:tcPr>
            <w:tcW w:w="18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940" w:type="dxa"/>
            <w:vAlign w:val="bottom"/>
            <w:shd w:val="clear" w:color="auto" w:fill="CCEEFF"/>
          </w:tcPr>
          <w:p>
            <w:pPr>
              <w:spacing w:after="0"/>
              <w:rPr>
                <w:sz w:val="9"/>
                <w:szCs w:val="9"/>
                <w:color w:val="auto"/>
              </w:rPr>
            </w:pPr>
          </w:p>
        </w:tc>
        <w:tc>
          <w:tcPr>
            <w:tcW w:w="3880" w:type="dxa"/>
            <w:vAlign w:val="bottom"/>
            <w:shd w:val="clear" w:color="auto" w:fill="CCEEFF"/>
          </w:tcPr>
          <w:p>
            <w:pPr>
              <w:spacing w:after="0"/>
              <w:rPr>
                <w:sz w:val="9"/>
                <w:szCs w:val="9"/>
                <w:color w:val="auto"/>
              </w:rPr>
            </w:pPr>
          </w:p>
        </w:tc>
        <w:tc>
          <w:tcPr>
            <w:tcW w:w="2540" w:type="dxa"/>
            <w:vAlign w:val="bottom"/>
            <w:vMerge w:val="continue"/>
            <w:shd w:val="clear" w:color="auto" w:fill="CCEEFF"/>
          </w:tcPr>
          <w:p>
            <w:pPr>
              <w:spacing w:after="0"/>
              <w:rPr>
                <w:sz w:val="9"/>
                <w:szCs w:val="9"/>
                <w:color w:val="auto"/>
              </w:rPr>
            </w:pPr>
          </w:p>
        </w:tc>
        <w:tc>
          <w:tcPr>
            <w:tcW w:w="1880" w:type="dxa"/>
            <w:vAlign w:val="bottom"/>
            <w:vMerge w:val="restart"/>
            <w:shd w:val="clear" w:color="auto" w:fill="CCEEFF"/>
          </w:tcPr>
          <w:p>
            <w:pPr>
              <w:ind w:left="120"/>
              <w:spacing w:after="0" w:line="176" w:lineRule="exact"/>
              <w:rPr>
                <w:sz w:val="20"/>
                <w:szCs w:val="20"/>
                <w:color w:val="auto"/>
              </w:rPr>
            </w:pPr>
            <w:r>
              <w:rPr>
                <w:rFonts w:ascii="Arial" w:cs="Arial" w:eastAsia="Arial" w:hAnsi="Arial"/>
                <w:sz w:val="18"/>
                <w:szCs w:val="18"/>
                <w:color w:val="auto"/>
              </w:rPr>
              <w:t>authorities and</w:t>
            </w:r>
          </w:p>
        </w:tc>
        <w:tc>
          <w:tcPr>
            <w:tcW w:w="0" w:type="dxa"/>
            <w:vAlign w:val="bottom"/>
          </w:tcPr>
          <w:p>
            <w:pPr>
              <w:spacing w:after="0"/>
              <w:rPr>
                <w:sz w:val="1"/>
                <w:szCs w:val="1"/>
                <w:color w:val="auto"/>
              </w:rPr>
            </w:pPr>
          </w:p>
        </w:tc>
      </w:tr>
      <w:tr>
        <w:trPr>
          <w:trHeight w:val="68"/>
        </w:trPr>
        <w:tc>
          <w:tcPr>
            <w:tcW w:w="2940" w:type="dxa"/>
            <w:vAlign w:val="bottom"/>
            <w:shd w:val="clear" w:color="auto" w:fill="CCEEFF"/>
          </w:tcPr>
          <w:p>
            <w:pPr>
              <w:spacing w:after="0"/>
              <w:rPr>
                <w:sz w:val="5"/>
                <w:szCs w:val="5"/>
                <w:color w:val="auto"/>
              </w:rPr>
            </w:pPr>
          </w:p>
        </w:tc>
        <w:tc>
          <w:tcPr>
            <w:tcW w:w="3880" w:type="dxa"/>
            <w:vAlign w:val="bottom"/>
            <w:shd w:val="clear" w:color="auto" w:fill="CCEEFF"/>
          </w:tcPr>
          <w:p>
            <w:pPr>
              <w:spacing w:after="0"/>
              <w:rPr>
                <w:sz w:val="5"/>
                <w:szCs w:val="5"/>
                <w:color w:val="auto"/>
              </w:rPr>
            </w:pPr>
          </w:p>
        </w:tc>
        <w:tc>
          <w:tcPr>
            <w:tcW w:w="2540" w:type="dxa"/>
            <w:vAlign w:val="bottom"/>
            <w:vMerge w:val="restart"/>
            <w:shd w:val="clear" w:color="auto" w:fill="CCEEFF"/>
          </w:tcPr>
          <w:p>
            <w:pPr>
              <w:ind w:left="760"/>
              <w:spacing w:after="0" w:line="176" w:lineRule="exact"/>
              <w:rPr>
                <w:sz w:val="20"/>
                <w:szCs w:val="20"/>
                <w:color w:val="auto"/>
              </w:rPr>
            </w:pPr>
            <w:r>
              <w:rPr>
                <w:rFonts w:ascii="Arial" w:cs="Arial" w:eastAsia="Arial" w:hAnsi="Arial"/>
                <w:sz w:val="18"/>
                <w:szCs w:val="18"/>
                <w:color w:val="auto"/>
              </w:rPr>
              <w:t>program should be</w:t>
            </w:r>
          </w:p>
        </w:tc>
        <w:tc>
          <w:tcPr>
            <w:tcW w:w="18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940" w:type="dxa"/>
            <w:vAlign w:val="bottom"/>
            <w:shd w:val="clear" w:color="auto" w:fill="CCEEFF"/>
          </w:tcPr>
          <w:p>
            <w:pPr>
              <w:spacing w:after="0"/>
              <w:rPr>
                <w:sz w:val="9"/>
                <w:szCs w:val="9"/>
                <w:color w:val="auto"/>
              </w:rPr>
            </w:pPr>
          </w:p>
        </w:tc>
        <w:tc>
          <w:tcPr>
            <w:tcW w:w="3880" w:type="dxa"/>
            <w:vAlign w:val="bottom"/>
            <w:shd w:val="clear" w:color="auto" w:fill="CCEEFF"/>
          </w:tcPr>
          <w:p>
            <w:pPr>
              <w:spacing w:after="0"/>
              <w:rPr>
                <w:sz w:val="9"/>
                <w:szCs w:val="9"/>
                <w:color w:val="auto"/>
              </w:rPr>
            </w:pPr>
          </w:p>
        </w:tc>
        <w:tc>
          <w:tcPr>
            <w:tcW w:w="2540" w:type="dxa"/>
            <w:vAlign w:val="bottom"/>
            <w:vMerge w:val="continue"/>
            <w:shd w:val="clear" w:color="auto" w:fill="CCEEFF"/>
          </w:tcPr>
          <w:p>
            <w:pPr>
              <w:spacing w:after="0"/>
              <w:rPr>
                <w:sz w:val="9"/>
                <w:szCs w:val="9"/>
                <w:color w:val="auto"/>
              </w:rPr>
            </w:pPr>
          </w:p>
        </w:tc>
        <w:tc>
          <w:tcPr>
            <w:tcW w:w="1880" w:type="dxa"/>
            <w:vAlign w:val="bottom"/>
            <w:vMerge w:val="restart"/>
            <w:shd w:val="clear" w:color="auto" w:fill="CCEEFF"/>
          </w:tcPr>
          <w:p>
            <w:pPr>
              <w:ind w:left="120"/>
              <w:spacing w:after="0" w:line="176" w:lineRule="exact"/>
              <w:rPr>
                <w:sz w:val="20"/>
                <w:szCs w:val="20"/>
                <w:color w:val="auto"/>
              </w:rPr>
            </w:pPr>
            <w:r>
              <w:rPr>
                <w:rFonts w:ascii="Arial" w:cs="Arial" w:eastAsia="Arial" w:hAnsi="Arial"/>
                <w:sz w:val="18"/>
                <w:szCs w:val="18"/>
                <w:color w:val="auto"/>
                <w:w w:val="90"/>
              </w:rPr>
              <w:t>determine next steps for</w:t>
            </w:r>
          </w:p>
        </w:tc>
        <w:tc>
          <w:tcPr>
            <w:tcW w:w="0" w:type="dxa"/>
            <w:vAlign w:val="bottom"/>
          </w:tcPr>
          <w:p>
            <w:pPr>
              <w:spacing w:after="0"/>
              <w:rPr>
                <w:sz w:val="1"/>
                <w:szCs w:val="1"/>
                <w:color w:val="auto"/>
              </w:rPr>
            </w:pPr>
          </w:p>
        </w:tc>
      </w:tr>
      <w:tr>
        <w:trPr>
          <w:trHeight w:val="68"/>
        </w:trPr>
        <w:tc>
          <w:tcPr>
            <w:tcW w:w="2940" w:type="dxa"/>
            <w:vAlign w:val="bottom"/>
            <w:shd w:val="clear" w:color="auto" w:fill="CCEEFF"/>
          </w:tcPr>
          <w:p>
            <w:pPr>
              <w:spacing w:after="0"/>
              <w:rPr>
                <w:sz w:val="5"/>
                <w:szCs w:val="5"/>
                <w:color w:val="auto"/>
              </w:rPr>
            </w:pPr>
          </w:p>
        </w:tc>
        <w:tc>
          <w:tcPr>
            <w:tcW w:w="3880" w:type="dxa"/>
            <w:vAlign w:val="bottom"/>
            <w:shd w:val="clear" w:color="auto" w:fill="CCEEFF"/>
          </w:tcPr>
          <w:p>
            <w:pPr>
              <w:spacing w:after="0"/>
              <w:rPr>
                <w:sz w:val="5"/>
                <w:szCs w:val="5"/>
                <w:color w:val="auto"/>
              </w:rPr>
            </w:pPr>
          </w:p>
        </w:tc>
        <w:tc>
          <w:tcPr>
            <w:tcW w:w="2540" w:type="dxa"/>
            <w:vAlign w:val="bottom"/>
            <w:vMerge w:val="restart"/>
            <w:shd w:val="clear" w:color="auto" w:fill="CCEEFF"/>
          </w:tcPr>
          <w:p>
            <w:pPr>
              <w:ind w:left="760"/>
              <w:spacing w:after="0"/>
              <w:rPr>
                <w:sz w:val="20"/>
                <w:szCs w:val="20"/>
                <w:color w:val="auto"/>
              </w:rPr>
            </w:pPr>
            <w:r>
              <w:rPr>
                <w:rFonts w:ascii="Arial" w:cs="Arial" w:eastAsia="Arial" w:hAnsi="Arial"/>
                <w:sz w:val="18"/>
                <w:szCs w:val="18"/>
                <w:color w:val="auto"/>
              </w:rPr>
              <w:t>terminated</w:t>
            </w:r>
          </w:p>
        </w:tc>
        <w:tc>
          <w:tcPr>
            <w:tcW w:w="18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940" w:type="dxa"/>
            <w:vAlign w:val="bottom"/>
            <w:shd w:val="clear" w:color="auto" w:fill="CCEEFF"/>
          </w:tcPr>
          <w:p>
            <w:pPr>
              <w:spacing w:after="0"/>
              <w:rPr>
                <w:sz w:val="15"/>
                <w:szCs w:val="15"/>
                <w:color w:val="auto"/>
              </w:rPr>
            </w:pPr>
          </w:p>
        </w:tc>
        <w:tc>
          <w:tcPr>
            <w:tcW w:w="3880" w:type="dxa"/>
            <w:vAlign w:val="bottom"/>
            <w:shd w:val="clear" w:color="auto" w:fill="CCEEFF"/>
          </w:tcPr>
          <w:p>
            <w:pPr>
              <w:spacing w:after="0"/>
              <w:rPr>
                <w:sz w:val="15"/>
                <w:szCs w:val="15"/>
                <w:color w:val="auto"/>
              </w:rPr>
            </w:pPr>
          </w:p>
        </w:tc>
        <w:tc>
          <w:tcPr>
            <w:tcW w:w="2540" w:type="dxa"/>
            <w:vAlign w:val="bottom"/>
            <w:vMerge w:val="continue"/>
            <w:shd w:val="clear" w:color="auto" w:fill="CCEEFF"/>
          </w:tcPr>
          <w:p>
            <w:pPr>
              <w:spacing w:after="0"/>
              <w:rPr>
                <w:sz w:val="15"/>
                <w:szCs w:val="15"/>
                <w:color w:val="auto"/>
              </w:rPr>
            </w:pPr>
          </w:p>
        </w:tc>
        <w:tc>
          <w:tcPr>
            <w:tcW w:w="188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the program (first half</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spacing w:after="0"/>
              <w:rPr>
                <w:sz w:val="19"/>
                <w:szCs w:val="19"/>
                <w:color w:val="auto"/>
              </w:rPr>
            </w:pPr>
          </w:p>
        </w:tc>
        <w:tc>
          <w:tcPr>
            <w:tcW w:w="388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1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30" w:right="339" w:bottom="1440" w:gutter="0" w:footer="0" w:header="0"/>
          <w:type w:val="continuous"/>
        </w:sectPr>
      </w:pPr>
    </w:p>
    <w:tbl>
      <w:tblPr>
        <w:tblLayout w:type="fixed"/>
        <w:tblInd w:w="20" w:type="dxa"/>
        <w:tblCellMar>
          <w:top w:w="0" w:type="dxa"/>
          <w:left w:w="0" w:type="dxa"/>
          <w:bottom w:w="0" w:type="dxa"/>
          <w:right w:w="0" w:type="dxa"/>
        </w:tblCellMar>
      </w:tblPr>
      <w:tr>
        <w:trPr>
          <w:trHeight w:val="175"/>
        </w:trPr>
        <w:tc>
          <w:tcPr>
            <w:tcW w:w="2300" w:type="dxa"/>
            <w:vAlign w:val="bottom"/>
          </w:tcPr>
          <w:p>
            <w:pPr>
              <w:spacing w:after="0" w:line="176" w:lineRule="exact"/>
              <w:rPr>
                <w:sz w:val="20"/>
                <w:szCs w:val="20"/>
                <w:color w:val="auto"/>
              </w:rPr>
            </w:pPr>
            <w:r>
              <w:rPr>
                <w:rFonts w:ascii="Arial" w:cs="Arial" w:eastAsia="Arial" w:hAnsi="Arial"/>
                <w:sz w:val="18"/>
                <w:szCs w:val="18"/>
                <w:b w:val="1"/>
                <w:bCs w:val="1"/>
                <w:color w:val="auto"/>
              </w:rPr>
              <w:t>Evkeeza</w:t>
            </w:r>
          </w:p>
        </w:tc>
        <w:tc>
          <w:tcPr>
            <w:tcW w:w="3080" w:type="dxa"/>
            <w:vAlign w:val="bottom"/>
          </w:tcPr>
          <w:p>
            <w:pPr>
              <w:ind w:left="660"/>
              <w:spacing w:after="0" w:line="176" w:lineRule="exact"/>
              <w:rPr>
                <w:sz w:val="20"/>
                <w:szCs w:val="20"/>
                <w:color w:val="auto"/>
              </w:rPr>
            </w:pPr>
            <w:r>
              <w:rPr>
                <w:rFonts w:ascii="Arial" w:cs="Arial" w:eastAsia="Arial" w:hAnsi="Arial"/>
                <w:sz w:val="18"/>
                <w:szCs w:val="18"/>
                <w:color w:val="auto"/>
              </w:rPr>
              <w:t>–Severe</w:t>
            </w:r>
          </w:p>
        </w:tc>
        <w:tc>
          <w:tcPr>
            <w:tcW w:w="2020" w:type="dxa"/>
            <w:vAlign w:val="bottom"/>
          </w:tcPr>
          <w:p>
            <w:pPr>
              <w:ind w:left="900"/>
              <w:spacing w:after="0" w:line="176" w:lineRule="exact"/>
              <w:rPr>
                <w:sz w:val="20"/>
                <w:szCs w:val="20"/>
                <w:color w:val="auto"/>
              </w:rPr>
            </w:pPr>
            <w:r>
              <w:rPr>
                <w:rFonts w:ascii="Arial" w:cs="Arial" w:eastAsia="Arial" w:hAnsi="Arial"/>
                <w:sz w:val="18"/>
                <w:szCs w:val="18"/>
                <w:color w:val="auto"/>
              </w:rPr>
              <w:t>–HoFH (U.S.</w:t>
            </w:r>
          </w:p>
        </w:tc>
        <w:tc>
          <w:tcPr>
            <w:tcW w:w="1740" w:type="dxa"/>
            <w:vAlign w:val="bottom"/>
          </w:tcPr>
          <w:p>
            <w:pPr>
              <w:ind w:left="160"/>
              <w:spacing w:after="0" w:line="176"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NEJM</w:t>
            </w:r>
            <w:r>
              <w:rPr>
                <w:rFonts w:ascii="Arial" w:cs="Arial" w:eastAsia="Arial" w:hAnsi="Arial"/>
                <w:sz w:val="18"/>
                <w:szCs w:val="18"/>
                <w:color w:val="auto"/>
              </w:rPr>
              <w:t xml:space="preserve"> published</w:t>
            </w:r>
          </w:p>
        </w:tc>
      </w:tr>
      <w:tr>
        <w:trPr>
          <w:trHeight w:val="176"/>
        </w:trPr>
        <w:tc>
          <w:tcPr>
            <w:tcW w:w="2300" w:type="dxa"/>
            <w:vAlign w:val="bottom"/>
          </w:tcPr>
          <w:p>
            <w:pPr>
              <w:spacing w:after="0" w:line="176" w:lineRule="exact"/>
              <w:rPr>
                <w:sz w:val="20"/>
                <w:szCs w:val="20"/>
                <w:color w:val="auto"/>
              </w:rPr>
            </w:pPr>
            <w:r>
              <w:rPr>
                <w:rFonts w:ascii="Arial" w:cs="Arial" w:eastAsia="Arial" w:hAnsi="Arial"/>
                <w:sz w:val="16"/>
                <w:szCs w:val="16"/>
                <w:b w:val="1"/>
                <w:bCs w:val="1"/>
                <w:color w:val="auto"/>
              </w:rPr>
              <w:t>(evinacumab)</w:t>
            </w:r>
            <w:r>
              <w:rPr>
                <w:rFonts w:ascii="Arial" w:cs="Arial" w:eastAsia="Arial" w:hAnsi="Arial"/>
                <w:sz w:val="20"/>
                <w:szCs w:val="20"/>
                <w:b w:val="1"/>
                <w:bCs w:val="1"/>
                <w:color w:val="auto"/>
                <w:vertAlign w:val="superscript"/>
              </w:rPr>
              <w:t>(f)</w:t>
            </w:r>
          </w:p>
        </w:tc>
        <w:tc>
          <w:tcPr>
            <w:tcW w:w="3080" w:type="dxa"/>
            <w:vAlign w:val="bottom"/>
          </w:tcPr>
          <w:p>
            <w:pPr>
              <w:ind w:left="660"/>
              <w:spacing w:after="0" w:line="176" w:lineRule="exact"/>
              <w:rPr>
                <w:sz w:val="20"/>
                <w:szCs w:val="20"/>
                <w:color w:val="auto"/>
              </w:rPr>
            </w:pPr>
            <w:r>
              <w:rPr>
                <w:rFonts w:ascii="Arial" w:cs="Arial" w:eastAsia="Arial" w:hAnsi="Arial"/>
                <w:sz w:val="18"/>
                <w:szCs w:val="18"/>
                <w:color w:val="auto"/>
              </w:rPr>
              <w:t>hypertriglyceridemia</w:t>
            </w:r>
          </w:p>
        </w:tc>
        <w:tc>
          <w:tcPr>
            <w:tcW w:w="2020" w:type="dxa"/>
            <w:vAlign w:val="bottom"/>
          </w:tcPr>
          <w:p>
            <w:pPr>
              <w:ind w:left="900"/>
              <w:spacing w:after="0" w:line="176" w:lineRule="exact"/>
              <w:rPr>
                <w:sz w:val="20"/>
                <w:szCs w:val="20"/>
                <w:color w:val="auto"/>
              </w:rPr>
            </w:pPr>
            <w:r>
              <w:rPr>
                <w:rFonts w:ascii="Arial" w:cs="Arial" w:eastAsia="Arial" w:hAnsi="Arial"/>
                <w:sz w:val="20"/>
                <w:szCs w:val="20"/>
                <w:color w:val="auto"/>
                <w:vertAlign w:val="subscript"/>
              </w:rPr>
              <w:t>and EU)</w:t>
            </w:r>
            <w:r>
              <w:rPr>
                <w:rFonts w:ascii="Arial" w:cs="Arial" w:eastAsia="Arial" w:hAnsi="Arial"/>
                <w:sz w:val="9"/>
                <w:szCs w:val="9"/>
                <w:color w:val="auto"/>
              </w:rPr>
              <w:t>(c)(d)</w:t>
            </w:r>
          </w:p>
        </w:tc>
        <w:tc>
          <w:tcPr>
            <w:tcW w:w="1740" w:type="dxa"/>
            <w:vAlign w:val="bottom"/>
          </w:tcPr>
          <w:p>
            <w:pPr>
              <w:ind w:left="160"/>
              <w:spacing w:after="0" w:line="176" w:lineRule="exact"/>
              <w:rPr>
                <w:sz w:val="20"/>
                <w:szCs w:val="20"/>
                <w:color w:val="auto"/>
              </w:rPr>
            </w:pPr>
            <w:r>
              <w:rPr>
                <w:rFonts w:ascii="Arial" w:cs="Arial" w:eastAsia="Arial" w:hAnsi="Arial"/>
                <w:sz w:val="18"/>
                <w:szCs w:val="18"/>
                <w:color w:val="auto"/>
                <w:w w:val="97"/>
              </w:rPr>
              <w:t>positive results from</w:t>
            </w:r>
          </w:p>
        </w:tc>
      </w:tr>
      <w:tr>
        <w:trPr>
          <w:trHeight w:val="230"/>
        </w:trPr>
        <w:tc>
          <w:tcPr>
            <w:tcW w:w="2300" w:type="dxa"/>
            <w:vAlign w:val="bottom"/>
          </w:tcPr>
          <w:p>
            <w:pPr>
              <w:spacing w:after="0"/>
              <w:rPr>
                <w:sz w:val="20"/>
                <w:szCs w:val="20"/>
                <w:color w:val="auto"/>
              </w:rPr>
            </w:pPr>
            <w:r>
              <w:rPr>
                <w:rFonts w:ascii="Arial" w:cs="Arial" w:eastAsia="Arial" w:hAnsi="Arial"/>
                <w:sz w:val="18"/>
                <w:szCs w:val="18"/>
                <w:i w:val="1"/>
                <w:iCs w:val="1"/>
                <w:color w:val="auto"/>
              </w:rPr>
              <w:t>Antibody to ANGPTL3</w:t>
            </w:r>
          </w:p>
        </w:tc>
        <w:tc>
          <w:tcPr>
            <w:tcW w:w="30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740" w:type="dxa"/>
            <w:vAlign w:val="bottom"/>
          </w:tcPr>
          <w:p>
            <w:pPr>
              <w:ind w:left="160"/>
              <w:spacing w:after="0"/>
              <w:rPr>
                <w:sz w:val="20"/>
                <w:szCs w:val="20"/>
                <w:color w:val="auto"/>
              </w:rPr>
            </w:pPr>
            <w:r>
              <w:rPr>
                <w:rFonts w:ascii="Arial" w:cs="Arial" w:eastAsia="Arial" w:hAnsi="Arial"/>
                <w:sz w:val="18"/>
                <w:szCs w:val="18"/>
                <w:color w:val="auto"/>
                <w:w w:val="91"/>
              </w:rPr>
              <w:t>Phase 3 trial in HoFH</w:t>
            </w:r>
          </w:p>
        </w:tc>
      </w:tr>
    </w:tbl>
    <w:p>
      <w:pPr>
        <w:spacing w:after="0" w:line="20" w:lineRule="exact"/>
        <w:rPr>
          <w:sz w:val="20"/>
          <w:szCs w:val="20"/>
          <w:color w:val="auto"/>
        </w:rPr>
      </w:pPr>
      <w:r>
        <w:rPr>
          <w:sz w:val="20"/>
          <w:szCs w:val="20"/>
          <w:color w:val="auto"/>
        </w:rPr>
        <w:br w:type="column"/>
      </w:r>
    </w:p>
    <w:p>
      <w:pPr>
        <w:ind w:right="40"/>
        <w:spacing w:after="0" w:line="226" w:lineRule="auto"/>
        <w:rPr>
          <w:sz w:val="20"/>
          <w:szCs w:val="20"/>
          <w:color w:val="auto"/>
        </w:rPr>
      </w:pPr>
      <w:r>
        <w:rPr>
          <w:rFonts w:ascii="Arial" w:cs="Arial" w:eastAsia="Arial" w:hAnsi="Arial"/>
          <w:sz w:val="17"/>
          <w:szCs w:val="17"/>
          <w:color w:val="auto"/>
        </w:rPr>
        <w:t>–FDA decision on BLA (target action date of February 11, 2021) and EC decision on MAA for HoFH (first half 2021)</w:t>
      </w:r>
    </w:p>
    <w:p>
      <w:pPr>
        <w:spacing w:after="0" w:line="1" w:lineRule="exact"/>
        <w:rPr>
          <w:sz w:val="20"/>
          <w:szCs w:val="20"/>
          <w:color w:val="auto"/>
        </w:rPr>
      </w:pPr>
    </w:p>
    <w:p>
      <w:pPr>
        <w:sectPr>
          <w:pgSz w:w="11900" w:h="16838" w:orient="portrait"/>
          <w:cols w:equalWidth="0" w:num="2">
            <w:col w:w="9160" w:space="320"/>
            <w:col w:w="1760"/>
          </w:cols>
          <w:pgMar w:left="320" w:top="130" w:right="339" w:bottom="1440" w:gutter="0" w:footer="0" w:header="0"/>
          <w:type w:val="continuous"/>
        </w:sectPr>
      </w:pPr>
    </w:p>
    <w:tbl>
      <w:tblPr>
        <w:tblLayout w:type="fixed"/>
        <w:tblInd w:w="0" w:type="dxa"/>
        <w:tblCellMar>
          <w:top w:w="0" w:type="dxa"/>
          <w:left w:w="0" w:type="dxa"/>
          <w:bottom w:w="0" w:type="dxa"/>
          <w:right w:w="0" w:type="dxa"/>
        </w:tblCellMar>
      </w:tblPr>
      <w:tr>
        <w:trPr>
          <w:trHeight w:val="178"/>
        </w:trPr>
        <w:tc>
          <w:tcPr>
            <w:tcW w:w="228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Garetosmab</w:t>
            </w:r>
            <w:r>
              <w:rPr>
                <w:rFonts w:ascii="Arial" w:cs="Arial" w:eastAsia="Arial" w:hAnsi="Arial"/>
                <w:sz w:val="20"/>
                <w:szCs w:val="20"/>
                <w:b w:val="1"/>
                <w:bCs w:val="1"/>
                <w:color w:val="auto"/>
                <w:vertAlign w:val="superscript"/>
              </w:rPr>
              <w:t>(f)</w:t>
            </w:r>
          </w:p>
        </w:tc>
        <w:tc>
          <w:tcPr>
            <w:tcW w:w="2660" w:type="dxa"/>
            <w:vAlign w:val="bottom"/>
            <w:shd w:val="clear" w:color="auto" w:fill="CCEEFF"/>
          </w:tcPr>
          <w:p>
            <w:pPr>
              <w:ind w:left="700"/>
              <w:spacing w:after="0" w:line="178" w:lineRule="exact"/>
              <w:rPr>
                <w:sz w:val="20"/>
                <w:szCs w:val="20"/>
                <w:color w:val="auto"/>
              </w:rPr>
            </w:pPr>
            <w:r>
              <w:rPr>
                <w:rFonts w:ascii="Arial" w:cs="Arial" w:eastAsia="Arial" w:hAnsi="Arial"/>
                <w:sz w:val="18"/>
                <w:szCs w:val="18"/>
                <w:color w:val="auto"/>
              </w:rPr>
              <w:t>–Fibrodysplasia</w:t>
            </w:r>
          </w:p>
        </w:tc>
        <w:tc>
          <w:tcPr>
            <w:tcW w:w="4460" w:type="dxa"/>
            <w:vAlign w:val="bottom"/>
            <w:shd w:val="clear" w:color="auto" w:fill="CCEEFF"/>
          </w:tcPr>
          <w:p>
            <w:pPr>
              <w:ind w:left="2640"/>
              <w:spacing w:after="0" w:line="178" w:lineRule="exact"/>
              <w:rPr>
                <w:sz w:val="20"/>
                <w:szCs w:val="20"/>
                <w:color w:val="auto"/>
              </w:rPr>
            </w:pPr>
            <w:r>
              <w:rPr>
                <w:rFonts w:ascii="Arial" w:cs="Arial" w:eastAsia="Arial" w:hAnsi="Arial"/>
                <w:sz w:val="18"/>
                <w:szCs w:val="18"/>
                <w:color w:val="auto"/>
                <w:w w:val="98"/>
              </w:rPr>
              <w:t>–Reported results from</w:t>
            </w:r>
          </w:p>
        </w:tc>
        <w:tc>
          <w:tcPr>
            <w:tcW w:w="1840" w:type="dxa"/>
            <w:vAlign w:val="bottom"/>
            <w:shd w:val="clear" w:color="auto" w:fill="CCEEFF"/>
          </w:tcPr>
          <w:p>
            <w:pPr>
              <w:ind w:left="80"/>
              <w:spacing w:after="0" w:line="178" w:lineRule="exact"/>
              <w:rPr>
                <w:sz w:val="20"/>
                <w:szCs w:val="20"/>
                <w:color w:val="auto"/>
              </w:rPr>
            </w:pPr>
            <w:r>
              <w:rPr>
                <w:rFonts w:ascii="Arial" w:cs="Arial" w:eastAsia="Arial" w:hAnsi="Arial"/>
                <w:sz w:val="18"/>
                <w:szCs w:val="18"/>
                <w:color w:val="auto"/>
              </w:rPr>
              <w:t>–Further review trial</w:t>
            </w: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(REGN2477)</w:t>
            </w:r>
          </w:p>
        </w:tc>
        <w:tc>
          <w:tcPr>
            <w:tcW w:w="2660" w:type="dxa"/>
            <w:vAlign w:val="bottom"/>
            <w:shd w:val="clear" w:color="auto" w:fill="CCEEFF"/>
          </w:tcPr>
          <w:p>
            <w:pPr>
              <w:ind w:left="700"/>
              <w:spacing w:after="0" w:line="176" w:lineRule="exact"/>
              <w:rPr>
                <w:sz w:val="20"/>
                <w:szCs w:val="20"/>
                <w:color w:val="auto"/>
              </w:rPr>
            </w:pPr>
            <w:r>
              <w:rPr>
                <w:rFonts w:ascii="Arial" w:cs="Arial" w:eastAsia="Arial" w:hAnsi="Arial"/>
                <w:sz w:val="18"/>
                <w:szCs w:val="18"/>
                <w:color w:val="auto"/>
              </w:rPr>
              <w:t>ossificans</w:t>
            </w:r>
          </w:p>
        </w:tc>
        <w:tc>
          <w:tcPr>
            <w:tcW w:w="4460" w:type="dxa"/>
            <w:vAlign w:val="bottom"/>
            <w:shd w:val="clear" w:color="auto" w:fill="CCEEFF"/>
          </w:tcPr>
          <w:p>
            <w:pPr>
              <w:ind w:left="2640"/>
              <w:spacing w:after="0" w:line="176" w:lineRule="exact"/>
              <w:rPr>
                <w:sz w:val="20"/>
                <w:szCs w:val="20"/>
                <w:color w:val="auto"/>
              </w:rPr>
            </w:pPr>
            <w:r>
              <w:rPr>
                <w:rFonts w:ascii="Arial" w:cs="Arial" w:eastAsia="Arial" w:hAnsi="Arial"/>
                <w:sz w:val="18"/>
                <w:szCs w:val="18"/>
                <w:color w:val="auto"/>
              </w:rPr>
              <w:t>Phase 2 study in FOP</w:t>
            </w:r>
          </w:p>
        </w:tc>
        <w:tc>
          <w:tcPr>
            <w:tcW w:w="184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89"/>
              </w:rPr>
              <w:t>data and determine next</w:t>
            </w: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Antibody to Activin A</w:t>
            </w:r>
          </w:p>
        </w:tc>
        <w:tc>
          <w:tcPr>
            <w:tcW w:w="2660" w:type="dxa"/>
            <w:vAlign w:val="bottom"/>
            <w:shd w:val="clear" w:color="auto" w:fill="CCEEFF"/>
          </w:tcPr>
          <w:p>
            <w:pPr>
              <w:ind w:left="700"/>
              <w:spacing w:after="0" w:line="176" w:lineRule="exact"/>
              <w:rPr>
                <w:sz w:val="20"/>
                <w:szCs w:val="20"/>
                <w:color w:val="auto"/>
              </w:rPr>
            </w:pPr>
            <w:r>
              <w:rPr>
                <w:rFonts w:ascii="Arial" w:cs="Arial" w:eastAsia="Arial" w:hAnsi="Arial"/>
                <w:sz w:val="18"/>
                <w:szCs w:val="18"/>
                <w:color w:val="auto"/>
              </w:rPr>
              <w:t>progressiva</w:t>
            </w:r>
          </w:p>
        </w:tc>
        <w:tc>
          <w:tcPr>
            <w:tcW w:w="4460" w:type="dxa"/>
            <w:vAlign w:val="bottom"/>
            <w:vMerge w:val="restart"/>
            <w:shd w:val="clear" w:color="auto" w:fill="CCEEFF"/>
          </w:tcPr>
          <w:p>
            <w:pPr>
              <w:ind w:left="2640"/>
              <w:spacing w:after="0"/>
              <w:rPr>
                <w:sz w:val="20"/>
                <w:szCs w:val="20"/>
                <w:color w:val="auto"/>
              </w:rPr>
            </w:pPr>
            <w:r>
              <w:rPr>
                <w:rFonts w:ascii="Arial" w:cs="Arial" w:eastAsia="Arial" w:hAnsi="Arial"/>
                <w:sz w:val="18"/>
                <w:szCs w:val="18"/>
                <w:color w:val="auto"/>
              </w:rPr>
              <w:t>–Paused dosing in the</w:t>
            </w:r>
          </w:p>
        </w:tc>
        <w:tc>
          <w:tcPr>
            <w:tcW w:w="184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steps for the program</w:t>
            </w: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spacing w:after="0"/>
              <w:rPr>
                <w:sz w:val="15"/>
                <w:szCs w:val="15"/>
                <w:color w:val="auto"/>
              </w:rPr>
            </w:pPr>
          </w:p>
        </w:tc>
        <w:tc>
          <w:tcPr>
            <w:tcW w:w="2660" w:type="dxa"/>
            <w:vAlign w:val="bottom"/>
            <w:shd w:val="clear" w:color="auto" w:fill="CCEEFF"/>
          </w:tcPr>
          <w:p>
            <w:pPr>
              <w:ind w:left="700"/>
              <w:spacing w:after="0" w:line="176" w:lineRule="exact"/>
              <w:rPr>
                <w:sz w:val="20"/>
                <w:szCs w:val="20"/>
                <w:color w:val="auto"/>
              </w:rPr>
            </w:pPr>
            <w:r>
              <w:rPr>
                <w:rFonts w:ascii="Arial" w:cs="Arial" w:eastAsia="Arial" w:hAnsi="Arial"/>
                <w:sz w:val="20"/>
                <w:szCs w:val="20"/>
                <w:color w:val="auto"/>
                <w:vertAlign w:val="subscript"/>
              </w:rPr>
              <w:t>("FOP")</w:t>
            </w:r>
            <w:r>
              <w:rPr>
                <w:rFonts w:ascii="Arial" w:cs="Arial" w:eastAsia="Arial" w:hAnsi="Arial"/>
                <w:sz w:val="9"/>
                <w:szCs w:val="9"/>
                <w:color w:val="auto"/>
              </w:rPr>
              <w:t>(c)(d)(e)</w:t>
            </w:r>
          </w:p>
        </w:tc>
        <w:tc>
          <w:tcPr>
            <w:tcW w:w="4460" w:type="dxa"/>
            <w:vAlign w:val="bottom"/>
            <w:vMerge w:val="continue"/>
            <w:shd w:val="clear" w:color="auto" w:fill="CCEEFF"/>
          </w:tcPr>
          <w:p>
            <w:pPr>
              <w:spacing w:after="0"/>
              <w:rPr>
                <w:sz w:val="15"/>
                <w:szCs w:val="15"/>
                <w:color w:val="auto"/>
              </w:rPr>
            </w:pPr>
          </w:p>
        </w:tc>
        <w:tc>
          <w:tcPr>
            <w:tcW w:w="184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(first half 2021)</w:t>
            </w:r>
          </w:p>
        </w:tc>
        <w:tc>
          <w:tcPr>
            <w:tcW w:w="0" w:type="dxa"/>
            <w:vAlign w:val="bottom"/>
          </w:tcPr>
          <w:p>
            <w:pPr>
              <w:spacing w:after="0"/>
              <w:rPr>
                <w:sz w:val="1"/>
                <w:szCs w:val="1"/>
                <w:color w:val="auto"/>
              </w:rPr>
            </w:pPr>
          </w:p>
        </w:tc>
      </w:tr>
      <w:tr>
        <w:trPr>
          <w:trHeight w:val="176"/>
        </w:trPr>
        <w:tc>
          <w:tcPr>
            <w:tcW w:w="2280" w:type="dxa"/>
            <w:vAlign w:val="bottom"/>
            <w:shd w:val="clear" w:color="auto" w:fill="CCEEFF"/>
          </w:tcPr>
          <w:p>
            <w:pPr>
              <w:spacing w:after="0"/>
              <w:rPr>
                <w:sz w:val="15"/>
                <w:szCs w:val="15"/>
                <w:color w:val="auto"/>
              </w:rPr>
            </w:pPr>
          </w:p>
        </w:tc>
        <w:tc>
          <w:tcPr>
            <w:tcW w:w="2660" w:type="dxa"/>
            <w:vAlign w:val="bottom"/>
            <w:shd w:val="clear" w:color="auto" w:fill="CCEEFF"/>
          </w:tcPr>
          <w:p>
            <w:pPr>
              <w:ind w:left="700"/>
              <w:spacing w:after="0" w:line="176" w:lineRule="exact"/>
              <w:rPr>
                <w:sz w:val="20"/>
                <w:szCs w:val="20"/>
                <w:color w:val="auto"/>
              </w:rPr>
            </w:pPr>
            <w:r>
              <w:rPr>
                <w:rFonts w:ascii="Arial" w:cs="Arial" w:eastAsia="Arial" w:hAnsi="Arial"/>
                <w:sz w:val="18"/>
                <w:szCs w:val="18"/>
                <w:color w:val="auto"/>
              </w:rPr>
              <w:t>(potentially pivotal</w:t>
            </w:r>
          </w:p>
        </w:tc>
        <w:tc>
          <w:tcPr>
            <w:tcW w:w="4460" w:type="dxa"/>
            <w:vAlign w:val="bottom"/>
            <w:shd w:val="clear" w:color="auto" w:fill="CCEEFF"/>
          </w:tcPr>
          <w:p>
            <w:pPr>
              <w:ind w:left="2640"/>
              <w:spacing w:after="0" w:line="176" w:lineRule="exact"/>
              <w:rPr>
                <w:sz w:val="20"/>
                <w:szCs w:val="20"/>
                <w:color w:val="auto"/>
              </w:rPr>
            </w:pPr>
            <w:r>
              <w:rPr>
                <w:rFonts w:ascii="Arial" w:cs="Arial" w:eastAsia="Arial" w:hAnsi="Arial"/>
                <w:sz w:val="18"/>
                <w:szCs w:val="18"/>
                <w:color w:val="auto"/>
              </w:rPr>
              <w:t>open-label portion of</w:t>
            </w: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spacing w:after="0"/>
              <w:rPr>
                <w:sz w:val="15"/>
                <w:szCs w:val="15"/>
                <w:color w:val="auto"/>
              </w:rPr>
            </w:pPr>
          </w:p>
        </w:tc>
        <w:tc>
          <w:tcPr>
            <w:tcW w:w="2660" w:type="dxa"/>
            <w:vAlign w:val="bottom"/>
            <w:shd w:val="clear" w:color="auto" w:fill="CCEEFF"/>
          </w:tcPr>
          <w:p>
            <w:pPr>
              <w:ind w:left="700"/>
              <w:spacing w:after="0" w:line="176" w:lineRule="exact"/>
              <w:rPr>
                <w:sz w:val="20"/>
                <w:szCs w:val="20"/>
                <w:color w:val="auto"/>
              </w:rPr>
            </w:pPr>
            <w:r>
              <w:rPr>
                <w:rFonts w:ascii="Arial" w:cs="Arial" w:eastAsia="Arial" w:hAnsi="Arial"/>
                <w:sz w:val="18"/>
                <w:szCs w:val="18"/>
                <w:color w:val="auto"/>
              </w:rPr>
              <w:t>study)</w:t>
            </w:r>
          </w:p>
        </w:tc>
        <w:tc>
          <w:tcPr>
            <w:tcW w:w="4460" w:type="dxa"/>
            <w:vAlign w:val="bottom"/>
            <w:shd w:val="clear" w:color="auto" w:fill="CCEEFF"/>
          </w:tcPr>
          <w:p>
            <w:pPr>
              <w:ind w:left="2640"/>
              <w:spacing w:after="0" w:line="176" w:lineRule="exact"/>
              <w:rPr>
                <w:sz w:val="20"/>
                <w:szCs w:val="20"/>
                <w:color w:val="auto"/>
              </w:rPr>
            </w:pPr>
            <w:r>
              <w:rPr>
                <w:rFonts w:ascii="Arial" w:cs="Arial" w:eastAsia="Arial" w:hAnsi="Arial"/>
                <w:sz w:val="18"/>
                <w:szCs w:val="18"/>
                <w:color w:val="auto"/>
              </w:rPr>
              <w:t>the Phase 2 study in</w:t>
            </w: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4460" w:type="dxa"/>
            <w:vAlign w:val="bottom"/>
            <w:shd w:val="clear" w:color="auto" w:fill="CCEEFF"/>
          </w:tcPr>
          <w:p>
            <w:pPr>
              <w:ind w:left="2640"/>
              <w:spacing w:after="0" w:line="176" w:lineRule="exact"/>
              <w:rPr>
                <w:sz w:val="20"/>
                <w:szCs w:val="20"/>
                <w:color w:val="auto"/>
              </w:rPr>
            </w:pPr>
            <w:r>
              <w:rPr>
                <w:rFonts w:ascii="Arial" w:cs="Arial" w:eastAsia="Arial" w:hAnsi="Arial"/>
                <w:sz w:val="18"/>
                <w:szCs w:val="18"/>
                <w:color w:val="auto"/>
                <w:w w:val="91"/>
              </w:rPr>
              <w:t>FOP based on reports of</w:t>
            </w: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4460" w:type="dxa"/>
            <w:vAlign w:val="bottom"/>
            <w:shd w:val="clear" w:color="auto" w:fill="CCEEFF"/>
          </w:tcPr>
          <w:p>
            <w:pPr>
              <w:ind w:left="2640"/>
              <w:spacing w:after="0"/>
              <w:rPr>
                <w:sz w:val="20"/>
                <w:szCs w:val="20"/>
                <w:color w:val="auto"/>
              </w:rPr>
            </w:pPr>
            <w:r>
              <w:rPr>
                <w:rFonts w:ascii="Arial" w:cs="Arial" w:eastAsia="Arial" w:hAnsi="Arial"/>
                <w:sz w:val="18"/>
                <w:szCs w:val="18"/>
                <w:color w:val="auto"/>
                <w:w w:val="97"/>
              </w:rPr>
              <w:t>serious adverse events</w:t>
            </w: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80" w:type="dxa"/>
            <w:vAlign w:val="bottom"/>
          </w:tcPr>
          <w:p>
            <w:pPr>
              <w:ind w:left="20"/>
              <w:spacing w:after="0" w:line="176" w:lineRule="exact"/>
              <w:rPr>
                <w:sz w:val="20"/>
                <w:szCs w:val="20"/>
                <w:color w:val="auto"/>
              </w:rPr>
            </w:pPr>
            <w:r>
              <w:rPr>
                <w:rFonts w:ascii="Arial" w:cs="Arial" w:eastAsia="Arial" w:hAnsi="Arial"/>
                <w:sz w:val="16"/>
                <w:szCs w:val="16"/>
                <w:b w:val="1"/>
                <w:bCs w:val="1"/>
                <w:color w:val="auto"/>
              </w:rPr>
              <w:t>REGN4461</w:t>
            </w:r>
            <w:r>
              <w:rPr>
                <w:rFonts w:ascii="Arial" w:cs="Arial" w:eastAsia="Arial" w:hAnsi="Arial"/>
                <w:sz w:val="20"/>
                <w:szCs w:val="20"/>
                <w:b w:val="1"/>
                <w:bCs w:val="1"/>
                <w:color w:val="auto"/>
                <w:vertAlign w:val="superscript"/>
              </w:rPr>
              <w:t>(f)</w:t>
            </w:r>
          </w:p>
        </w:tc>
        <w:tc>
          <w:tcPr>
            <w:tcW w:w="2660" w:type="dxa"/>
            <w:vAlign w:val="bottom"/>
          </w:tcPr>
          <w:p>
            <w:pPr>
              <w:ind w:left="700"/>
              <w:spacing w:after="0" w:line="176" w:lineRule="exact"/>
              <w:rPr>
                <w:sz w:val="20"/>
                <w:szCs w:val="20"/>
                <w:color w:val="auto"/>
              </w:rPr>
            </w:pPr>
            <w:r>
              <w:rPr>
                <w:rFonts w:ascii="Arial" w:cs="Arial" w:eastAsia="Arial" w:hAnsi="Arial"/>
                <w:sz w:val="18"/>
                <w:szCs w:val="18"/>
                <w:color w:val="auto"/>
              </w:rPr>
              <w:t>–Generalized</w:t>
            </w:r>
          </w:p>
        </w:tc>
        <w:tc>
          <w:tcPr>
            <w:tcW w:w="44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8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Agonist antibody to</w:t>
            </w:r>
          </w:p>
        </w:tc>
        <w:tc>
          <w:tcPr>
            <w:tcW w:w="2660" w:type="dxa"/>
            <w:vAlign w:val="bottom"/>
          </w:tcPr>
          <w:p>
            <w:pPr>
              <w:ind w:left="700"/>
              <w:spacing w:after="0" w:line="176" w:lineRule="exact"/>
              <w:rPr>
                <w:sz w:val="20"/>
                <w:szCs w:val="20"/>
                <w:color w:val="auto"/>
              </w:rPr>
            </w:pPr>
            <w:r>
              <w:rPr>
                <w:rFonts w:ascii="Arial" w:cs="Arial" w:eastAsia="Arial" w:hAnsi="Arial"/>
                <w:sz w:val="16"/>
                <w:szCs w:val="16"/>
                <w:color w:val="auto"/>
              </w:rPr>
              <w:t>lipodystrophy</w:t>
            </w:r>
            <w:r>
              <w:rPr>
                <w:rFonts w:ascii="Arial" w:cs="Arial" w:eastAsia="Arial" w:hAnsi="Arial"/>
                <w:sz w:val="20"/>
                <w:szCs w:val="20"/>
                <w:color w:val="auto"/>
                <w:vertAlign w:val="superscript"/>
              </w:rPr>
              <w:t>(e)</w:t>
            </w:r>
          </w:p>
        </w:tc>
        <w:tc>
          <w:tcPr>
            <w:tcW w:w="44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8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leptin receptor</w:t>
            </w:r>
          </w:p>
        </w:tc>
        <w:tc>
          <w:tcPr>
            <w:tcW w:w="266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20"/>
              <w:spacing w:after="0"/>
              <w:rPr>
                <w:sz w:val="20"/>
                <w:szCs w:val="20"/>
                <w:color w:val="auto"/>
              </w:rPr>
            </w:pPr>
            <w:r>
              <w:rPr>
                <w:rFonts w:ascii="Arial" w:cs="Arial" w:eastAsia="Arial" w:hAnsi="Arial"/>
                <w:sz w:val="18"/>
                <w:szCs w:val="18"/>
                <w:i w:val="1"/>
                <w:iCs w:val="1"/>
                <w:color w:val="auto"/>
              </w:rPr>
              <w:t>("LEPR")</w:t>
            </w:r>
          </w:p>
        </w:tc>
        <w:tc>
          <w:tcPr>
            <w:tcW w:w="266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9"/>
        </w:trPr>
        <w:tc>
          <w:tcPr>
            <w:tcW w:w="2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460" w:type="dxa"/>
            <w:vAlign w:val="bottom"/>
          </w:tcPr>
          <w:p>
            <w:pPr>
              <w:ind w:left="600"/>
              <w:spacing w:after="0"/>
              <w:rPr>
                <w:sz w:val="20"/>
                <w:szCs w:val="20"/>
                <w:color w:val="auto"/>
              </w:rPr>
            </w:pPr>
            <w:r>
              <w:rPr>
                <w:rFonts w:ascii="Arial" w:cs="Arial" w:eastAsia="Arial" w:hAnsi="Arial"/>
                <w:sz w:val="18"/>
                <w:szCs w:val="18"/>
                <w:color w:val="auto"/>
              </w:rPr>
              <w:t>12</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2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gridSpan w:val="2"/>
          </w:tcPr>
          <w:p>
            <w:pPr>
              <w:ind w:left="220"/>
              <w:spacing w:after="0"/>
              <w:rPr>
                <w:sz w:val="20"/>
                <w:szCs w:val="20"/>
                <w:color w:val="auto"/>
              </w:rPr>
            </w:pPr>
            <w:r>
              <w:rPr>
                <w:rFonts w:ascii="Arial" w:cs="Arial" w:eastAsia="Arial" w:hAnsi="Arial"/>
                <w:sz w:val="18"/>
                <w:szCs w:val="18"/>
                <w:b w:val="1"/>
                <w:bCs w:val="1"/>
                <w:color w:val="auto"/>
              </w:rPr>
              <w:t>Clinical Program</w:t>
            </w:r>
          </w:p>
        </w:tc>
        <w:tc>
          <w:tcPr>
            <w:tcW w:w="122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Phase 1</w:t>
            </w:r>
          </w:p>
        </w:tc>
        <w:tc>
          <w:tcPr>
            <w:tcW w:w="150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Phase 2</w:t>
            </w:r>
          </w:p>
        </w:tc>
        <w:tc>
          <w:tcPr>
            <w:tcW w:w="156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Phase 3</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Regulatory</w:t>
            </w:r>
          </w:p>
        </w:tc>
        <w:tc>
          <w:tcPr>
            <w:tcW w:w="1940" w:type="dxa"/>
            <w:vAlign w:val="bottom"/>
            <w:gridSpan w:val="2"/>
          </w:tcPr>
          <w:p>
            <w:pPr>
              <w:ind w:left="380"/>
              <w:spacing w:after="0"/>
              <w:rPr>
                <w:sz w:val="20"/>
                <w:szCs w:val="20"/>
                <w:color w:val="auto"/>
              </w:rPr>
            </w:pPr>
            <w:r>
              <w:rPr>
                <w:rFonts w:ascii="Arial" w:cs="Arial" w:eastAsia="Arial" w:hAnsi="Arial"/>
                <w:sz w:val="18"/>
                <w:szCs w:val="18"/>
                <w:b w:val="1"/>
                <w:bCs w:val="1"/>
                <w:color w:val="auto"/>
              </w:rPr>
              <w:t>2020 and 2021</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7"/>
              </w:rPr>
              <w:t>Select Upcoming</w:t>
            </w:r>
          </w:p>
        </w:tc>
        <w:tc>
          <w:tcPr>
            <w:tcW w:w="0" w:type="dxa"/>
            <w:vAlign w:val="bottom"/>
          </w:tcPr>
          <w:p>
            <w:pPr>
              <w:spacing w:after="0"/>
              <w:rPr>
                <w:sz w:val="1"/>
                <w:szCs w:val="1"/>
                <w:color w:val="auto"/>
              </w:rPr>
            </w:pPr>
          </w:p>
        </w:tc>
      </w:tr>
      <w:tr>
        <w:trPr>
          <w:trHeight w:val="229"/>
        </w:trPr>
        <w:tc>
          <w:tcPr>
            <w:tcW w:w="1860" w:type="dxa"/>
            <w:vAlign w:val="bottom"/>
            <w:gridSpan w:val="2"/>
          </w:tcPr>
          <w:p>
            <w:pPr>
              <w:ind w:left="460"/>
              <w:spacing w:after="0"/>
              <w:rPr>
                <w:sz w:val="20"/>
                <w:szCs w:val="20"/>
                <w:color w:val="auto"/>
              </w:rPr>
            </w:pPr>
            <w:r>
              <w:rPr>
                <w:rFonts w:ascii="Arial" w:cs="Arial" w:eastAsia="Arial" w:hAnsi="Arial"/>
                <w:sz w:val="18"/>
                <w:szCs w:val="18"/>
                <w:b w:val="1"/>
                <w:bCs w:val="1"/>
                <w:i w:val="1"/>
                <w:iCs w:val="1"/>
                <w:color w:val="auto"/>
              </w:rPr>
              <w:t>(continued)</w:t>
            </w:r>
          </w:p>
        </w:tc>
        <w:tc>
          <w:tcPr>
            <w:tcW w:w="1220" w:type="dxa"/>
            <w:vAlign w:val="bottom"/>
            <w:gridSpan w:val="2"/>
            <w:vMerge w:val="continue"/>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1320" w:type="dxa"/>
            <w:vAlign w:val="bottom"/>
            <w:gridSpan w:val="2"/>
          </w:tcPr>
          <w:p>
            <w:pPr>
              <w:jc w:val="center"/>
              <w:ind w:right="80"/>
              <w:spacing w:after="0" w:line="230" w:lineRule="exact"/>
              <w:rPr>
                <w:sz w:val="20"/>
                <w:szCs w:val="20"/>
                <w:color w:val="auto"/>
              </w:rPr>
            </w:pPr>
            <w:r>
              <w:rPr>
                <w:rFonts w:ascii="Arial" w:cs="Arial" w:eastAsia="Arial" w:hAnsi="Arial"/>
                <w:sz w:val="18"/>
                <w:szCs w:val="18"/>
                <w:b w:val="1"/>
                <w:bCs w:val="1"/>
                <w:color w:val="auto"/>
                <w:w w:val="88"/>
              </w:rPr>
              <w:t>Review</w:t>
            </w:r>
            <w:r>
              <w:rPr>
                <w:rFonts w:ascii="Arial" w:cs="Arial" w:eastAsia="Arial" w:hAnsi="Arial"/>
                <w:sz w:val="23"/>
                <w:szCs w:val="23"/>
                <w:b w:val="1"/>
                <w:bCs w:val="1"/>
                <w:color w:val="auto"/>
                <w:w w:val="88"/>
                <w:vertAlign w:val="superscript"/>
              </w:rPr>
              <w:t>(i)</w:t>
            </w:r>
          </w:p>
        </w:tc>
        <w:tc>
          <w:tcPr>
            <w:tcW w:w="1940" w:type="dxa"/>
            <w:vAlign w:val="bottom"/>
            <w:gridSpan w:val="2"/>
          </w:tcPr>
          <w:p>
            <w:pPr>
              <w:ind w:left="360"/>
              <w:spacing w:after="0"/>
              <w:rPr>
                <w:sz w:val="20"/>
                <w:szCs w:val="20"/>
                <w:color w:val="auto"/>
              </w:rPr>
            </w:pPr>
            <w:r>
              <w:rPr>
                <w:rFonts w:ascii="Arial" w:cs="Arial" w:eastAsia="Arial" w:hAnsi="Arial"/>
                <w:sz w:val="18"/>
                <w:szCs w:val="18"/>
                <w:b w:val="1"/>
                <w:bCs w:val="1"/>
                <w:color w:val="auto"/>
              </w:rPr>
              <w:t>Events to Date</w:t>
            </w:r>
          </w:p>
        </w:tc>
        <w:tc>
          <w:tcPr>
            <w:tcW w:w="1840" w:type="dxa"/>
            <w:vAlign w:val="bottom"/>
          </w:tcPr>
          <w:p>
            <w:pPr>
              <w:jc w:val="center"/>
              <w:spacing w:after="0" w:line="230" w:lineRule="exact"/>
              <w:rPr>
                <w:sz w:val="20"/>
                <w:szCs w:val="20"/>
                <w:color w:val="auto"/>
              </w:rPr>
            </w:pPr>
            <w:r>
              <w:rPr>
                <w:rFonts w:ascii="Arial" w:cs="Arial" w:eastAsia="Arial" w:hAnsi="Arial"/>
                <w:sz w:val="18"/>
                <w:szCs w:val="18"/>
                <w:b w:val="1"/>
                <w:bCs w:val="1"/>
                <w:color w:val="auto"/>
                <w:w w:val="85"/>
              </w:rPr>
              <w:t>Milestones</w:t>
            </w:r>
            <w:r>
              <w:rPr>
                <w:rFonts w:ascii="Arial" w:cs="Arial" w:eastAsia="Arial" w:hAnsi="Arial"/>
                <w:sz w:val="23"/>
                <w:szCs w:val="23"/>
                <w:b w:val="1"/>
                <w:bCs w:val="1"/>
                <w:color w:val="auto"/>
                <w:w w:val="85"/>
                <w:vertAlign w:val="superscript"/>
              </w:rPr>
              <w:t>(k)</w:t>
            </w:r>
          </w:p>
        </w:tc>
        <w:tc>
          <w:tcPr>
            <w:tcW w:w="0" w:type="dxa"/>
            <w:vAlign w:val="bottom"/>
          </w:tcPr>
          <w:p>
            <w:pPr>
              <w:spacing w:after="0"/>
              <w:rPr>
                <w:sz w:val="1"/>
                <w:szCs w:val="1"/>
                <w:color w:val="auto"/>
              </w:rPr>
            </w:pPr>
          </w:p>
        </w:tc>
      </w:tr>
      <w:tr>
        <w:trPr>
          <w:trHeight w:val="169"/>
        </w:trPr>
        <w:tc>
          <w:tcPr>
            <w:tcW w:w="178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rPr>
              <w:t>REGN5381</w:t>
            </w:r>
          </w:p>
        </w:tc>
        <w:tc>
          <w:tcPr>
            <w:tcW w:w="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–Heart failure</w:t>
            </w:r>
          </w:p>
        </w:tc>
        <w:tc>
          <w:tcPr>
            <w:tcW w:w="8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Agonist antibody to</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NPR1</w:t>
            </w: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60" w:type="dxa"/>
            <w:vAlign w:val="bottom"/>
            <w:gridSpan w:val="2"/>
          </w:tcPr>
          <w:p>
            <w:pPr>
              <w:ind w:left="20"/>
              <w:spacing w:after="0" w:line="176" w:lineRule="exact"/>
              <w:rPr>
                <w:sz w:val="20"/>
                <w:szCs w:val="20"/>
                <w:color w:val="auto"/>
              </w:rPr>
            </w:pPr>
            <w:r>
              <w:rPr>
                <w:rFonts w:ascii="Arial" w:cs="Arial" w:eastAsia="Arial" w:hAnsi="Arial"/>
                <w:sz w:val="16"/>
                <w:szCs w:val="16"/>
                <w:b w:val="1"/>
                <w:bCs w:val="1"/>
                <w:color w:val="auto"/>
              </w:rPr>
              <w:t>ALN-HSD</w:t>
            </w:r>
            <w:r>
              <w:rPr>
                <w:rFonts w:ascii="Arial" w:cs="Arial" w:eastAsia="Arial" w:hAnsi="Arial"/>
                <w:sz w:val="20"/>
                <w:szCs w:val="20"/>
                <w:b w:val="1"/>
                <w:bCs w:val="1"/>
                <w:color w:val="auto"/>
                <w:vertAlign w:val="superscript"/>
              </w:rPr>
              <w:t>(p)</w:t>
            </w:r>
          </w:p>
        </w:tc>
        <w:tc>
          <w:tcPr>
            <w:tcW w:w="12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–Nonalcoholic</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6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RNAi therapeutic</w:t>
            </w:r>
          </w:p>
        </w:tc>
        <w:tc>
          <w:tcPr>
            <w:tcW w:w="12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steatohepatitis</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60" w:type="dxa"/>
            <w:vAlign w:val="bottom"/>
            <w:gridSpan w:val="2"/>
          </w:tcPr>
          <w:p>
            <w:pPr>
              <w:ind w:left="20"/>
              <w:spacing w:after="0"/>
              <w:rPr>
                <w:sz w:val="20"/>
                <w:szCs w:val="20"/>
                <w:color w:val="auto"/>
              </w:rPr>
            </w:pPr>
            <w:r>
              <w:rPr>
                <w:rFonts w:ascii="Arial" w:cs="Arial" w:eastAsia="Arial" w:hAnsi="Arial"/>
                <w:sz w:val="18"/>
                <w:szCs w:val="18"/>
                <w:i w:val="1"/>
                <w:iCs w:val="1"/>
                <w:color w:val="auto"/>
              </w:rPr>
              <w:t>targeting HSD17B13</w:t>
            </w: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("NASH")</w:t>
            </w: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54" w:lineRule="exact"/>
        <w:rPr>
          <w:sz w:val="20"/>
          <w:szCs w:val="20"/>
          <w:color w:val="auto"/>
        </w:rPr>
      </w:pPr>
    </w:p>
    <w:p>
      <w:pPr>
        <w:ind w:left="240" w:right="420"/>
        <w:spacing w:after="0"/>
        <w:rPr>
          <w:sz w:val="20"/>
          <w:szCs w:val="20"/>
          <w:color w:val="auto"/>
        </w:rPr>
      </w:pPr>
      <w:r>
        <w:rPr>
          <w:rFonts w:ascii="Arial" w:cs="Arial" w:eastAsia="Arial" w:hAnsi="Arial"/>
          <w:sz w:val="16"/>
          <w:szCs w:val="16"/>
          <w:color w:val="auto"/>
        </w:rPr>
        <w:t>Note 1: For purposes of the table above, a program is classified in Phase 1, 2, or 3 clinical development after recruitment for the corresponding study or studies has commenced</w:t>
      </w:r>
    </w:p>
    <w:p>
      <w:pPr>
        <w:spacing w:after="0" w:line="10" w:lineRule="exact"/>
        <w:rPr>
          <w:sz w:val="20"/>
          <w:szCs w:val="20"/>
          <w:color w:val="auto"/>
        </w:rPr>
      </w:pPr>
    </w:p>
    <w:p>
      <w:pPr>
        <w:ind w:left="240"/>
        <w:spacing w:after="0"/>
        <w:rPr>
          <w:sz w:val="20"/>
          <w:szCs w:val="20"/>
          <w:color w:val="auto"/>
        </w:rPr>
      </w:pPr>
      <w:r>
        <w:rPr>
          <w:rFonts w:ascii="Arial" w:cs="Arial" w:eastAsia="Arial" w:hAnsi="Arial"/>
          <w:sz w:val="15"/>
          <w:szCs w:val="15"/>
          <w:color w:val="auto"/>
        </w:rPr>
        <w:t>Note 2: We have discontinued further clinical development of REGN5069, an antibody to GFRα3, which was previously being studied in osteoarthritis pain of the knee</w:t>
      </w:r>
    </w:p>
    <w:p>
      <w:pPr>
        <w:spacing w:after="0" w:line="44" w:lineRule="exact"/>
        <w:rPr>
          <w:sz w:val="20"/>
          <w:szCs w:val="20"/>
          <w:color w:val="auto"/>
        </w:rPr>
      </w:pPr>
    </w:p>
    <w:p>
      <w:pPr>
        <w:ind w:left="380" w:hanging="145"/>
        <w:spacing w:after="0"/>
        <w:tabs>
          <w:tab w:leader="none" w:pos="380" w:val="left"/>
        </w:tabs>
        <w:numPr>
          <w:ilvl w:val="0"/>
          <w:numId w:val="6"/>
        </w:numPr>
        <w:rPr>
          <w:rFonts w:ascii="Arial" w:cs="Arial" w:eastAsia="Arial" w:hAnsi="Arial"/>
          <w:sz w:val="17"/>
          <w:szCs w:val="17"/>
          <w:color w:val="auto"/>
          <w:vertAlign w:val="superscript"/>
        </w:rPr>
      </w:pPr>
      <w:r>
        <w:rPr>
          <w:rFonts w:ascii="Arial" w:cs="Arial" w:eastAsia="Arial" w:hAnsi="Arial"/>
          <w:sz w:val="13"/>
          <w:szCs w:val="13"/>
          <w:color w:val="auto"/>
        </w:rPr>
        <w:t>In collaboration with Sanofi</w:t>
      </w:r>
    </w:p>
    <w:p>
      <w:pPr>
        <w:spacing w:after="0" w:line="34" w:lineRule="exact"/>
        <w:rPr>
          <w:rFonts w:ascii="Arial" w:cs="Arial" w:eastAsia="Arial" w:hAnsi="Arial"/>
          <w:sz w:val="17"/>
          <w:szCs w:val="17"/>
          <w:color w:val="auto"/>
          <w:vertAlign w:val="superscript"/>
        </w:rPr>
      </w:pPr>
    </w:p>
    <w:p>
      <w:pPr>
        <w:ind w:left="380" w:hanging="145"/>
        <w:spacing w:after="0" w:line="236" w:lineRule="auto"/>
        <w:tabs>
          <w:tab w:leader="none" w:pos="380" w:val="left"/>
        </w:tabs>
        <w:numPr>
          <w:ilvl w:val="0"/>
          <w:numId w:val="6"/>
        </w:numPr>
        <w:rPr>
          <w:rFonts w:ascii="Arial" w:cs="Arial" w:eastAsia="Arial" w:hAnsi="Arial"/>
          <w:sz w:val="17"/>
          <w:szCs w:val="17"/>
          <w:color w:val="auto"/>
          <w:vertAlign w:val="superscript"/>
        </w:rPr>
      </w:pPr>
      <w:r>
        <w:rPr>
          <w:rFonts w:ascii="Arial" w:cs="Arial" w:eastAsia="Arial" w:hAnsi="Arial"/>
          <w:sz w:val="13"/>
          <w:szCs w:val="13"/>
          <w:color w:val="auto"/>
        </w:rPr>
        <w:t>In collaboration with Bayer outside of the United States</w:t>
      </w:r>
    </w:p>
    <w:p>
      <w:pPr>
        <w:spacing w:after="0" w:line="23" w:lineRule="exact"/>
        <w:rPr>
          <w:rFonts w:ascii="Arial" w:cs="Arial" w:eastAsia="Arial" w:hAnsi="Arial"/>
          <w:sz w:val="17"/>
          <w:szCs w:val="17"/>
          <w:color w:val="auto"/>
          <w:vertAlign w:val="superscript"/>
        </w:rPr>
      </w:pPr>
    </w:p>
    <w:p>
      <w:pPr>
        <w:ind w:left="400" w:hanging="165"/>
        <w:spacing w:after="0" w:line="191" w:lineRule="auto"/>
        <w:tabs>
          <w:tab w:leader="none" w:pos="40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FDA granted orphan drug designation</w:t>
      </w:r>
    </w:p>
    <w:p>
      <w:pPr>
        <w:spacing w:after="0" w:line="23" w:lineRule="exact"/>
        <w:rPr>
          <w:rFonts w:ascii="Arial" w:cs="Arial" w:eastAsia="Arial" w:hAnsi="Arial"/>
          <w:sz w:val="21"/>
          <w:szCs w:val="21"/>
          <w:color w:val="auto"/>
          <w:vertAlign w:val="superscript"/>
        </w:rPr>
      </w:pPr>
    </w:p>
    <w:p>
      <w:pPr>
        <w:ind w:left="380" w:hanging="145"/>
        <w:spacing w:after="0" w:line="236" w:lineRule="auto"/>
        <w:tabs>
          <w:tab w:leader="none" w:pos="380" w:val="left"/>
        </w:tabs>
        <w:numPr>
          <w:ilvl w:val="0"/>
          <w:numId w:val="6"/>
        </w:numPr>
        <w:rPr>
          <w:rFonts w:ascii="Arial" w:cs="Arial" w:eastAsia="Arial" w:hAnsi="Arial"/>
          <w:sz w:val="17"/>
          <w:szCs w:val="17"/>
          <w:color w:val="auto"/>
          <w:vertAlign w:val="superscript"/>
        </w:rPr>
      </w:pPr>
      <w:r>
        <w:rPr>
          <w:rFonts w:ascii="Arial" w:cs="Arial" w:eastAsia="Arial" w:hAnsi="Arial"/>
          <w:sz w:val="13"/>
          <w:szCs w:val="13"/>
          <w:color w:val="auto"/>
        </w:rPr>
        <w:t>FDA granted Breakthrough Therapy designation</w:t>
      </w:r>
    </w:p>
    <w:p>
      <w:pPr>
        <w:spacing w:after="0" w:line="23" w:lineRule="exact"/>
        <w:rPr>
          <w:rFonts w:ascii="Arial" w:cs="Arial" w:eastAsia="Arial" w:hAnsi="Arial"/>
          <w:sz w:val="17"/>
          <w:szCs w:val="17"/>
          <w:color w:val="auto"/>
          <w:vertAlign w:val="superscript"/>
        </w:rPr>
      </w:pPr>
    </w:p>
    <w:p>
      <w:pPr>
        <w:ind w:left="400" w:hanging="165"/>
        <w:spacing w:after="0" w:line="200" w:lineRule="auto"/>
        <w:tabs>
          <w:tab w:leader="none" w:pos="400" w:val="left"/>
        </w:tabs>
        <w:numPr>
          <w:ilvl w:val="0"/>
          <w:numId w:val="6"/>
        </w:numPr>
        <w:rPr>
          <w:rFonts w:ascii="Arial" w:cs="Arial" w:eastAsia="Arial" w:hAnsi="Arial"/>
          <w:sz w:val="20"/>
          <w:szCs w:val="20"/>
          <w:color w:val="auto"/>
          <w:vertAlign w:val="superscript"/>
        </w:rPr>
      </w:pPr>
      <w:r>
        <w:rPr>
          <w:rFonts w:ascii="Arial" w:cs="Arial" w:eastAsia="Arial" w:hAnsi="Arial"/>
          <w:sz w:val="15"/>
          <w:szCs w:val="15"/>
          <w:color w:val="auto"/>
        </w:rPr>
        <w:t>FDA granted Fast Track designation</w:t>
      </w:r>
    </w:p>
    <w:p>
      <w:pPr>
        <w:spacing w:after="0" w:line="24" w:lineRule="exact"/>
        <w:rPr>
          <w:rFonts w:ascii="Arial" w:cs="Arial" w:eastAsia="Arial" w:hAnsi="Arial"/>
          <w:sz w:val="20"/>
          <w:szCs w:val="20"/>
          <w:color w:val="auto"/>
          <w:vertAlign w:val="superscript"/>
        </w:rPr>
      </w:pPr>
    </w:p>
    <w:p>
      <w:pPr>
        <w:ind w:left="240" w:right="100" w:hanging="5"/>
        <w:spacing w:after="0" w:line="199" w:lineRule="auto"/>
        <w:tabs>
          <w:tab w:leader="none" w:pos="386"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Sanofi did not opt-in to or elected not to continue to co-develop the product candidate. Under the terms of our agreement, Sanofi is entitled to receive royalties on any future sales of the product candidate.</w:t>
      </w:r>
    </w:p>
    <w:p>
      <w:pPr>
        <w:spacing w:after="0" w:line="11" w:lineRule="exact"/>
        <w:rPr>
          <w:rFonts w:ascii="Arial" w:cs="Arial" w:eastAsia="Arial" w:hAnsi="Arial"/>
          <w:sz w:val="21"/>
          <w:szCs w:val="21"/>
          <w:color w:val="auto"/>
          <w:vertAlign w:val="superscript"/>
        </w:rPr>
      </w:pPr>
    </w:p>
    <w:p>
      <w:pPr>
        <w:ind w:left="240" w:right="520" w:hanging="5"/>
        <w:spacing w:after="0"/>
        <w:tabs>
          <w:tab w:leader="none" w:pos="389"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We and the Biomedical Advanced Research Development Authority ("BARDA") of the U.S. Department of Health and Human Services ("HHS") are parties to agreements whereby HHS provides certain funding to support research and development of this product candidate</w:t>
      </w:r>
    </w:p>
    <w:p>
      <w:pPr>
        <w:ind w:left="400" w:hanging="165"/>
        <w:spacing w:after="0" w:line="225" w:lineRule="auto"/>
        <w:tabs>
          <w:tab w:leader="none" w:pos="400" w:val="left"/>
        </w:tabs>
        <w:numPr>
          <w:ilvl w:val="0"/>
          <w:numId w:val="6"/>
        </w:numPr>
        <w:rPr>
          <w:rFonts w:ascii="Arial" w:cs="Arial" w:eastAsia="Arial" w:hAnsi="Arial"/>
          <w:sz w:val="20"/>
          <w:szCs w:val="20"/>
          <w:color w:val="auto"/>
          <w:vertAlign w:val="superscript"/>
        </w:rPr>
      </w:pPr>
      <w:r>
        <w:rPr>
          <w:rFonts w:ascii="Arial" w:cs="Arial" w:eastAsia="Arial" w:hAnsi="Arial"/>
          <w:sz w:val="15"/>
          <w:szCs w:val="15"/>
          <w:color w:val="auto"/>
        </w:rPr>
        <w:t>Studied as monotherapy and in combination with other antibodies and treatments</w:t>
      </w:r>
    </w:p>
    <w:p>
      <w:pPr>
        <w:spacing w:after="0" w:line="24" w:lineRule="exact"/>
        <w:rPr>
          <w:rFonts w:ascii="Arial" w:cs="Arial" w:eastAsia="Arial" w:hAnsi="Arial"/>
          <w:sz w:val="20"/>
          <w:szCs w:val="20"/>
          <w:color w:val="auto"/>
          <w:vertAlign w:val="superscript"/>
        </w:rPr>
      </w:pPr>
    </w:p>
    <w:p>
      <w:pPr>
        <w:ind w:left="380" w:hanging="145"/>
        <w:spacing w:after="0" w:line="191" w:lineRule="auto"/>
        <w:tabs>
          <w:tab w:leader="none" w:pos="38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Information in this column relates to U.S., EU, and Japan regulatory submissions only</w:t>
      </w:r>
    </w:p>
    <w:p>
      <w:pPr>
        <w:spacing w:after="0" w:line="23" w:lineRule="exact"/>
        <w:rPr>
          <w:rFonts w:ascii="Arial" w:cs="Arial" w:eastAsia="Arial" w:hAnsi="Arial"/>
          <w:sz w:val="21"/>
          <w:szCs w:val="21"/>
          <w:color w:val="auto"/>
          <w:vertAlign w:val="superscript"/>
        </w:rPr>
      </w:pPr>
    </w:p>
    <w:p>
      <w:pPr>
        <w:jc w:val="both"/>
        <w:ind w:left="240" w:right="20" w:hanging="5"/>
        <w:spacing w:after="0" w:line="203" w:lineRule="auto"/>
        <w:tabs>
          <w:tab w:leader="none" w:pos="38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In collaboration with Sanofi prior to April 2020. Effective April 2020, the Company is solely responsible for the development and commercialization of Praluent in the United States, and Sanofi is solely responsible for the development and commercialization of Praluent outside of the United States. Refer to "Collaboration, License, and Other Agreements" section below for further details.</w:t>
      </w:r>
    </w:p>
    <w:p>
      <w:pPr>
        <w:spacing w:after="0" w:line="10" w:lineRule="exact"/>
        <w:rPr>
          <w:rFonts w:ascii="Arial" w:cs="Arial" w:eastAsia="Arial" w:hAnsi="Arial"/>
          <w:sz w:val="21"/>
          <w:szCs w:val="21"/>
          <w:color w:val="auto"/>
          <w:vertAlign w:val="superscript"/>
        </w:rPr>
      </w:pPr>
    </w:p>
    <w:p>
      <w:pPr>
        <w:ind w:left="240" w:right="260" w:hanging="5"/>
        <w:spacing w:after="0" w:line="207" w:lineRule="auto"/>
        <w:tabs>
          <w:tab w:leader="none" w:pos="403"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As described in the section preceding the table above and Part I, Item 1A. "Risk Factors," development timelines may be further subject to change as a result of the impact of the COVID-19 pandemic</w:t>
      </w:r>
    </w:p>
    <w:p>
      <w:pPr>
        <w:spacing w:after="0" w:line="1" w:lineRule="exact"/>
        <w:rPr>
          <w:rFonts w:ascii="Arial" w:cs="Arial" w:eastAsia="Arial" w:hAnsi="Arial"/>
          <w:sz w:val="21"/>
          <w:szCs w:val="21"/>
          <w:color w:val="auto"/>
          <w:vertAlign w:val="superscript"/>
        </w:rPr>
      </w:pPr>
    </w:p>
    <w:p>
      <w:pPr>
        <w:ind w:left="360" w:hanging="125"/>
        <w:spacing w:after="0" w:line="214" w:lineRule="auto"/>
        <w:tabs>
          <w:tab w:leader="none" w:pos="36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In collaboration with Teva and Mitsubishi Tanabe Pharma</w:t>
      </w:r>
    </w:p>
    <w:p>
      <w:pPr>
        <w:spacing w:after="0" w:line="24" w:lineRule="exact"/>
        <w:rPr>
          <w:rFonts w:ascii="Arial" w:cs="Arial" w:eastAsia="Arial" w:hAnsi="Arial"/>
          <w:sz w:val="21"/>
          <w:szCs w:val="21"/>
          <w:color w:val="auto"/>
          <w:vertAlign w:val="superscript"/>
        </w:rPr>
      </w:pPr>
    </w:p>
    <w:p>
      <w:pPr>
        <w:ind w:left="420" w:hanging="185"/>
        <w:spacing w:after="0" w:line="223" w:lineRule="auto"/>
        <w:tabs>
          <w:tab w:leader="none" w:pos="42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Conducted with the National Institute of Allergy and Infectious Diseases ("NIAID"), part of the National Institutes of Health ("NIH")</w:t>
      </w:r>
    </w:p>
    <w:p>
      <w:pPr>
        <w:spacing w:after="0" w:line="23" w:lineRule="exact"/>
        <w:rPr>
          <w:rFonts w:ascii="Arial" w:cs="Arial" w:eastAsia="Arial" w:hAnsi="Arial"/>
          <w:sz w:val="18"/>
          <w:szCs w:val="18"/>
          <w:color w:val="auto"/>
          <w:vertAlign w:val="superscript"/>
        </w:rPr>
      </w:pPr>
    </w:p>
    <w:p>
      <w:pPr>
        <w:ind w:left="400" w:hanging="165"/>
        <w:spacing w:after="0" w:line="200" w:lineRule="auto"/>
        <w:tabs>
          <w:tab w:leader="none" w:pos="400" w:val="left"/>
        </w:tabs>
        <w:numPr>
          <w:ilvl w:val="0"/>
          <w:numId w:val="6"/>
        </w:numPr>
        <w:rPr>
          <w:rFonts w:ascii="Arial" w:cs="Arial" w:eastAsia="Arial" w:hAnsi="Arial"/>
          <w:sz w:val="20"/>
          <w:szCs w:val="20"/>
          <w:color w:val="auto"/>
          <w:vertAlign w:val="superscript"/>
        </w:rPr>
      </w:pPr>
      <w:r>
        <w:rPr>
          <w:rFonts w:ascii="Arial" w:cs="Arial" w:eastAsia="Arial" w:hAnsi="Arial"/>
          <w:sz w:val="15"/>
          <w:szCs w:val="15"/>
          <w:color w:val="auto"/>
        </w:rPr>
        <w:t>In collaboration with Roche</w:t>
      </w:r>
    </w:p>
    <w:p>
      <w:pPr>
        <w:spacing w:after="0" w:line="24" w:lineRule="exact"/>
        <w:rPr>
          <w:rFonts w:ascii="Arial" w:cs="Arial" w:eastAsia="Arial" w:hAnsi="Arial"/>
          <w:sz w:val="20"/>
          <w:szCs w:val="20"/>
          <w:color w:val="auto"/>
          <w:vertAlign w:val="superscript"/>
        </w:rPr>
      </w:pPr>
    </w:p>
    <w:p>
      <w:pPr>
        <w:ind w:left="400" w:hanging="165"/>
        <w:spacing w:after="0" w:line="200" w:lineRule="auto"/>
        <w:tabs>
          <w:tab w:leader="none" w:pos="400" w:val="left"/>
        </w:tabs>
        <w:numPr>
          <w:ilvl w:val="0"/>
          <w:numId w:val="6"/>
        </w:numPr>
        <w:rPr>
          <w:rFonts w:ascii="Arial" w:cs="Arial" w:eastAsia="Arial" w:hAnsi="Arial"/>
          <w:sz w:val="20"/>
          <w:szCs w:val="20"/>
          <w:color w:val="auto"/>
          <w:vertAlign w:val="superscript"/>
        </w:rPr>
      </w:pPr>
      <w:r>
        <w:rPr>
          <w:rFonts w:ascii="Arial" w:cs="Arial" w:eastAsia="Arial" w:hAnsi="Arial"/>
          <w:sz w:val="15"/>
          <w:szCs w:val="15"/>
          <w:color w:val="auto"/>
        </w:rPr>
        <w:t>In collaboration with Intellia</w:t>
      </w:r>
    </w:p>
    <w:p>
      <w:pPr>
        <w:spacing w:after="0" w:line="24" w:lineRule="exact"/>
        <w:rPr>
          <w:rFonts w:ascii="Arial" w:cs="Arial" w:eastAsia="Arial" w:hAnsi="Arial"/>
          <w:sz w:val="20"/>
          <w:szCs w:val="20"/>
          <w:color w:val="auto"/>
          <w:vertAlign w:val="superscript"/>
        </w:rPr>
      </w:pPr>
    </w:p>
    <w:p>
      <w:pPr>
        <w:ind w:left="400" w:hanging="165"/>
        <w:spacing w:after="0" w:line="200" w:lineRule="auto"/>
        <w:tabs>
          <w:tab w:leader="none" w:pos="400" w:val="left"/>
        </w:tabs>
        <w:numPr>
          <w:ilvl w:val="0"/>
          <w:numId w:val="6"/>
        </w:numPr>
        <w:rPr>
          <w:rFonts w:ascii="Arial" w:cs="Arial" w:eastAsia="Arial" w:hAnsi="Arial"/>
          <w:sz w:val="20"/>
          <w:szCs w:val="20"/>
          <w:color w:val="auto"/>
          <w:vertAlign w:val="superscript"/>
        </w:rPr>
      </w:pPr>
      <w:r>
        <w:rPr>
          <w:rFonts w:ascii="Arial" w:cs="Arial" w:eastAsia="Arial" w:hAnsi="Arial"/>
          <w:sz w:val="15"/>
          <w:szCs w:val="15"/>
          <w:color w:val="auto"/>
        </w:rPr>
        <w:t>In collaboration with Alnylam</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 - Clinical Programs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Development Program Updates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REGEN-COV (casirivimab and imdevimab)</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2020, the Company moved its leading neutralizing antibodies into preclinical and clinical-scale cell production lines, and in June 2020, initiated its first clinical trial of REGEN-COV. Following a positive review from the IDMC of the REGEN-COV Phase 1 safety results in an initial cohort, the program advanced to late-stage clinical trials (see table above for further details). The REGEN-COV clinical program consists of the following separate study populations: non-hospitalized symptomatic and asymptomatic COVID-19 patients, hospitalized COVID-19 patients, uninfected people with close exposure to a COVID-19 patient (such as the patient's housemate), and healthy volunteers.</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2020, we announced positive results from the first 799 patients in the ongoing Phase 2/3 seamless trial in non-hospitalized patients with COVID-19, showing that REGEN-COV significantly reduced viral load and patient medical visits (hospitalizations, emergency room, urgent care visits, and/or physician office/telemedicine visits). The trial met the primary and key secondary endpoints. In September 2020, we had announced initial data from the trial showing that the antibody cocktail reduced viral load and time to alleviate symptoms.</w:t>
      </w:r>
    </w:p>
    <w:p>
      <w:pPr>
        <w:spacing w:after="0" w:line="11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October 2020, the IDMC for the REGEN-COV treatment trials for COVID-19 recommended that the current hospitalized patient trial be modified. Specifically, based on a potential safety signal and an unfavorable risk/benefit profile at this time, the IDMC recommended that further enrollment of patients requiring high-flow oxygen or mechanical ventilation be placed on hold pending collection and analysis of further data on patients already enrolled. The IDMC also recommended continuing enrollment of hospitalized patients requiring either no or low-flow oxygen as the risk/benefit remains acceptable in these cohorts. Finally, the IDMC recommended continuation of the outpatient trial (described further above) without modification.</w:t>
      </w:r>
    </w:p>
    <w:p>
      <w:pPr>
        <w:spacing w:after="0" w:line="9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December 2020, we announced initial data from the ongoing Phase 1/2/3 trial in hospitalized COVID-19 patients requiring low-flow oxygen. The primary clinical objective of this initial analysis was to determine if there was sufficient efficacy in these patients to warrant continuing the trial (</w:t>
      </w:r>
      <w:r>
        <w:rPr>
          <w:rFonts w:ascii="Arial" w:cs="Arial" w:eastAsia="Arial" w:hAnsi="Arial"/>
          <w:sz w:val="16"/>
          <w:szCs w:val="16"/>
          <w:i w:val="1"/>
          <w:iCs w:val="1"/>
          <w:color w:val="auto"/>
        </w:rPr>
        <w:t>i.e.</w:t>
      </w:r>
      <w:r>
        <w:rPr>
          <w:rFonts w:ascii="Arial" w:cs="Arial" w:eastAsia="Arial" w:hAnsi="Arial"/>
          <w:sz w:val="16"/>
          <w:szCs w:val="16"/>
          <w:color w:val="auto"/>
        </w:rPr>
        <w:t>, futility analysis). The Phase 3 program in hospitalized patients requiring low-flow oxygen will continue based on passing futility analysis, as seronegative patients (patients who did not have antibodies at baseline) treated with the antibody cocktail had a lower risk of death or receiving mechanical ventilation.</w:t>
      </w:r>
    </w:p>
    <w:p>
      <w:pPr>
        <w:spacing w:after="0" w:line="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September 2020, we and the University of Oxford announced that the RECOVERY trial in the United Kingdom will evaluate REGEN-COV. The RECOVERY trial, which is a Phase 3 open-label trial in patients hospitalized with COVID-19, will compare the effects of adding the antibody cocktail to the usual standard-of-care versus standard-of-care on its own. The trial is being coordinated by researchers at the University of Oxford. The RECOVERY IDMC is aware of the IDMC recommendations made in connection with the REGEN-COV treatment trials (described above), and advised that they saw no cogent reason to modify the protocol or intake to the study and recommended continuing recruitment of eligible patients to all study arms.</w:t>
      </w:r>
    </w:p>
    <w:p>
      <w:pPr>
        <w:spacing w:after="0" w:line="9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January 2021, the Company announced positive initial results from an ongoing Phase 3 trial evaluating REGEN-COV used as a passive vaccine for the prevention of COVID-19 in people at high risk of infection (due to household exposure to a COVID-19 patient). An exploratory analysis was conducted on the first approximately 400 evaluable individuals enrolled in the trial, who were randomized to receive passive vaccination with REGEN-COV (1,200 mg via subcutaneous injections) or placebo.</w:t>
      </w:r>
    </w:p>
    <w:p>
      <w:pPr>
        <w:spacing w:after="0" w:line="119"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described further under "Products - REGEN-COV - Emergency Use Authorization" above, in November 2020, REGEN-COV received EUA from the FDA for the treatment of mild to moderate COVID-19 who have received positive results of direct SARS-CoV-2 viral testing and are at high risk for progressing to severe COVID-19 and/or hospitalization. The EUA is temporary and does not replace a formal BLA submission review and approval process. Evaluation of the antibody cocktail's safety and efficacy is ongoing in multiple clinical trials, and data from these trials would be used to support a future BLA submission. Under the EUA, the current authorized dose is 2,400 mg, and we are currently evaluating the safety and efficacy of a lower 1,200 mg dose in an ongoing Phase 3 trial in non-hospitalized patients.</w:t>
      </w:r>
    </w:p>
    <w:p>
      <w:pPr>
        <w:spacing w:after="0" w:line="1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February 2021, the EMA announced it had commenced a Rolling Review of data for the casirivimab and imdevimab antibody cocktail. Data on the safety, tolerability, and efficacy of the antibody cocktail will be shared with the EMA as they become available in the coming months.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Fasinumab</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2020, we announced that two Phase 3 trials, FACT OA1 and FACT OA2, achieved the co-primary endpoints for fasinumab 1 mg monthly, demonstrating significant improvements in pain and physical function over placebo at week 16 and week 24, respectively. Fasinumab 1 mg monthly also showed nominally significant benefits in physical function in both trials and pain in one trial, when compared to the maximum FDA-approved prescription doses of non-steroidal anti-inflammatory drugs for osteoarthritis.</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FACT OA1 trial included an additional treatment arm, fasinumab 1 mg every two months, which showed numerical benefit over placebo, but did not reach statistical significance.</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initial safety analyses from the Phase 3 trials, there was an increase in arthropathies reported with fasinumab. In a sub-group of patients from one Phase 3 long-term safety trial, there was an increase in joint replacement with fasinumab 1 mg monthly treatment during the off-drug follow-up period, although this increase was not seen in the other trials to date.</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2020, we also announced that we discontinued actively treating patients with fasinumab, which at such time only involved dosing in an optional second-year extension phase of one trial. This followed a recommendation from the fasinumab program's IDMC that the program should be terminated, based on available evidence to date. We will continue to gather long-term safety data, which we expect to report in 2021, along with our decision on next steps for the program.</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Odronextamab</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December 2020, we announced that we are pausing new enrollment of patients with B-NHL in our trials for odronextamab in compliance with an FDA partial clinical hold. The FDA requested that we amend the trial protocols in order to further reduce the incidence of ≥Grade 3 cytokine release syndrome ("CRS") during step-up dosing.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Garetosmab</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2020, we notified clinical investigators to pause dosing of garetosmab in the ongoing Phase 2 LUMINA-1 trial in patients with the ultra-rare genetic disorder FOP. The decision was based on reports of fatal serious adverse events in the trial during the open-label portion during which all patients received active treatment. These deaths are being further investigated to understand if they are related to garetosmab treatment. During the 28-week double-blind treatment period, there were no deaths in the trial.</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shared this update with the trial's IDMC and relevant regulatory authorities, and will conduct a review of the trial data to date to better understand the benefit/risk profile of garetosmab in people with FOP. The Company announced top-line 28-week results from the LUMINA-1 trial earlier this year; this is the only active trial evaluating garetosmab.</w:t>
      </w:r>
    </w:p>
    <w:p>
      <w:pPr>
        <w:spacing w:after="0" w:line="103" w:lineRule="exact"/>
        <w:rPr>
          <w:sz w:val="20"/>
          <w:szCs w:val="20"/>
          <w:color w:val="auto"/>
        </w:rPr>
      </w:pPr>
    </w:p>
    <w:p>
      <w:pPr>
        <w:ind w:right="1860"/>
        <w:spacing w:after="0" w:line="422" w:lineRule="auto"/>
        <w:rPr>
          <w:sz w:val="20"/>
          <w:szCs w:val="20"/>
          <w:color w:val="auto"/>
        </w:rPr>
      </w:pPr>
      <w:r>
        <w:rPr>
          <w:rFonts w:ascii="Arial" w:cs="Arial" w:eastAsia="Arial" w:hAnsi="Arial"/>
          <w:sz w:val="18"/>
          <w:szCs w:val="18"/>
          <w:i w:val="1"/>
          <w:iCs w:val="1"/>
          <w:color w:val="auto"/>
        </w:rPr>
        <w:t xml:space="preserve">Descriptions of Marketed Products Studied in Additional Indications and Product Candidates in Late-Stage Clinical Development </w:t>
      </w:r>
      <w:r>
        <w:rPr>
          <w:rFonts w:ascii="Arial" w:cs="Arial" w:eastAsia="Arial" w:hAnsi="Arial"/>
          <w:sz w:val="18"/>
          <w:szCs w:val="18"/>
          <w:u w:val="single" w:color="auto"/>
          <w:color w:val="auto"/>
        </w:rPr>
        <w:t>EYLEA</w:t>
      </w:r>
    </w:p>
    <w:p>
      <w:pPr>
        <w:spacing w:after="0" w:line="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EYLEA is a soluble fusion protein that acts as a vascular endothelial growth factor ("VEGF") inhibitor, formulated as an injection for the eye. It is designed to block the growth of new blood vessels and decrease the ability of fluid to pass through blood vessels (vascular permeability) in the eye by blocking VEGF-A and PLGF, two growth factors involved in angiogenesis.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Dupixent (dupilumab)</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Dupixent is a fully-human monoclonal antibody that inhibits the signaling pathway of IL-4 and IL-13. Data from Dupixent clinical trials have shown that IL-4 and IL-13 are key drivers of the type 2 inflammation that plays a major role in atopic dermatitis, asthma, and CRSwNP, as well as other immunological and inflammatory diseases.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Kevzara (sarilumab)</w:t>
      </w:r>
    </w:p>
    <w:p>
      <w:pPr>
        <w:spacing w:after="0" w:line="14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Kevzara is a fully-human monoclonal antibody that binds specifically to the IL-6 receptor and inhibits IL-6-mediated signaling. IL-6 is a signaling protein produced in increased quantities in patients with RA and has been associated with disease activity, joint destruction, and other systemic problems.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Libtayo (cemiplimab)</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Libtayo is a fully-human monoclonal antibody targeting the immune checkpoint receptor PD-1. The PD-1/PD-L1 immune checkpoint pathway has emerged as a major mechanism by which cancers evade immune destruction. Regeneron is studying Libtayo as monotherapy and in combination with other anti-cancer agents in various indications. It is also being studied by other companies in combination with their proprietary assets.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Odronextamab</w:t>
      </w:r>
    </w:p>
    <w:p>
      <w:pPr>
        <w:spacing w:after="0" w:line="14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Odronextamab is an investigational bispecific monoclonal antibody designed to bridge T-cells and tumor cells. It is designed to trigger tumor killing by binding to both a protein expressed on B-cell cancers (CD20) and a component of the T-cell receptor ("TCR") complex (CD3). At the tumor site, it activates T-cells by engaging their CD3 molecules and promotes T-cell mediated killing of the cancer cells.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REGN5458</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REGN5458 is an investigational bispecific monoclonal antibody designed to bind to BCMA on multiple myeloma cells and the CD3 receptor on T-cells in order to bridge them together and activate T-cells to kill the cancer cells.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Pozelimab</w:t>
      </w:r>
    </w:p>
    <w:p>
      <w:pPr>
        <w:spacing w:after="0" w:line="23"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Pozelimab is an investigational, fully-human monoclonal antibody designed to block complement factor C5 in order to treat diseases mediated by abnormal complement pathway activity, including PNH and CD55-deficient protein-losing enteropathy. Pozelimab is being studied as monotherapy and also in combination with Alnylam’s siRNA investigational therapy, cemdisiran.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REGEN-COV (casirivimab and imdevimab)</w:t>
      </w:r>
    </w:p>
    <w:p>
      <w:pPr>
        <w:spacing w:after="0" w:line="158"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REGEN-COV is an investigational cocktail of two fully-human monoclonal antibodies designed to prevent and treat infection from the SARS-CoV-2 virus. The two potent, virus-neutralizing antibodies that form the cocktail bind non-competitively to the critical receptor binding domain of the virus's spike protein, which diminishes the ability of mutant viruses to escape treatment and protects against spike variants that have arisen in the human population.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Praluent (alirocumab)</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Praluent is a fully-human monoclonal antibody that inhibits the binding of PCSK9 to the LDL receptor. Through inhibiting PCSK9, Praluent increases the number of available LDL receptors on the surface of liver cells to clear LDL, which lowers LDL cholesterol levels in the blood.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Fasinumab</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Fasinumab is an investigational, fully-human monoclonal antibody that targets NGF, a protein that plays a central role in the regulation of pain signaling, and is a potential new way to manage pain without resorting to opioids.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Evkeeza (evinacumab)</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Evkeeza is an investigational, fully-human monoclonal antibody that specifically binds to and blocks ANGPTL3. ANGPTL3 plays a key role in regulating plasma lipid levels, including triglycerides, LDL cholesterol, and HDL cholesterol, through inhibition of lipase enzymes (lipoprotein lipase and endothelial lipase).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Garetosmab</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Garetosmab is an investigational, fully-human monoclonal antibody that binds and neutralizes Activin A, which is required for the development of additional bone outside the normal skeleton in patients with the ultra-rare genetic disorder, FOP. The abnormal bone formation in soft tissue outside of the normal skeleton, a process known as heterotopic ossification, leads to loss of mobility and premature death in FOP patients. Garetosmab reduces the formation of heterotopic bone lesions by neutralizing the Activin A protein.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Itepekimab</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Itepekimab is an investigational, fully-human monoclonal antibody that inhibits IL-33, a protein that is believed to play a key role in lung inflammation, including in COPD.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REGN5713-5714-5715</w:t>
      </w:r>
    </w:p>
    <w:p>
      <w:pPr>
        <w:spacing w:after="0" w:line="14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REGN5713-5714-5715 is an investigational combination of three fully-human monoclonal antibodies designed to treat allergic inflammatory conditions caused by the allergen Betv1, which is the main allergen responsible for birch pollen allergies. Birch pollen allergy is one of the most common causes of seasonal allergies that occur in the spring, and is also believed to trigger "oral allergy syndrome" food reactions to related allergens found in fruits and nuts such as apples, pears, and cherries.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Programs</w:t>
      </w:r>
    </w:p>
    <w:p>
      <w:pPr>
        <w:spacing w:after="0" w:line="14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preclinical research programs include the areas of oncology/immuno-oncology, angiogenesis, ophthalmology, metabolic and related diseases, muscle diseases and disorders, inflammation and immune diseases, bone and cartilage, pain and neurobiology, cardiovascular diseases, infectious diseases, and diseases related to aging.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Technologies</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Many proteins that play an important role in biology and disease are secreted by cells or located on the cell surface. Moreover, cells communicate through secreted factors and surface molecules. Our scientists have developed two different technologies to make protein therapeutics that potently and specifically block, activate, or inhibit the action of specific cell surface or secreted molecules. The first technology fuses receptor components to the constant region of an antibody molecule to make a class of drugs we call "Traps". EYLEA, ZALTRAP, and ARCALYST are drugs generated using our Trap technology. </w:t>
      </w:r>
      <w:r>
        <w:rPr>
          <w:rFonts w:ascii="Arial" w:cs="Arial" w:eastAsia="Arial" w:hAnsi="Arial"/>
          <w:sz w:val="18"/>
          <w:szCs w:val="18"/>
          <w:i w:val="1"/>
          <w:iCs w:val="1"/>
          <w:color w:val="auto"/>
        </w:rPr>
        <w:t xml:space="preserve">VelociSuite </w:t>
      </w:r>
      <w:r>
        <w:rPr>
          <w:rFonts w:ascii="Arial" w:cs="Arial" w:eastAsia="Arial" w:hAnsi="Arial"/>
          <w:sz w:val="18"/>
          <w:szCs w:val="18"/>
          <w:color w:val="auto"/>
        </w:rPr>
        <w:t>is our second technology platform, which is used for discovering, developing, and producing fully human antibodies that can address both</w:t>
      </w:r>
      <w:r>
        <w:rPr>
          <w:rFonts w:ascii="Arial" w:cs="Arial" w:eastAsia="Arial" w:hAnsi="Arial"/>
          <w:sz w:val="18"/>
          <w:szCs w:val="18"/>
          <w:i w:val="1"/>
          <w:iCs w:val="1"/>
          <w:color w:val="auto"/>
        </w:rPr>
        <w:t xml:space="preserve"> </w:t>
      </w:r>
      <w:r>
        <w:rPr>
          <w:rFonts w:ascii="Arial" w:cs="Arial" w:eastAsia="Arial" w:hAnsi="Arial"/>
          <w:sz w:val="18"/>
          <w:szCs w:val="18"/>
          <w:color w:val="auto"/>
        </w:rPr>
        <w:t>secreted and cell-surface targets.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VelociSuite</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i w:val="1"/>
          <w:iCs w:val="1"/>
          <w:color w:val="auto"/>
        </w:rPr>
        <w:t xml:space="preserve">VelociSuite </w:t>
      </w:r>
      <w:r>
        <w:rPr>
          <w:rFonts w:ascii="Arial" w:cs="Arial" w:eastAsia="Arial" w:hAnsi="Arial"/>
          <w:sz w:val="17"/>
          <w:szCs w:val="17"/>
          <w:color w:val="auto"/>
        </w:rPr>
        <w:t>consists of</w:t>
      </w:r>
      <w:r>
        <w:rPr>
          <w:rFonts w:ascii="Arial" w:cs="Arial" w:eastAsia="Arial" w:hAnsi="Arial"/>
          <w:sz w:val="17"/>
          <w:szCs w:val="17"/>
          <w:i w:val="1"/>
          <w:iCs w:val="1"/>
          <w:color w:val="auto"/>
        </w:rPr>
        <w:t xml:space="preserve"> VelocImmune</w:t>
      </w:r>
      <w:r>
        <w:rPr>
          <w:rFonts w:ascii="Arial" w:cs="Arial" w:eastAsia="Arial" w:hAnsi="Arial"/>
          <w:sz w:val="22"/>
          <w:szCs w:val="22"/>
          <w:i w:val="1"/>
          <w:iCs w:val="1"/>
          <w:color w:val="auto"/>
          <w:vertAlign w:val="superscript"/>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VelociGene</w:t>
      </w:r>
      <w:r>
        <w:rPr>
          <w:rFonts w:ascii="Arial" w:cs="Arial" w:eastAsia="Arial" w:hAnsi="Arial"/>
          <w:sz w:val="22"/>
          <w:szCs w:val="22"/>
          <w:i w:val="1"/>
          <w:iCs w:val="1"/>
          <w:color w:val="auto"/>
          <w:vertAlign w:val="superscript"/>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VelociMouse</w:t>
      </w:r>
      <w:r>
        <w:rPr>
          <w:rFonts w:ascii="Arial" w:cs="Arial" w:eastAsia="Arial" w:hAnsi="Arial"/>
          <w:sz w:val="22"/>
          <w:szCs w:val="22"/>
          <w:color w:val="auto"/>
          <w:vertAlign w:val="superscript"/>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VelociMab</w:t>
      </w:r>
      <w:r>
        <w:rPr>
          <w:rFonts w:ascii="Arial" w:cs="Arial" w:eastAsia="Arial" w:hAnsi="Arial"/>
          <w:sz w:val="22"/>
          <w:szCs w:val="22"/>
          <w:i w:val="1"/>
          <w:iCs w:val="1"/>
          <w:color w:val="auto"/>
          <w:vertAlign w:val="superscript"/>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Veloci-Bi</w:t>
      </w:r>
      <w:r>
        <w:rPr>
          <w:rFonts w:ascii="Arial" w:cs="Arial" w:eastAsia="Arial" w:hAnsi="Arial"/>
          <w:sz w:val="22"/>
          <w:szCs w:val="22"/>
          <w:color w:val="auto"/>
          <w:vertAlign w:val="superscript"/>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VelociT™</w:t>
      </w:r>
      <w:r>
        <w:rPr>
          <w:rFonts w:ascii="Arial" w:cs="Arial" w:eastAsia="Arial" w:hAnsi="Arial"/>
          <w:sz w:val="17"/>
          <w:szCs w:val="17"/>
          <w:color w:val="auto"/>
        </w:rPr>
        <w:t>,</w:t>
      </w:r>
      <w:r>
        <w:rPr>
          <w:rFonts w:ascii="Arial" w:cs="Arial" w:eastAsia="Arial" w:hAnsi="Arial"/>
          <w:sz w:val="17"/>
          <w:szCs w:val="17"/>
          <w:i w:val="1"/>
          <w:iCs w:val="1"/>
          <w:color w:val="auto"/>
        </w:rPr>
        <w:t xml:space="preserve"> VelociHum</w:t>
      </w:r>
      <w:r>
        <w:rPr>
          <w:rFonts w:ascii="Arial" w:cs="Arial" w:eastAsia="Arial" w:hAnsi="Arial"/>
          <w:sz w:val="22"/>
          <w:szCs w:val="22"/>
          <w:color w:val="auto"/>
          <w:vertAlign w:val="superscript"/>
        </w:rPr>
        <w:t>®</w:t>
      </w:r>
      <w:r>
        <w:rPr>
          <w:rFonts w:ascii="Arial" w:cs="Arial" w:eastAsia="Arial" w:hAnsi="Arial"/>
          <w:sz w:val="17"/>
          <w:szCs w:val="17"/>
          <w:color w:val="auto"/>
        </w:rPr>
        <w:t>, and other related technologies. The</w:t>
      </w:r>
      <w:r>
        <w:rPr>
          <w:rFonts w:ascii="Arial" w:cs="Arial" w:eastAsia="Arial" w:hAnsi="Arial"/>
          <w:sz w:val="17"/>
          <w:szCs w:val="17"/>
          <w:i w:val="1"/>
          <w:iCs w:val="1"/>
          <w:color w:val="auto"/>
        </w:rPr>
        <w:t xml:space="preserve"> VelocImmune </w:t>
      </w:r>
      <w:r>
        <w:rPr>
          <w:rFonts w:ascii="Arial" w:cs="Arial" w:eastAsia="Arial" w:hAnsi="Arial"/>
          <w:sz w:val="17"/>
          <w:szCs w:val="17"/>
          <w:color w:val="auto"/>
        </w:rPr>
        <w:t>mouse platform is utilized to produce fully human antibodies.</w:t>
      </w:r>
      <w:r>
        <w:rPr>
          <w:rFonts w:ascii="Arial" w:cs="Arial" w:eastAsia="Arial" w:hAnsi="Arial"/>
          <w:sz w:val="17"/>
          <w:szCs w:val="17"/>
          <w:i w:val="1"/>
          <w:iCs w:val="1"/>
          <w:color w:val="auto"/>
        </w:rPr>
        <w:t xml:space="preserve"> VelocImmune </w:t>
      </w:r>
      <w:r>
        <w:rPr>
          <w:rFonts w:ascii="Arial" w:cs="Arial" w:eastAsia="Arial" w:hAnsi="Arial"/>
          <w:sz w:val="17"/>
          <w:szCs w:val="17"/>
          <w:color w:val="auto"/>
        </w:rPr>
        <w:t>was generated by leveraging our</w:t>
      </w:r>
      <w:r>
        <w:rPr>
          <w:rFonts w:ascii="Arial" w:cs="Arial" w:eastAsia="Arial" w:hAnsi="Arial"/>
          <w:sz w:val="17"/>
          <w:szCs w:val="17"/>
          <w:i w:val="1"/>
          <w:iCs w:val="1"/>
          <w:color w:val="auto"/>
        </w:rPr>
        <w:t xml:space="preserve"> VelociGene </w:t>
      </w:r>
      <w:r>
        <w:rPr>
          <w:rFonts w:ascii="Arial" w:cs="Arial" w:eastAsia="Arial" w:hAnsi="Arial"/>
          <w:sz w:val="17"/>
          <w:szCs w:val="17"/>
          <w:color w:val="auto"/>
        </w:rPr>
        <w:t>technology (see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below), in a process in which six megabases of mouse immune gene loci were replaced, or "humanized," with corresponding human immune gene loci. </w:t>
      </w:r>
      <w:r>
        <w:rPr>
          <w:rFonts w:ascii="Arial" w:cs="Arial" w:eastAsia="Arial" w:hAnsi="Arial"/>
          <w:sz w:val="17"/>
          <w:szCs w:val="17"/>
          <w:i w:val="1"/>
          <w:iCs w:val="1"/>
          <w:color w:val="auto"/>
        </w:rPr>
        <w:t xml:space="preserve">VelocImmune </w:t>
      </w:r>
      <w:r>
        <w:rPr>
          <w:rFonts w:ascii="Arial" w:cs="Arial" w:eastAsia="Arial" w:hAnsi="Arial"/>
          <w:sz w:val="17"/>
          <w:szCs w:val="17"/>
          <w:color w:val="auto"/>
        </w:rPr>
        <w:t>mice can be used efficiently to generate fully human antibodies to targets of therapeutic interest.</w:t>
      </w:r>
      <w:r>
        <w:rPr>
          <w:rFonts w:ascii="Arial" w:cs="Arial" w:eastAsia="Arial" w:hAnsi="Arial"/>
          <w:sz w:val="17"/>
          <w:szCs w:val="17"/>
          <w:i w:val="1"/>
          <w:iCs w:val="1"/>
          <w:color w:val="auto"/>
        </w:rPr>
        <w:t xml:space="preserve"> VelocImmune </w:t>
      </w:r>
      <w:r>
        <w:rPr>
          <w:rFonts w:ascii="Arial" w:cs="Arial" w:eastAsia="Arial" w:hAnsi="Arial"/>
          <w:sz w:val="17"/>
          <w:szCs w:val="17"/>
          <w:color w:val="auto"/>
        </w:rPr>
        <w:t>and our entire</w:t>
      </w:r>
      <w:r>
        <w:rPr>
          <w:rFonts w:ascii="Arial" w:cs="Arial" w:eastAsia="Arial" w:hAnsi="Arial"/>
          <w:sz w:val="17"/>
          <w:szCs w:val="17"/>
          <w:i w:val="1"/>
          <w:iCs w:val="1"/>
          <w:color w:val="auto"/>
        </w:rPr>
        <w:t xml:space="preserve"> VelociSuite </w:t>
      </w:r>
      <w:r>
        <w:rPr>
          <w:rFonts w:ascii="Arial" w:cs="Arial" w:eastAsia="Arial" w:hAnsi="Arial"/>
          <w:sz w:val="17"/>
          <w:szCs w:val="17"/>
          <w:color w:val="auto"/>
        </w:rPr>
        <w:t>offer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potential to increase the speed and efficiency through which human antibody therapeutics may be discovered and validated, thereby improving the overall efficiency of our early stage drug development activities. We are utilizing the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to produce our next generation of therapeutic antibody drug candidates for preclinical and clinical development.</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platform allows custom and precise manipulation of very large sequences of DNA to produce highly customized alterations of a specified target gene, or genes, and accelerates the production of knock-out and transgenic expression models without using either positive/negative selection or isogenic DNA. In producing knock-out models, a color or fluorescent marker may be substituted in place of the actual gene sequence, allowing for high-resolution visualization of precisely where the gene is active in the body during normal body functioning as well as in disease processes. For the optimization of preclinical development and pharmacology programs,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offers the opportunity to humanize targets by replacing the mouse gene with the human homolog. Thus,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allows scientists to rapidly identify the physical and biological effects of deleting or over-expressing the target gene, as well as to characterize and test potential therapeutic molecules.</w:t>
      </w:r>
    </w:p>
    <w:p>
      <w:pPr>
        <w:spacing w:after="0" w:line="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VelociMouse</w:t>
      </w:r>
      <w:r>
        <w:rPr>
          <w:rFonts w:ascii="Arial" w:cs="Arial" w:eastAsia="Arial" w:hAnsi="Arial"/>
          <w:sz w:val="18"/>
          <w:szCs w:val="18"/>
          <w:color w:val="auto"/>
        </w:rPr>
        <w:t xml:space="preserve"> technology platform allows for the direct and immediate generation of genetically altered mice from embryonic stem cells ("ES cells"), thereby avoiding the lengthy process involved in generating and breeding knockout mice from chimeras. Mice generated through this method are normal and healthy and exhibit a 100% germ-line transmission. Furthermore, mice developed using our </w:t>
      </w:r>
      <w:r>
        <w:rPr>
          <w:rFonts w:ascii="Arial" w:cs="Arial" w:eastAsia="Arial" w:hAnsi="Arial"/>
          <w:sz w:val="18"/>
          <w:szCs w:val="18"/>
          <w:i w:val="1"/>
          <w:iCs w:val="1"/>
          <w:color w:val="auto"/>
        </w:rPr>
        <w:t>VelociMouse</w:t>
      </w:r>
      <w:r>
        <w:rPr>
          <w:rFonts w:ascii="Arial" w:cs="Arial" w:eastAsia="Arial" w:hAnsi="Arial"/>
          <w:sz w:val="18"/>
          <w:szCs w:val="18"/>
          <w:color w:val="auto"/>
        </w:rPr>
        <w:t xml:space="preserve"> technology are suitable for direct phenotyping or other studies. We have also developed our </w:t>
      </w:r>
      <w:r>
        <w:rPr>
          <w:rFonts w:ascii="Arial" w:cs="Arial" w:eastAsia="Arial" w:hAnsi="Arial"/>
          <w:sz w:val="18"/>
          <w:szCs w:val="18"/>
          <w:i w:val="1"/>
          <w:iCs w:val="1"/>
          <w:color w:val="auto"/>
        </w:rPr>
        <w:t>VelociMab</w:t>
      </w:r>
      <w:r>
        <w:rPr>
          <w:rFonts w:ascii="Arial" w:cs="Arial" w:eastAsia="Arial" w:hAnsi="Arial"/>
          <w:sz w:val="18"/>
          <w:szCs w:val="18"/>
          <w:color w:val="auto"/>
        </w:rPr>
        <w:t xml:space="preserve"> platform for the rapid screening of antibodies and rapid generation of expression cell lines for our Traps and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human antibodies.</w:t>
      </w:r>
    </w:p>
    <w:p>
      <w:pPr>
        <w:spacing w:after="0" w:line="12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have utilized our </w:t>
      </w:r>
      <w:r>
        <w:rPr>
          <w:rFonts w:ascii="Arial" w:cs="Arial" w:eastAsia="Arial" w:hAnsi="Arial"/>
          <w:sz w:val="17"/>
          <w:szCs w:val="17"/>
          <w:i w:val="1"/>
          <w:iCs w:val="1"/>
          <w:color w:val="auto"/>
        </w:rPr>
        <w:t>VelociSuite</w:t>
      </w:r>
      <w:r>
        <w:rPr>
          <w:rFonts w:ascii="Arial" w:cs="Arial" w:eastAsia="Arial" w:hAnsi="Arial"/>
          <w:sz w:val="17"/>
          <w:szCs w:val="17"/>
          <w:color w:val="auto"/>
        </w:rPr>
        <w:t xml:space="preserve"> technologies to develop a class of potential drug candidates, known as bispecific antibodies. </w:t>
      </w:r>
      <w:r>
        <w:rPr>
          <w:rFonts w:ascii="Arial" w:cs="Arial" w:eastAsia="Arial" w:hAnsi="Arial"/>
          <w:sz w:val="17"/>
          <w:szCs w:val="17"/>
          <w:i w:val="1"/>
          <w:iCs w:val="1"/>
          <w:color w:val="auto"/>
        </w:rPr>
        <w:t>Veloci-Bi</w:t>
      </w:r>
      <w:r>
        <w:rPr>
          <w:rFonts w:ascii="Arial" w:cs="Arial" w:eastAsia="Arial" w:hAnsi="Arial"/>
          <w:sz w:val="17"/>
          <w:szCs w:val="17"/>
          <w:color w:val="auto"/>
        </w:rPr>
        <w:t xml:space="preserve"> allows for the generation of full-length bispecific antibodies similar to native antibodies that are amenable to production by standard antibody manufacturing techniques, and are likely to have favorable antibody-like pharmacokinetic properties. In the area of immunotherapies in oncology, we are exploring the use of bispecific antibodies that target tumor antigens and the CD3 receptor on T-cells to harness the oncolytic properties of T-cells. Our first such CD3 bispecific antibody, odronextamab, targets CD20. We are exploring additional indications and applications for our bispecific technologies, such as other CD3 bispecific antibodies, as well as a new class of CD28 costimulatory bispecifics.</w:t>
      </w:r>
    </w:p>
    <w:p>
      <w:pPr>
        <w:spacing w:after="0" w:line="1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VelociT</w:t>
      </w:r>
      <w:r>
        <w:rPr>
          <w:rFonts w:ascii="Arial" w:cs="Arial" w:eastAsia="Arial" w:hAnsi="Arial"/>
          <w:sz w:val="17"/>
          <w:szCs w:val="17"/>
          <w:color w:val="auto"/>
        </w:rPr>
        <w:t xml:space="preserve"> mouse extends our research and drug discovery capabilities into cell-mediated immunity and therapeutic TCRs for oncology and other indications. </w:t>
      </w:r>
      <w:r>
        <w:rPr>
          <w:rFonts w:ascii="Arial" w:cs="Arial" w:eastAsia="Arial" w:hAnsi="Arial"/>
          <w:sz w:val="17"/>
          <w:szCs w:val="17"/>
          <w:i w:val="1"/>
          <w:iCs w:val="1"/>
          <w:color w:val="auto"/>
        </w:rPr>
        <w:t>VelociT</w:t>
      </w:r>
      <w:r>
        <w:rPr>
          <w:rFonts w:ascii="Arial" w:cs="Arial" w:eastAsia="Arial" w:hAnsi="Arial"/>
          <w:sz w:val="17"/>
          <w:szCs w:val="17"/>
          <w:color w:val="auto"/>
        </w:rPr>
        <w:t xml:space="preserve"> was developed by using our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technology to humanize genes encoding TCRα and TCRβ variable sequences, CD4 and CD8 co-receptors, β2m, and class-I and -II major histocompatibility complexes. As a result, </w:t>
      </w:r>
      <w:r>
        <w:rPr>
          <w:rFonts w:ascii="Arial" w:cs="Arial" w:eastAsia="Arial" w:hAnsi="Arial"/>
          <w:sz w:val="17"/>
          <w:szCs w:val="17"/>
          <w:i w:val="1"/>
          <w:iCs w:val="1"/>
          <w:color w:val="auto"/>
        </w:rPr>
        <w:t>VelociT</w:t>
      </w:r>
      <w:r>
        <w:rPr>
          <w:rFonts w:ascii="Arial" w:cs="Arial" w:eastAsia="Arial" w:hAnsi="Arial"/>
          <w:sz w:val="17"/>
          <w:szCs w:val="17"/>
          <w:color w:val="auto"/>
        </w:rPr>
        <w:t xml:space="preserve"> mice generate fully human TCRs, providing for customized modeling of T-cell function in different diseases and a powerful platform for the discovery of unique TCR-based therapies.</w:t>
      </w:r>
    </w:p>
    <w:p>
      <w:pPr>
        <w:spacing w:after="0" w:line="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VelociHum </w:t>
      </w:r>
      <w:r>
        <w:rPr>
          <w:rFonts w:ascii="Arial" w:cs="Arial" w:eastAsia="Arial" w:hAnsi="Arial"/>
          <w:sz w:val="17"/>
          <w:szCs w:val="17"/>
          <w:color w:val="auto"/>
        </w:rPr>
        <w:t>is our immunodeficient mouse platform that can be used to accurately test human therapeutics against human immune cells and to study human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tumor models. Through genetic humanizations, </w:t>
      </w:r>
      <w:r>
        <w:rPr>
          <w:rFonts w:ascii="Arial" w:cs="Arial" w:eastAsia="Arial" w:hAnsi="Arial"/>
          <w:sz w:val="17"/>
          <w:szCs w:val="17"/>
          <w:i w:val="1"/>
          <w:iCs w:val="1"/>
          <w:color w:val="auto"/>
        </w:rPr>
        <w:t>VelociHum</w:t>
      </w:r>
      <w:r>
        <w:rPr>
          <w:rFonts w:ascii="Arial" w:cs="Arial" w:eastAsia="Arial" w:hAnsi="Arial"/>
          <w:sz w:val="17"/>
          <w:szCs w:val="17"/>
          <w:color w:val="auto"/>
        </w:rPr>
        <w:t xml:space="preserve"> mice have been optimized to allow for better development of human immune cells </w:t>
      </w:r>
      <w:r>
        <w:rPr>
          <w:rFonts w:ascii="Arial" w:cs="Arial" w:eastAsia="Arial" w:hAnsi="Arial"/>
          <w:sz w:val="17"/>
          <w:szCs w:val="17"/>
          <w:i w:val="1"/>
          <w:iCs w:val="1"/>
          <w:color w:val="auto"/>
        </w:rPr>
        <w:t>in vivo</w:t>
      </w:r>
      <w:r>
        <w:rPr>
          <w:rFonts w:ascii="Arial" w:cs="Arial" w:eastAsia="Arial" w:hAnsi="Arial"/>
          <w:sz w:val="17"/>
          <w:szCs w:val="17"/>
          <w:color w:val="auto"/>
        </w:rPr>
        <w:t>, as well as to allow for engraftment of primary patient-derived tumors that do not take in other commercially available mice.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Regeneron Genetics Center</w:t>
      </w:r>
      <w:r>
        <w:rPr>
          <w:rFonts w:ascii="Arial" w:cs="Arial" w:eastAsia="Arial" w:hAnsi="Arial"/>
          <w:sz w:val="23"/>
          <w:szCs w:val="23"/>
          <w:b w:val="1"/>
          <w:bCs w:val="1"/>
          <w:color w:val="auto"/>
          <w:vertAlign w:val="superscript"/>
        </w:rPr>
        <w:t>®</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Regeneron Genetics Center ("RGC"), a wholly owned subsidiary of Regeneron Pharmaceuticals, Inc., leverages de-identified clinical, genomic, and molecular data from human volunteers to identify medically relevant associations in a blinded fashion designed to preserve patients' privacy. The objective of RGC is to expand the use of human genetics for discovering and validating genetic factors that cause or influence a range of diseases where there are major unmet medical needs, with the prospect of improving the drug discovery and development process. RGC is undertaking multiple approaches, including large population-based efforts as well as family- and founder-based approaches. RGC utilizes laboratory automation and innovative approaches to cloud computing to achieve high-quality throughput.</w:t>
      </w:r>
    </w:p>
    <w:p>
      <w:pPr>
        <w:spacing w:after="0" w:line="1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Central to the work of RGC are collaborations with over 100 academic and clinical collaborators around the world, including the University of Colorado, Geisinger Health System, UCLA Medical Center, UK Biobank, Mayo Clinic, and The University of Pennsylvania. These collaborations provide access to biological samples and associated phenotype data from consented patient volunteers for purposes of genomic research. RGC undertakes genetic sequencing of these samples to create a unique resource of de-identified genetic data and associated phenotype data for research.</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RGC has completed genetic analysis of over 1.3 million samples as of December 31, 2020. The Company is currently advancing multiple drug discovery and development programs that have benefited from RGC's research effort.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Related to COVID-19</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Government</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the first quarter of 2020, the Company announced an expansion of its Other Transaction Agreement ("OTA") with BARDA, pursuant to which HHS was obligated to fund certain of our costs incurred for research and development activities related to COVID-19 treatments. In July 2020, the Company also announced an agreement with entities acting at the direction of BARDA and the U.S. Department of Defense to manufacture and deliver filled and finished drug product of REGEN-COV to the U.S. government. This agreement, as subsequently amended, could result in payments to the Company of up to $465.9 million in the aggregate for bulk manufacturing of the drug substance, as well as fill/finish, storage, and other activities. See "Results of Operations - </w:t>
      </w:r>
      <w:r>
        <w:rPr>
          <w:rFonts w:ascii="Arial" w:cs="Arial" w:eastAsia="Arial" w:hAnsi="Arial"/>
          <w:sz w:val="16"/>
          <w:szCs w:val="16"/>
          <w:i w:val="1"/>
          <w:iCs w:val="1"/>
          <w:color w:val="auto"/>
        </w:rPr>
        <w:t>Revenues</w:t>
      </w:r>
      <w:r>
        <w:rPr>
          <w:rFonts w:ascii="Arial" w:cs="Arial" w:eastAsia="Arial" w:hAnsi="Arial"/>
          <w:sz w:val="16"/>
          <w:szCs w:val="16"/>
          <w:color w:val="auto"/>
        </w:rPr>
        <w:t>" below for REGEN-COV net product sales recognized in connection with this agreement during 2020.</w:t>
      </w:r>
    </w:p>
    <w:p>
      <w:pPr>
        <w:spacing w:after="0" w:line="8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January 2021, the Company announced an agreement with an entity acting on behalf of the U.S. Department of Defense and HHS to manufacture and deliver additional filled and finished drug product of REGEN-COV to the U.S. government. Pursuant to the agreement, the U.S. government is obligated to purchase all filled and finished doses of drug product delivered by June 30, 2021, and may accept doses during the period from July 1, 2021 through September 30, 2021 at its discretion. The U.S. government has agreed to acquire up to 1.25 million doses at the lowest treatment dose authorized or approved by the FDA for the indication authorized under the EUA (as described under "Products - REGEN-COV - Emergency Use Authorization" above), resulting in payments to the Company of up to $2.625 billion in the aggregate. A number of factors may impact available filled and finished supply by June 30, 2021, including manufacturing considerations and authorized dose levels.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w:t>
      </w:r>
    </w:p>
    <w:p>
      <w:pPr>
        <w:spacing w:after="0" w:line="15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August 2020, we entered into a collaboration agreement with Roche to develop, manufacture, and distribute REGEN-COV. We will continue to lead global development activities for REGEN-COV, and the parties will jointly fund certain on-going studies, as well as any mutually agreed additional new global studies to evaluate further the potential of REGEN-COV in treating or preventing COVID-19. Following the initial EMA approval (if any), Roche will be responsible for securing regulatory approvals outside the United States and conducting any additional studies specifically required for approval by regulators outside the United States.</w:t>
      </w:r>
    </w:p>
    <w:p>
      <w:pPr>
        <w:spacing w:after="0" w:line="1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Under the terms of the agreement, each party is obligated to dedicate a certain amount of manufacturing capacity to REGEN-COV each year. We will distribute the product in the United States and Roche will distribute the product outside of the United States. The parties will share gross profits from worldwide sales based on a pre-specified formula, depending on the amount of manufactured product supplied by each party to the market. Any profit sharing will commence after product manufactured by Roche receives regulatory authorization.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License, and Other Agreements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Sanofi</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2020, a secondary offering of 13,014,646 shares of our Common Stock held by Sanofi was completed. We also purchased 9,806,805 shares directly from Sanofi for an aggregate purchase amount of $5 billion. Pursuant to the offering and purchase, Sanofi disposed of all of its shares of common stock in Regeneron, other than 400,000 shares that it retained as of the closing of these transactions (see further details below regarding Sanofi's use of these shares for the funding of certain development costs).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January 2018, we and Sanofi entered into a letter agreement (the "Letter Agreement") amending the LCA in connection with, among other matters, the allocation of additional funds to certain proposed activities relating to dupilumab and itepekimab (collectively, the "Dupilumab/Itepekimab Eligible Investments"). Pursuant to the Letter Agreement, we agreed to allow Sanofi to satisfy in whole or in part its funding obligations with respect to the Dupilumab/Itepekimab Eligible Investments for quarterly periods ending on September 30, 2020 by selling certain shares of our Common Stock directly or indirectly owned by Sanofi. Under the Letter Agreement, we also agreed to allow Sanofi to satisfy in whole or in part its funding obligation with respect to Libtayo development costs for quarterly periods and ending on September 30, 2020 by selling certain shares of our Common Stock. If Sanofi desired to sell shares of our Common Stock during the term of the Letter Agreement to satisfy a portion or all of its funding obligations for the Libtayo development and/or Dupilumab/Itepekimab Eligible Investments, we were able to elect to purchase, in whole or in part, such shares from Sanofi.</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Antibody</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collaborating with Sanofi on the global development and commercialization of Dupixent, Kevzara, and itepekimab (the "Antibody Collaboration"). See discussion below for updates related to the development and commercialization of Praluent effective April 1, 2020. Under the terms of the Antibody License and Collaboration Agreement (the "LCA"), Sanofi is generally responsible for funding 80%–100% of agreed-upon development costs. We are obligated to reimburse Sanofi for 30%–50% of worldwide development expenses that were funded by Sanofi based on our share of collaboration profits from commercialization of collaboration products. However, we are only required to apply 10% of our share of the profits from the Antibody Collaboration in any calendar quarter to reimburse Sanofi for these development costs.</w:t>
      </w:r>
    </w:p>
    <w:p>
      <w:pPr>
        <w:spacing w:after="0" w:line="11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Under our collaboration agreement, Sanofi records product sales for commercialized products, and Regeneron has the right to co-commercialize such products on a country-by-country basis. We co-commercialize Dupixent in the United States, and have exercised our option to co-commercilaize Dupixent in certain countries outside the United States. We currently anticipate commencing co-commercialization of Dupixent in such countries outside the United States in 2021. We supply certain commercial bulk product to Sanofi. We and Sanofi equally share profits and losses from sales within the United States. We and Sanofi share profits outside the United States on a sliding scale based on sales starting at 65% (Sanofi)/35% (us) and ending at 55% (Sanofi)/45% (us), and share losses outside the United States at 55% (Sanofi)/45% (us). In addition to profit and loss sharing, we are entitled to receive sales milestone payments from Sanofi. In the third quarter of 2020, the Company earned, and recognized as revenue, the first $50.0 million sales-based milestone from Sanofi, upon aggregate annual sales of antibodies outside the United States (including Praluent) exceeding $1.0 billion on a rolling twelve-month basis. We are entitled to receive up to an aggregate of $200.0 million in additional milestone payments from Sanofi, including the second sales milestone in the amount of $50.0 million, when such sales outside the United States exceed $1.5 billion on a rolling twelve-month basis.</w:t>
      </w:r>
    </w:p>
    <w:p>
      <w:pPr>
        <w:spacing w:after="0" w:line="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April 2020, the Company and Sanofi entered into an amendment to the LCA in connection with, among other things, the removal of Praluent from the LCA such that (i) effective April 1, 2020, the LCA no longer governs the development, manufacture, or commercialization of Praluent and (ii) the quarterly period ended March 31, 2020 was the last quarter for which Sanofi and the Company shared profits and losses for Praluent under the LCA. The parties also entered into a Praluent Cross License &amp; Commercialization Agreement (the "Praluent Agreement") pursuant to which, effective April 1, 2020, the Company, at its sole cost, is solely responsible for the development and commercialization of Praluent in the United States, and Sanofi, at its sole cost, is solely responsible for the development and commercialization of Praluent outside of the United States. Under the Praluent Agreement, Sanofi will pay the Company a 5% royalty on Sanofi’s net product sales of Praluent outside the United States until March 31, 2032. The Company will not owe Sanofi royalties on the Company’s net product sales of Praluent in the United States. Although each party will be responsible for manufacturing Praluent for its respective territory, the parties have entered into definitive supply agreements under which, for a certain transitional period, the Company will continue to supply drug substance to Sanofi and Sanofi will continue to supply finished product to Regeneron. With respect to any intellectual property or product liability litigation relating to Praluent, the parties have agreed that, effective April 1, 2020, Regeneron and Sanofi each will be solely responsible for any such litigation (including damages and other costs and expenses thereof) in the United States and outside the United States, respectively, arising out of Praluent sales or other activities on or after April 1, 2020 (subject to Sanofi's right to set off a portion of any third-party royalty payments resulting from certain patent litigation proceedings against up to 50% of any Praluent royalty payment owed to Regeneron). The parties will each bear 50% of any damages arising out of Praluent sales or other activities prior to April 1, 2020.</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Immuno-Oncology</w:t>
      </w:r>
    </w:p>
    <w:p>
      <w:pPr>
        <w:spacing w:after="0" w:line="15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collaborating with Sanofi on the development and commercialization of antibody-based cancer treatments in the field of immuno-oncology (the "IO Collaboration"). The IO Collaboration is governed by an Amended and Restated Immuno-oncology Discovery and Development Agreement (the "Amended IO Discovery Agreement"), and an Immuno-oncology License and Collaboration Agreement (the "IO License and Collaboration Agreement").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Effective December 31, 2018, the Company and Sanofi entered into the Amended IO Discovery Agreement, which narrowed the scope of the existing discovery and development activities conducted by the Company ("IO Development Activities") under the original 2015 Immuno-oncology Discovery and Development Agreement (the "2015 IO Discovery Agreement") to developing therapeutic bispecific antibodies targeting (i) BCMA and CD3 (the "BCMAxCD3 Program") and (ii) MUC16 and CD3 (the "MUC16xCD3 Program") through clinical proof-of-concept. The Amended IO Discovery Agreement provided for Sanofi's payment of $461.9 million to the Company as consideration for (x) the termination of the 2015 IO Discovery Agreement,</w:t>
      </w:r>
    </w:p>
    <w:p>
      <w:pPr>
        <w:spacing w:after="0" w:line="2" w:lineRule="exact"/>
        <w:rPr>
          <w:sz w:val="20"/>
          <w:szCs w:val="20"/>
          <w:color w:val="auto"/>
        </w:rPr>
      </w:pPr>
    </w:p>
    <w:p>
      <w:pPr>
        <w:ind w:firstLine="8"/>
        <w:spacing w:after="0" w:line="260" w:lineRule="auto"/>
        <w:tabs>
          <w:tab w:leader="none" w:pos="26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prepayment for certain IO Development Activities regarding the BCMAxCD3 Program and the MUC16xCD3 Program, and (z) the reimbursement of costs incurred by the Company under the 2015 IO Discovery Agreement during the fourth quarter of 2018.</w:t>
      </w:r>
    </w:p>
    <w:p>
      <w:pPr>
        <w:spacing w:after="0" w:line="10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Under the terms of the Amended IO Discovery Agreement, the Company is required to conduct development activities with respect to (i) the BCMAxCD3 Program through the earlier of clinical proof-of-concept or the expenditure of $70.0 million (the "BCMAxCD3 Program Costs Cap") and (ii) the MUC16xCD3 Program through the earlier of clinical proof-of-concept or the expenditure of $50.0 million (the "MUC16xCD3 Program Costs Cap"). We are obligated to reimburse Sanofi for half of the development costs they funded that are attributable to clinical development of antibody product candidates under the Amended IO Discovery Agreement from our share of profits from commercialized IO Collaboration products.</w:t>
      </w:r>
    </w:p>
    <w:p>
      <w:pPr>
        <w:spacing w:after="0" w:line="10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With regard to the BCMAxCD3 Program and the MUC16xCD3 Program, when (i) clinical proof-of-concept is established, (ii) the applicable Program Costs Cap is reached, or (iii) in certain other limited circumstances, Sanofi will have the option to license rights to the product candidate and other antibodies targeting the same targets for, with regard to BCMAxCD3, immuno-oncology indications, and with regard to MUC16xCD3, all indications, pursuant to the IO License and Collaboration Agreement, as amended. Given the applicable Program Costs Cap for the BCMAxCD3 Program and MUC16xCD3 Program has been reached, we expect Sanofi to provide its decision on whether it will exercise its option to license rights to these product candidates in early 2021. If Sanofi does not exercise its option to license rights to a product candidate, we will retain the exclusive right to develop and commercialize such product candidate and Sanofi will receive a royalty on sales. Pursuant to the Amended IO Discovery Agreement, the parties agreed that</w:t>
      </w:r>
    </w:p>
    <w:p>
      <w:pPr>
        <w:spacing w:after="0" w:line="2" w:lineRule="exact"/>
        <w:rPr>
          <w:sz w:val="20"/>
          <w:szCs w:val="20"/>
          <w:color w:val="auto"/>
        </w:rPr>
      </w:pPr>
    </w:p>
    <w:p>
      <w:pPr>
        <w:jc w:val="both"/>
        <w:ind w:firstLine="8"/>
        <w:spacing w:after="0" w:line="273" w:lineRule="auto"/>
        <w:tabs>
          <w:tab w:leader="none" w:pos="223"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Sanofi exercises its option with respect to a BCMAxCD3 Program antibody, Sanofi will lead the development and global commercialization of such BCMAxCD3 Program antibody; and (ii) if Sanofi exercises its option with respect to a MUC16xCD3 Program antibody, (x) we will lead the development of such MUC16xCD3 Program antibody and commercialization of such MUC16xCD3 Program antibody within the United States and (y) Sanofi will lead the commercialization of such MUC16xCD3 Program antibody outside of the United States.</w:t>
      </w:r>
    </w:p>
    <w:p>
      <w:pPr>
        <w:spacing w:after="0" w:line="10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Sanofi exercises its option to license rights to a BCMAxCD3 Program antibody or MUC16xCD3 Program antibody thereunder, it will co-develop these drug candidates with us through product approval under the terms of the IO License and Collaboration Agreement. Sanofi will fund development costs up front for a BCMAxCD3 Program antibody and we will reimburse half of the total development costs for such antibody from our share of future IO Collaboration profits to the extent they are sufficient for this purpose. In addition, we and Sanofi will share equally, on an ongoing basis, the development costs for a MUC16xCD3 Program antibody. Each party will have the right to co-commercialize licensed products in countries where it is not the lead commercialization party. The parties will share equally in profits and losses in connection with the commercialization of collaboration products. We are obligated to use commercially reasonable efforts to supply clinical requirements of each drug candidate under the IO License and Collaboration Agreement until commercial supplies of that IO drug candidate are being manufactured.</w:t>
      </w:r>
    </w:p>
    <w:p>
      <w:pPr>
        <w:spacing w:after="0" w:line="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terms of the IO License and Collaboration Agreement, the parties are also co-developing and co-commercializing Libtayo, an antibody targeting PD-1. We have principal control over the development of Libtayo, and the parties share equally, on an ongoing basis, development and commercialization expenses for Libtayo.</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With regard to Libtayo, we lead commercialization activities in the United States, while Sanofi leads commercialization activities outside of the United States and the parties equally share profits from worldwide sales. Sanofi has exercised its option to co-commercialize Libtayo in the United States. We will be entitled to a milestone payment of $375.0 million in the event that global sales of certain licensed products targeting PD-1 (including Libtayo), together with sales of any other products licensed under the IO License and Collaboration Agreement and sold for use in combination with any of such licensed products targeting PD-1, equal or exceed $2.0 billion in any consecutive twelve-month period.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Bayer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EYLEA outside the United States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and Bayer are parties to a license and collaboration agreement for the global development and commercialization outside the United States of EYLEA. Under the agreement, we and Bayer collaborate on, and share the costs of, the development of EYLEA. Bayer markets EYLEA outside the United States, where, for countries other than Japan, the companies share equally in profits and losses from sales of EYLEA. In Japan, we are entitled to receive a tiered percentage of between 33.5% and 40.0% of EYLEA net sales through 2021, and thereafter, the companies will share equally in profits and losses from the sales of EYLEA.</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obligated to reimburse Bayer for 50% of the development costs that it has incurred under the agreement from our share of the collaboration profits (including payments to us based on sales in Japan). The reimbursement payment in any quarter will equal 5% of the then outstanding repayment obligation, but never more than our share of the collaboration profits in the quarter unless we elect to reimburse Bayer at a faster rate.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Within the United States, we retain exclusive commercialization rights to EYLEA and are entitled to all profits from such sales.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Teva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Fasinumab</w:t>
      </w:r>
    </w:p>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and Teva are parties to a collaboration agreement to develop and commercialize fasinumab globally, excluding certain Asian countries that are subject to our collaboration agreement with Mitsubishi Tanabe Pharma Corporation ("MTPC"). In connection with the agreement, Teva made a $250.0 million non-refundable up-front payment. We lead global development activities, and the parties share equally, on an ongoing basis, development costs under a global development plan. As of December 31, 2020, we had earned an aggregate of $120.0 million of development milestones from Teva, and we are entitled to receive up to an aggregate of $340.0 million in additional development milestones and up to an aggregate of $1.890 billion in contingent payments upon achievement of specified annual net sales amounts. We are responsible for the manufacture and supply of fasinumab globally.</w:t>
      </w:r>
    </w:p>
    <w:p>
      <w:pPr>
        <w:spacing w:after="0" w:line="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Within the United States, we will lead commercialization activities, and the parties will share equally in any profits or losses in connection with commercialization of fasinumab. In the territory outside of the United States, Teva will lead commercialization activities and we will supply product to Teva at a tiered purchase price, which is calculated as a percentage of net sales of the product (subject to adjustment in certain circumstances).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Zai Lab</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Odronextamab (REGN1979)</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2020, we entered into an agreement with Zai Lab Limited to develop and commercialize odronextamab in mainland China, Hong Kong, Taiwan, and Macau (the "Zai Territories"). In connection with the agreement, Zai made a $30.0 million non-refundable up-front payment to the Company. We will continue to lead global development activities for odronextamab, and Zai will be responsible for funding a portion of the global development costs for certain clinical trials.</w:t>
      </w:r>
    </w:p>
    <w:p>
      <w:pPr>
        <w:spacing w:after="0" w:line="1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responsible for the manufacture and supply of clinical and commercial product of odronextamab to Zai. If odronextamab is commercialized in the Zai Territories, we will supply the product to Zai at a tiered purchase price, which is calculated as a percentage of net sales of the product (subject to adjustment in certain circumstances), and are eligible to receive up to $160.0 million in additional regulatory and sales milestone payments.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Alnylam</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2018, we and Alnylam Pharmaceuticals, Inc. entered into a collaboration to discover RNAi therapeutics for NASH and potentially other related diseases, as well as to research, co-develop and commercialize any therapeutic product candidates that emerge from these discovery efforts (including ALN-HSD, which is currently in Phase 1 clinical development). ALN-HSD is being co-developed with Alnylam with terms generally consistent with the form of a Co-Commercialization Collaboration Agreement in connection with the 2019 collaboration agreement as described below. Alnylam is conducting the Phase 1 clinical trial for ALN-HSD and Regeneron will be responsible for all other development as the lead party. The parties share equally, on an ongoing basis, development expenses for ALN-HSD.</w:t>
      </w:r>
    </w:p>
    <w:p>
      <w:pPr>
        <w:spacing w:after="0" w:line="1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April 2019, we and Alnylam entered into an additional global, strategic collaboration to discover, develop, and commercialize RNAi therapeutics for a broad range of diseases by addressing therapeutic disease targets expressed in the eye and central nervous system ("CNS"), in addition to a select number of targets expressed in the liver. The collaboration is governed by a Master Collaboration Agreement (the "Master Agreement") (including the form of a License Agreement and a Co-Commercialization Collaboration Agreement). Under the terms of the Master Agreement, we made an up-front payment of $400.0 million to Alnylam. For each program, we will provide Alnylam with a specified amount of funding at program initiation and at lead candidate designation, and Alnylam is eligible to receive up to an aggregate of $200.0 million in clinical proof-of-principle milestones for eye or CNS programs.</w:t>
      </w:r>
    </w:p>
    <w:p>
      <w:pPr>
        <w:spacing w:after="0" w:line="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collaboration, the parties plan to perform discovery research until designation of lead candidates. Following designation of a lead candidate, the parties may further advance such lead candidate under either a License Agreement or a Co-Commercialization Collaboration Agreement structure. The initial target nomination and discovery period is five years (which may under certain situations automatically be extended for up to seven years in the aggregate) (the "Research Term"). In addition, we have an option to extend the Research Term for an additional five-year period for a research extension fee ranging from</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$200.0 million to $400.0 million; the actual amount of the fee will be determined based on the acceptance of one or more Investigational New Drug Applications ("INDs") (or their equivalent in certain other countries) for programs in the eye and CNS.</w:t>
      </w:r>
    </w:p>
    <w:p>
      <w:pPr>
        <w:spacing w:after="0" w:line="8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At the stage of designation of a lead candidate for CNS programs and liver programs, the parties have alternating rights to be a lead party for collaboration products. At the stage of designation of a lead candidate for eye programs, we have the sole right to take the product forward as a licensee. The lead party is required to take the program forward under the License Agreement structure unless the other party exercises its rights to opt-in to a Co-Commercialization Collaboration Agreement, in which case the lead party is required to take the program forward under the Co-Commercialization Collaboration Agreement structure. Alnylam does not have rights to opt-in to a Co-Commercialization Collaboration Agreement for eye programs.</w:t>
      </w:r>
    </w:p>
    <w:p>
      <w:pPr>
        <w:spacing w:after="0" w:line="9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Under a License Agreement, the lead party is designated as the licensee and has the right to develop and commercialize the collaboration product under such program. The licensee will be responsible for its own costs and expenses incurred in connection with the development and commercialization of the collaboration products under the License Agreement. The licensee will pay to the licensor certain development and/or commercialization milestone payments, as well as certain tiered royalty payments to the licensor based on the aggregate annual net sales of the collaboration product.</w:t>
      </w:r>
    </w:p>
    <w:p>
      <w:pPr>
        <w:spacing w:after="0" w:line="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CNS programs and liver programs, as soon as a party is designated as a lead party, the other company has rights to opt-in to a Co-Commercialization Collaboration Agreement as a participating party. Under a Co-Commercialization Collaboration Agreement, the party designated as the lead party will lead development and commercialization of the program and the parties will split profits and share costs equally, subject to certain co-funding opt-outs at specified clinical trial phases or under other conditions. If a party exercises its co-funding opt-out right, the lead party will be required to make certain tiered royalty payments to the other party based on the aggregate annual net sales of the collaboration product and the timing of the exercise of the co-funding opt-out right. If the non-lead party does not initially opt-in to a Co-Commercialization Collaboration Agreement, the lead party has the right to take the program forward under a License Agreement structure.</w:t>
      </w:r>
    </w:p>
    <w:p>
      <w:pPr>
        <w:spacing w:after="0" w:line="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collaboration, when we are the licensee under a License Agreement or the lead party under a Co-Commercialization Collaboration Agreement, Alnylam will be responsible for the manufacture and supply of the product to us for Phase 1 and Phase 2 clinical trials.</w:t>
      </w:r>
    </w:p>
    <w:p>
      <w:pPr>
        <w:spacing w:after="0" w:line="1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connection with the collaboration, we and Alnylam also entered into a Stock Purchase Agreement. Pursuant to the terms of the Stock Purchase Agreement, we purchased 4,444,445 shares of Alnylam common stock for aggregate cash consideration of $400.0 million.</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2019, the parties entered into a Co-Commercialization Collaboration Agreement for a silencing RNA ("siRNA") therapeutic targeting the C5 component of the human complement pathway being developed by Alnylam, with Alnylam as the lead party, and a License Agreement for a combination product consisting of cemdisiran and pozelimab, with us as the licensee. The C5 siRNA Co-Commercialization Collaboration Agreement is consistent with the financial terms contained in the form of the existing Co-Commercialization Collaboration Agreement with Alnylam. The C5 siRNA License Agreement contains a flat low double-digit royalty payable to Alnylam on our potential future net sales of the combination product only subject to customary reductions, as well as up to $325.0 million in commercial milestones.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Intellia</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2016, we entered into a license and collaboration agreement with Intellia Therapeutics, Inc. to advance CRISPR/Cas9 gene-editing technology for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therapeutic development. NTLA-2001, which is in Phase 1 clinical development, is subject to a co-development and co-commercialization</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 pursuant to which Intellia will lead development and commercialization activities and the parties share an agreed-upon percentage of development expenses and profits (if commercialized).</w:t>
      </w:r>
    </w:p>
    <w:p>
      <w:pPr>
        <w:spacing w:after="0" w:line="1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May 2020, we expanded our existing collaboration with Intellia Therapeutics, Inc. to provide us with rights to develop products for additional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CRISPR/Cas9-based therapeutic targets and for the companies to jointly develop potential products for the treatment of hemophilia A and B, with Regeneron leading development and commercialization activities. In addition, we also received non-exclusive rights to independently develop and commercialize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gene edited products. In connection with the May 2020 agreement, we made a $70.0 million up-front payment and purchased 925,218 shares of Intellia common stock for an aggregate purchase price of $30.0 million. The up-front payment and the amount paid in excess of the fair market value of the shares purchased, or $15.0 million, were recorded to Research and development expense in the second quarter of 2020.</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BARDA</w:t>
      </w:r>
    </w:p>
    <w:p>
      <w:pPr>
        <w:spacing w:after="0" w:line="15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and BARDA are parties to agreements pursuant to which HHS provided certain funding to develop, test, and manufacture a treatment for Ebola virus infection. In July 2020, HHS exercised its option under an existing agreement to provide up to $344.6 million of additional funding for the manufacture and supply of Inmazeb. We expect to deliver a pre-specified number of Inmazeb treatment doses over the course of approximately six years.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920"/>
        <w:spacing w:after="0" w:line="406" w:lineRule="auto"/>
        <w:rPr>
          <w:sz w:val="20"/>
          <w:szCs w:val="20"/>
          <w:color w:val="auto"/>
        </w:rPr>
      </w:pPr>
      <w:r>
        <w:rPr>
          <w:rFonts w:ascii="Arial" w:cs="Arial" w:eastAsia="Arial" w:hAnsi="Arial"/>
          <w:sz w:val="18"/>
          <w:szCs w:val="18"/>
          <w:color w:val="auto"/>
        </w:rPr>
        <w:t xml:space="preserve">See "Agreements Related to COVID-19 - U.S. Government" section above for information related to our COVID-19 agreements. </w:t>
      </w:r>
      <w:r>
        <w:rPr>
          <w:rFonts w:ascii="Arial" w:cs="Arial" w:eastAsia="Arial" w:hAnsi="Arial"/>
          <w:sz w:val="18"/>
          <w:szCs w:val="18"/>
          <w:b w:val="1"/>
          <w:bCs w:val="1"/>
          <w:i w:val="1"/>
          <w:iCs w:val="1"/>
          <w:color w:val="auto"/>
        </w:rPr>
        <w:t>Kiniksa</w:t>
      </w:r>
    </w:p>
    <w:p>
      <w:pPr>
        <w:spacing w:after="0" w:line="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described under "Products" above, pursuant to a 2017 license agreement, we granted Kiniksa the right to develop and commercialize certain new indications for ARCALYST. Commencing with the receipt of marketing approval by Kiniksa for the first new indication of ARCALYST in the United States, Kiniksa will be solely responsible for the U.S. development and commercialization of ARCALYST in all approved indications</w:t>
      </w:r>
      <w:r>
        <w:rPr>
          <w:rFonts w:ascii="Arial" w:cs="Arial" w:eastAsia="Arial" w:hAnsi="Arial"/>
          <w:sz w:val="17"/>
          <w:szCs w:val="17"/>
          <w:color w:val="FF0000"/>
        </w:rPr>
        <w:t>.</w:t>
      </w:r>
    </w:p>
    <w:p>
      <w:pPr>
        <w:spacing w:after="0" w:line="9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During 2020, an sBLA for Kiniksa's first new indication for ARCALYST, recurrent pericarditis, was submitted and is currently under regulatory review, with a target action date of March 21, 2021. If the new indication is approved by the FDA, we are entitled to receive an additional $20.0 million milestone payment from Kiniksa, and Kiniksa will pay Regeneron 50% of its profits from sales of ARCALYST. The parties will not share in any losses incurred by Kiniksa in connection with commercialization of ARCALYST.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manufacture bulk drug materials and products at our manufacturing facilities in Rensselaer, New York and Limerick, Ireland. These facilities consist of owned and leased research, manufacturing, office, laboratory, and warehouse space. In addition, during 2021, we expect to continue the construction of a fill/finish facility in Rensselaer, New York.</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have approximately 100,000 liters of cell culture capacity at our Rensselaer facility, and are approved by the FDA and other regulatory agencies to manufacture our bulk drug materials and products. In addition, we currently have approximately 130,000 liters of cell culture capacity at our Limerick facility which has received certain manufacturing approvals by regulatory agencies, including the FDA, and is in the process of further validation, as required by regulatory authorities, for the manufacture of our bulk drug materials and products.</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bulk drug materials and products are also manufactured by our collaborators, and certain raw materials or products necessary for the manufacture and formulation of our products and product candidates are provided by single-source unaffiliated third-party suppliers. In addition, we rely on our collaborators or third parties to perform packaging, filling, finishing, labeling, distribution, laboratory testing, and other services related to the manufacture of our products and product candidates, and to supply various raw materials and other products. See Part I, Item 1A. "Risk Factors - Risks Related to Manufacturing and Supply" for further information.</w:t>
      </w:r>
    </w:p>
    <w:p>
      <w:pPr>
        <w:spacing w:after="0" w:line="1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Among the conditions for regulatory marketing approval of a medicine is the requirement that the prospective manufacturer's quality control and manufacturing procedures conform to the good manufacturing practice ("GMP") regulations of the health authority. In complying with standards set forth in these regulations, manufacturers must continue to expend time, money, and effort in the areas of production and quality control to ensure full technical compliance. Manufacturing establishments, both foreign and domestic, are also subject to inspections by or under the authority of the FDA and by other national, federal, state, and local agencies.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w:t>
      </w:r>
    </w:p>
    <w:p>
      <w:pPr>
        <w:spacing w:after="0" w:line="14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medicines are marketed through our commercial group, which includes experienced professionals in the fields of marketing, professional education, patient education, reimbursement and market access, trade and distribution, commercial operations, commercial analytics, market research, and forecasting.</w:t>
      </w:r>
    </w:p>
    <w:p>
      <w:pPr>
        <w:spacing w:after="0" w:line="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sell our marketed products in the United States primarily to wholesalers and specialty distributors that serve pharmacies, hospitals, government agencies, physicians, and other healthcare providers. We had sales to two customers (Besse Medical, a subsidiary of AmerisourceBergen Corporation, and McKesson Corporation) that each accounted for more than 10% of total gross product revenue for the year ended December 31, 2020. On a combined basis, our product sales to these customers accounted for 83% of our total gross product revenue for the year ended December 31, 2020. We promote approved medicines to healthcare professionals via our team of U.S.-based field employees, as well medical journals, medical exhibitions, distribution of literature and samples, and online channels. In addition, we advertise certain products directly to U.S. consumers and maintain websites with information about our medicines. The commercial group also evaluates opportunities for our targets and product candidates, and prepares for market launches of new medicines.</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Additionally, we are a party to several collaboration agreements, whereby our collaborator is responsible for recording product sales of certain products either solely outside the United States or globally. We have exercised our option to co-commercialize some products in accordance with such collaboration agreements. Refer to "Collaboration, License, and Other Agreements" section above for additional information.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4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face substantial competition from pharmaceutical, biotechnology, and chemical companies. Many of our competitors have substantially greater research, preclinical and clinical product development, manufacturing capabilities, and financial, marketing, and human resources than we do. Competition from smaller competitors may also be or become more significant if those competitors acquire or discover patentable inventions, form collaborative arrangements, or merge with large pharmaceutical or biotechnology companies. Even if we are able to commercialize additional product candidates, one or more of our competitors may have brought a competitive product to market earlier than us or may have patent protection that dominates or adversely affects our activities or products. Our ability to compete depends, to a great extent, on how fast we can develop safe and effective product candidates, complete clinical testing and approval processes, and supply commercial quantities of the product to the market. Competition among product candidates approved for sale is based on efficacy, safety, reliability, availability, price, patent position, and other factors.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Marketed Products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table below provides an overview of the current competitive landscape for the key products marketed by us and/or our collaborators under our collaboration agreements with them in such products' currently approved indications. The table below is provided for illustrative purposes only and is not exhaustive. For additional information regarding the substantial competition these marketed products face, including potential future competition from product candidates in clinical development, see also Part I, Item 1A. "Risk Factors - Risks Related to Commercialization of Our Marketed Products, Product Candidates, and New Indications for Our Marketed Products - </w:t>
      </w:r>
      <w:r>
        <w:rPr>
          <w:rFonts w:ascii="Arial" w:cs="Arial" w:eastAsia="Arial" w:hAnsi="Arial"/>
          <w:sz w:val="18"/>
          <w:szCs w:val="18"/>
          <w:i w:val="1"/>
          <w:iCs w:val="1"/>
          <w:color w:val="auto"/>
        </w:rPr>
        <w:t>The commercial success of our products and product candidates is subject to</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competition.</w:t>
      </w:r>
      <w:r>
        <w:rPr>
          <w:rFonts w:ascii="Arial" w:cs="Arial" w:eastAsia="Arial" w:hAnsi="Arial"/>
          <w:sz w:val="18"/>
          <w:szCs w:val="18"/>
          <w:color w:val="auto"/>
        </w:rPr>
        <w:t>"</w:t>
      </w:r>
    </w:p>
    <w:p>
      <w:pPr>
        <w:spacing w:after="0" w:line="212" w:lineRule="exact"/>
        <w:rPr>
          <w:sz w:val="20"/>
          <w:szCs w:val="20"/>
          <w:color w:val="auto"/>
        </w:rPr>
      </w:pPr>
    </w:p>
    <w:tbl>
      <w:tblPr>
        <w:tblLayout w:type="fixed"/>
        <w:tblInd w:w="80" w:type="dxa"/>
        <w:tblCellMar>
          <w:top w:w="0" w:type="dxa"/>
          <w:left w:w="0" w:type="dxa"/>
          <w:bottom w:w="0" w:type="dxa"/>
          <w:right w:w="0" w:type="dxa"/>
        </w:tblCellMar>
      </w:tblPr>
      <w:tr>
        <w:trPr>
          <w:trHeight w:val="264"/>
        </w:trPr>
        <w:tc>
          <w:tcPr>
            <w:tcW w:w="2000" w:type="dxa"/>
            <w:vAlign w:val="bottom"/>
          </w:tcPr>
          <w:p>
            <w:pPr>
              <w:ind w:left="280"/>
              <w:spacing w:after="0"/>
              <w:rPr>
                <w:sz w:val="20"/>
                <w:szCs w:val="20"/>
                <w:color w:val="auto"/>
              </w:rPr>
            </w:pPr>
            <w:r>
              <w:rPr>
                <w:rFonts w:ascii="Arial" w:cs="Arial" w:eastAsia="Arial" w:hAnsi="Arial"/>
                <w:sz w:val="18"/>
                <w:szCs w:val="18"/>
                <w:b w:val="1"/>
                <w:bCs w:val="1"/>
                <w:color w:val="auto"/>
              </w:rPr>
              <w:t>Marketed Product</w:t>
            </w:r>
          </w:p>
        </w:tc>
        <w:tc>
          <w:tcPr>
            <w:tcW w:w="100" w:type="dxa"/>
            <w:vAlign w:val="bottom"/>
          </w:tcPr>
          <w:p>
            <w:pPr>
              <w:spacing w:after="0"/>
              <w:rPr>
                <w:sz w:val="22"/>
                <w:szCs w:val="22"/>
                <w:color w:val="auto"/>
              </w:rPr>
            </w:pPr>
          </w:p>
        </w:tc>
        <w:tc>
          <w:tcPr>
            <w:tcW w:w="2500" w:type="dxa"/>
            <w:vAlign w:val="bottom"/>
          </w:tcPr>
          <w:p>
            <w:pPr>
              <w:ind w:left="480"/>
              <w:spacing w:after="0"/>
              <w:rPr>
                <w:sz w:val="20"/>
                <w:szCs w:val="20"/>
                <w:color w:val="auto"/>
              </w:rPr>
            </w:pPr>
            <w:r>
              <w:rPr>
                <w:rFonts w:ascii="Arial" w:cs="Arial" w:eastAsia="Arial" w:hAnsi="Arial"/>
                <w:sz w:val="18"/>
                <w:szCs w:val="18"/>
                <w:b w:val="1"/>
                <w:bCs w:val="1"/>
                <w:color w:val="auto"/>
              </w:rPr>
              <w:t>Competitor Product</w:t>
            </w:r>
          </w:p>
        </w:tc>
        <w:tc>
          <w:tcPr>
            <w:tcW w:w="100" w:type="dxa"/>
            <w:vAlign w:val="bottom"/>
          </w:tcPr>
          <w:p>
            <w:pPr>
              <w:spacing w:after="0"/>
              <w:rPr>
                <w:sz w:val="22"/>
                <w:szCs w:val="22"/>
                <w:color w:val="auto"/>
              </w:rPr>
            </w:pPr>
          </w:p>
        </w:tc>
        <w:tc>
          <w:tcPr>
            <w:tcW w:w="2380" w:type="dxa"/>
            <w:vAlign w:val="bottom"/>
          </w:tcPr>
          <w:p>
            <w:pPr>
              <w:ind w:left="760"/>
              <w:spacing w:after="0"/>
              <w:rPr>
                <w:sz w:val="20"/>
                <w:szCs w:val="20"/>
                <w:color w:val="auto"/>
              </w:rPr>
            </w:pPr>
            <w:r>
              <w:rPr>
                <w:rFonts w:ascii="Arial" w:cs="Arial" w:eastAsia="Arial" w:hAnsi="Arial"/>
                <w:sz w:val="18"/>
                <w:szCs w:val="18"/>
                <w:b w:val="1"/>
                <w:bCs w:val="1"/>
                <w:color w:val="auto"/>
              </w:rPr>
              <w:t>Competitor</w:t>
            </w:r>
          </w:p>
        </w:tc>
        <w:tc>
          <w:tcPr>
            <w:tcW w:w="120" w:type="dxa"/>
            <w:vAlign w:val="bottom"/>
          </w:tcPr>
          <w:p>
            <w:pPr>
              <w:spacing w:after="0"/>
              <w:rPr>
                <w:sz w:val="22"/>
                <w:szCs w:val="22"/>
                <w:color w:val="auto"/>
              </w:rPr>
            </w:pPr>
          </w:p>
        </w:tc>
        <w:tc>
          <w:tcPr>
            <w:tcW w:w="2060" w:type="dxa"/>
            <w:vAlign w:val="bottom"/>
            <w:gridSpan w:val="2"/>
          </w:tcPr>
          <w:p>
            <w:pPr>
              <w:ind w:left="580"/>
              <w:spacing w:after="0"/>
              <w:rPr>
                <w:sz w:val="20"/>
                <w:szCs w:val="20"/>
                <w:color w:val="auto"/>
              </w:rPr>
            </w:pPr>
            <w:r>
              <w:rPr>
                <w:rFonts w:ascii="Arial" w:cs="Arial" w:eastAsia="Arial" w:hAnsi="Arial"/>
                <w:sz w:val="18"/>
                <w:szCs w:val="18"/>
                <w:b w:val="1"/>
                <w:bCs w:val="1"/>
                <w:color w:val="auto"/>
              </w:rPr>
              <w:t>Indication</w:t>
            </w:r>
          </w:p>
        </w:tc>
        <w:tc>
          <w:tcPr>
            <w:tcW w:w="1840" w:type="dxa"/>
            <w:vAlign w:val="bottom"/>
          </w:tcPr>
          <w:p>
            <w:pPr>
              <w:ind w:left="500"/>
              <w:spacing w:after="0"/>
              <w:rPr>
                <w:sz w:val="20"/>
                <w:szCs w:val="20"/>
                <w:color w:val="auto"/>
              </w:rPr>
            </w:pPr>
            <w:r>
              <w:rPr>
                <w:rFonts w:ascii="Arial" w:cs="Arial" w:eastAsia="Arial" w:hAnsi="Arial"/>
                <w:sz w:val="18"/>
                <w:szCs w:val="18"/>
                <w:b w:val="1"/>
                <w:bCs w:val="1"/>
                <w:color w:val="auto"/>
              </w:rPr>
              <w:t>Territory</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169"/>
        </w:trPr>
        <w:tc>
          <w:tcPr>
            <w:tcW w:w="200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EYLEA</w:t>
            </w:r>
          </w:p>
        </w:tc>
        <w:tc>
          <w:tcPr>
            <w:tcW w:w="100" w:type="dxa"/>
            <w:vAlign w:val="bottom"/>
            <w:tcBorders>
              <w:top w:val="single" w:sz="8" w:color="CCEEFF"/>
            </w:tcBorders>
            <w:shd w:val="clear" w:color="auto" w:fill="CCEEFF"/>
          </w:tcPr>
          <w:p>
            <w:pPr>
              <w:spacing w:after="0"/>
              <w:rPr>
                <w:sz w:val="14"/>
                <w:szCs w:val="14"/>
                <w:color w:val="auto"/>
              </w:rPr>
            </w:pPr>
          </w:p>
        </w:tc>
        <w:tc>
          <w:tcPr>
            <w:tcW w:w="250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5"/>
                <w:szCs w:val="15"/>
                <w:color w:val="auto"/>
              </w:rPr>
              <w:t>Lucentis</w:t>
            </w:r>
            <w:r>
              <w:rPr>
                <w:rFonts w:ascii="Arial" w:cs="Arial" w:eastAsia="Arial" w:hAnsi="Arial"/>
                <w:sz w:val="19"/>
                <w:szCs w:val="19"/>
                <w:color w:val="auto"/>
                <w:vertAlign w:val="superscript"/>
              </w:rPr>
              <w:t>®</w:t>
            </w:r>
            <w:r>
              <w:rPr>
                <w:rFonts w:ascii="Arial" w:cs="Arial" w:eastAsia="Arial" w:hAnsi="Arial"/>
                <w:sz w:val="15"/>
                <w:szCs w:val="15"/>
                <w:color w:val="auto"/>
              </w:rPr>
              <w:t xml:space="preserve"> (ranibizumab injection)</w:t>
            </w:r>
          </w:p>
        </w:tc>
        <w:tc>
          <w:tcPr>
            <w:tcW w:w="100" w:type="dxa"/>
            <w:vAlign w:val="bottom"/>
            <w:tcBorders>
              <w:top w:val="single" w:sz="8" w:color="CCEEFF"/>
            </w:tcBorders>
            <w:shd w:val="clear" w:color="auto" w:fill="CCEEFF"/>
          </w:tcPr>
          <w:p>
            <w:pPr>
              <w:spacing w:after="0"/>
              <w:rPr>
                <w:sz w:val="14"/>
                <w:szCs w:val="14"/>
                <w:color w:val="auto"/>
              </w:rPr>
            </w:pPr>
          </w:p>
        </w:tc>
        <w:tc>
          <w:tcPr>
            <w:tcW w:w="238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Novartis AG and</w:t>
            </w:r>
          </w:p>
        </w:tc>
        <w:tc>
          <w:tcPr>
            <w:tcW w:w="120" w:type="dxa"/>
            <w:vAlign w:val="bottom"/>
            <w:tcBorders>
              <w:top w:val="single" w:sz="8" w:color="CCEEFF"/>
            </w:tcBorders>
            <w:shd w:val="clear" w:color="auto" w:fill="CCEEFF"/>
          </w:tcPr>
          <w:p>
            <w:pPr>
              <w:spacing w:after="0"/>
              <w:rPr>
                <w:sz w:val="14"/>
                <w:szCs w:val="14"/>
                <w:color w:val="auto"/>
              </w:rPr>
            </w:pPr>
          </w:p>
        </w:tc>
        <w:tc>
          <w:tcPr>
            <w:tcW w:w="196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96"/>
              </w:rPr>
              <w:t>Wet AMD, DME, macular</w:t>
            </w:r>
          </w:p>
        </w:tc>
        <w:tc>
          <w:tcPr>
            <w:tcW w:w="10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176"/>
        </w:trPr>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Genentech/Roche</w:t>
            </w:r>
          </w:p>
        </w:tc>
        <w:tc>
          <w:tcPr>
            <w:tcW w:w="12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edema following RVO</w:t>
            </w: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(including CRVO and</w:t>
            </w: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BRVO), diabetic</w:t>
            </w: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retinopathy, mCNV, and</w:t>
            </w: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Avastin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(bevacizumab) (off-</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ROP</w:t>
            </w: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Genentech/Roche</w:t>
            </w:r>
          </w:p>
        </w:tc>
        <w:tc>
          <w:tcPr>
            <w:tcW w:w="12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Wet AMD, DME, and</w:t>
            </w: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175"/>
        </w:trPr>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label and repackaged)</w:t>
            </w: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macular edema following</w:t>
            </w: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5"/>
              </w:rPr>
              <w:t>Beovu</w:t>
            </w:r>
            <w:r>
              <w:rPr>
                <w:rFonts w:ascii="Arial" w:cs="Arial" w:eastAsia="Arial" w:hAnsi="Arial"/>
                <w:sz w:val="23"/>
                <w:szCs w:val="23"/>
                <w:color w:val="auto"/>
                <w:w w:val="95"/>
                <w:vertAlign w:val="superscript"/>
              </w:rPr>
              <w:t>®</w:t>
            </w:r>
            <w:r>
              <w:rPr>
                <w:rFonts w:ascii="Arial" w:cs="Arial" w:eastAsia="Arial" w:hAnsi="Arial"/>
                <w:sz w:val="18"/>
                <w:szCs w:val="18"/>
                <w:color w:val="auto"/>
                <w:w w:val="95"/>
              </w:rPr>
              <w:t xml:space="preserve"> (brolucizumab) Injection</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RVO</w:t>
            </w: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Novartis</w:t>
            </w:r>
          </w:p>
        </w:tc>
        <w:tc>
          <w:tcPr>
            <w:tcW w:w="1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Wet AMD</w:t>
            </w:r>
          </w:p>
        </w:tc>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175"/>
        </w:trPr>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0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color w:val="auto"/>
              </w:rPr>
              <w:t>Ozurdex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(dexamethasone</w:t>
            </w: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Allergan, PLC</w:t>
            </w:r>
          </w:p>
        </w:tc>
        <w:tc>
          <w:tcPr>
            <w:tcW w:w="12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DME, RVO</w:t>
            </w: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intravitreal implant)</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0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color w:val="auto"/>
              </w:rPr>
              <w:t>Iluvien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(fluocinolone acetonide</w:t>
            </w: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Alimera Sciences, Inc.</w:t>
            </w:r>
          </w:p>
        </w:tc>
        <w:tc>
          <w:tcPr>
            <w:tcW w:w="12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DME</w:t>
            </w: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intravitreal implant)</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Conbercept</w:t>
            </w: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Chengdu Kanghong</w:t>
            </w:r>
          </w:p>
        </w:tc>
        <w:tc>
          <w:tcPr>
            <w:tcW w:w="12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Wet AMD, mCNV</w:t>
            </w: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Pharmaceutical Group Co., Ltd.</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00" w:type="dxa"/>
            <w:vAlign w:val="bottom"/>
          </w:tcPr>
          <w:p>
            <w:pPr>
              <w:ind w:left="20"/>
              <w:spacing w:after="0" w:line="176" w:lineRule="exact"/>
              <w:rPr>
                <w:sz w:val="20"/>
                <w:szCs w:val="20"/>
                <w:color w:val="auto"/>
              </w:rPr>
            </w:pPr>
            <w:r>
              <w:rPr>
                <w:rFonts w:ascii="Arial" w:cs="Arial" w:eastAsia="Arial" w:hAnsi="Arial"/>
                <w:sz w:val="18"/>
                <w:szCs w:val="18"/>
                <w:color w:val="auto"/>
              </w:rPr>
              <w:t>Dupixent</w:t>
            </w:r>
          </w:p>
        </w:tc>
        <w:tc>
          <w:tcPr>
            <w:tcW w:w="100" w:type="dxa"/>
            <w:vAlign w:val="bottom"/>
          </w:tcPr>
          <w:p>
            <w:pPr>
              <w:spacing w:after="0"/>
              <w:rPr>
                <w:sz w:val="15"/>
                <w:szCs w:val="15"/>
                <w:color w:val="auto"/>
              </w:rPr>
            </w:pPr>
          </w:p>
        </w:tc>
        <w:tc>
          <w:tcPr>
            <w:tcW w:w="2500" w:type="dxa"/>
            <w:vAlign w:val="bottom"/>
          </w:tcPr>
          <w:p>
            <w:pPr>
              <w:ind w:left="20"/>
              <w:spacing w:after="0" w:line="176" w:lineRule="exact"/>
              <w:rPr>
                <w:sz w:val="20"/>
                <w:szCs w:val="20"/>
                <w:color w:val="auto"/>
              </w:rPr>
            </w:pPr>
            <w:r>
              <w:rPr>
                <w:rFonts w:ascii="Arial" w:cs="Arial" w:eastAsia="Arial" w:hAnsi="Arial"/>
                <w:sz w:val="16"/>
                <w:szCs w:val="16"/>
                <w:color w:val="auto"/>
              </w:rPr>
              <w:t>Eucrisa</w:t>
            </w:r>
            <w:r>
              <w:rPr>
                <w:rFonts w:ascii="Arial" w:cs="Arial" w:eastAsia="Arial" w:hAnsi="Arial"/>
                <w:sz w:val="20"/>
                <w:szCs w:val="20"/>
                <w:color w:val="auto"/>
                <w:vertAlign w:val="superscript"/>
              </w:rPr>
              <w:t>®</w:t>
            </w:r>
            <w:r>
              <w:rPr>
                <w:rFonts w:ascii="Arial" w:cs="Arial" w:eastAsia="Arial" w:hAnsi="Arial"/>
                <w:sz w:val="16"/>
                <w:szCs w:val="16"/>
                <w:color w:val="auto"/>
              </w:rPr>
              <w:t>/Staquis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(crisaborole)</w:t>
            </w:r>
          </w:p>
        </w:tc>
        <w:tc>
          <w:tcPr>
            <w:tcW w:w="100" w:type="dxa"/>
            <w:vAlign w:val="bottom"/>
          </w:tcPr>
          <w:p>
            <w:pPr>
              <w:spacing w:after="0"/>
              <w:rPr>
                <w:sz w:val="15"/>
                <w:szCs w:val="15"/>
                <w:color w:val="auto"/>
              </w:rPr>
            </w:pPr>
          </w:p>
        </w:tc>
        <w:tc>
          <w:tcPr>
            <w:tcW w:w="2380" w:type="dxa"/>
            <w:vAlign w:val="bottom"/>
          </w:tcPr>
          <w:p>
            <w:pPr>
              <w:ind w:left="20"/>
              <w:spacing w:after="0" w:line="176" w:lineRule="exact"/>
              <w:rPr>
                <w:sz w:val="20"/>
                <w:szCs w:val="20"/>
                <w:color w:val="auto"/>
              </w:rPr>
            </w:pPr>
            <w:r>
              <w:rPr>
                <w:rFonts w:ascii="Arial" w:cs="Arial" w:eastAsia="Arial" w:hAnsi="Arial"/>
                <w:sz w:val="18"/>
                <w:szCs w:val="18"/>
                <w:color w:val="auto"/>
              </w:rPr>
              <w:t>Pfizer</w:t>
            </w:r>
          </w:p>
        </w:tc>
        <w:tc>
          <w:tcPr>
            <w:tcW w:w="120" w:type="dxa"/>
            <w:vAlign w:val="bottom"/>
          </w:tcPr>
          <w:p>
            <w:pPr>
              <w:spacing w:after="0"/>
              <w:rPr>
                <w:sz w:val="15"/>
                <w:szCs w:val="15"/>
                <w:color w:val="auto"/>
              </w:rPr>
            </w:pPr>
          </w:p>
        </w:tc>
        <w:tc>
          <w:tcPr>
            <w:tcW w:w="2060" w:type="dxa"/>
            <w:vAlign w:val="bottom"/>
            <w:gridSpan w:val="2"/>
          </w:tcPr>
          <w:p>
            <w:pPr>
              <w:spacing w:after="0" w:line="176" w:lineRule="exact"/>
              <w:rPr>
                <w:sz w:val="20"/>
                <w:szCs w:val="20"/>
                <w:color w:val="auto"/>
              </w:rPr>
            </w:pPr>
            <w:r>
              <w:rPr>
                <w:rFonts w:ascii="Arial" w:cs="Arial" w:eastAsia="Arial" w:hAnsi="Arial"/>
                <w:sz w:val="18"/>
                <w:szCs w:val="18"/>
                <w:color w:val="auto"/>
              </w:rPr>
              <w:t>Mild-to-moderate atopic</w:t>
            </w: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United States, EU</w:t>
            </w:r>
          </w:p>
        </w:tc>
        <w:tc>
          <w:tcPr>
            <w:tcW w:w="0" w:type="dxa"/>
            <w:vAlign w:val="bottom"/>
          </w:tcPr>
          <w:p>
            <w:pPr>
              <w:spacing w:after="0"/>
              <w:rPr>
                <w:sz w:val="1"/>
                <w:szCs w:val="1"/>
                <w:color w:val="auto"/>
              </w:rPr>
            </w:pPr>
          </w:p>
        </w:tc>
      </w:tr>
      <w:tr>
        <w:trPr>
          <w:trHeight w:val="229"/>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dermatitis</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Pr>
          <w:p>
            <w:pPr>
              <w:ind w:left="20"/>
              <w:spacing w:after="0" w:line="190" w:lineRule="exact"/>
              <w:rPr>
                <w:sz w:val="20"/>
                <w:szCs w:val="20"/>
                <w:color w:val="auto"/>
              </w:rPr>
            </w:pPr>
            <w:r>
              <w:rPr>
                <w:rFonts w:ascii="Arial" w:cs="Arial" w:eastAsia="Arial" w:hAnsi="Arial"/>
                <w:sz w:val="17"/>
                <w:szCs w:val="17"/>
                <w:color w:val="auto"/>
              </w:rPr>
              <w:t>Olumiant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(baricitinib)</w:t>
            </w:r>
          </w:p>
        </w:tc>
        <w:tc>
          <w:tcPr>
            <w:tcW w:w="100" w:type="dxa"/>
            <w:vAlign w:val="bottom"/>
          </w:tcPr>
          <w:p>
            <w:pPr>
              <w:spacing w:after="0"/>
              <w:rPr>
                <w:sz w:val="16"/>
                <w:szCs w:val="16"/>
                <w:color w:val="auto"/>
              </w:rPr>
            </w:pPr>
          </w:p>
        </w:tc>
        <w:tc>
          <w:tcPr>
            <w:tcW w:w="2380" w:type="dxa"/>
            <w:vAlign w:val="bottom"/>
          </w:tcPr>
          <w:p>
            <w:pPr>
              <w:ind w:left="20"/>
              <w:spacing w:after="0" w:line="190" w:lineRule="exact"/>
              <w:rPr>
                <w:sz w:val="20"/>
                <w:szCs w:val="20"/>
                <w:color w:val="auto"/>
              </w:rPr>
            </w:pPr>
            <w:r>
              <w:rPr>
                <w:rFonts w:ascii="Arial" w:cs="Arial" w:eastAsia="Arial" w:hAnsi="Arial"/>
                <w:sz w:val="18"/>
                <w:szCs w:val="18"/>
                <w:color w:val="auto"/>
              </w:rPr>
              <w:t>Eli Lilly/Incyte</w:t>
            </w:r>
          </w:p>
        </w:tc>
        <w:tc>
          <w:tcPr>
            <w:tcW w:w="120" w:type="dxa"/>
            <w:vAlign w:val="bottom"/>
          </w:tcPr>
          <w:p>
            <w:pPr>
              <w:spacing w:after="0"/>
              <w:rPr>
                <w:sz w:val="16"/>
                <w:szCs w:val="16"/>
                <w:color w:val="auto"/>
              </w:rPr>
            </w:pPr>
          </w:p>
        </w:tc>
        <w:tc>
          <w:tcPr>
            <w:tcW w:w="2060" w:type="dxa"/>
            <w:vAlign w:val="bottom"/>
            <w:gridSpan w:val="2"/>
          </w:tcPr>
          <w:p>
            <w:pPr>
              <w:spacing w:after="0" w:line="190" w:lineRule="exact"/>
              <w:rPr>
                <w:sz w:val="20"/>
                <w:szCs w:val="20"/>
                <w:color w:val="auto"/>
              </w:rPr>
            </w:pPr>
            <w:r>
              <w:rPr>
                <w:rFonts w:ascii="Arial" w:cs="Arial" w:eastAsia="Arial" w:hAnsi="Arial"/>
                <w:sz w:val="18"/>
                <w:szCs w:val="18"/>
                <w:color w:val="auto"/>
                <w:w w:val="97"/>
              </w:rPr>
              <w:t>Moderate-to-severe atopic</w:t>
            </w:r>
          </w:p>
        </w:tc>
        <w:tc>
          <w:tcPr>
            <w:tcW w:w="1840" w:type="dxa"/>
            <w:vAlign w:val="bottom"/>
          </w:tcPr>
          <w:p>
            <w:pPr>
              <w:ind w:left="20"/>
              <w:spacing w:after="0" w:line="190" w:lineRule="exact"/>
              <w:rPr>
                <w:sz w:val="20"/>
                <w:szCs w:val="20"/>
                <w:color w:val="auto"/>
              </w:rPr>
            </w:pPr>
            <w:r>
              <w:rPr>
                <w:rFonts w:ascii="Arial" w:cs="Arial" w:eastAsia="Arial" w:hAnsi="Arial"/>
                <w:sz w:val="18"/>
                <w:szCs w:val="18"/>
                <w:color w:val="auto"/>
              </w:rPr>
              <w:t>EU, Japan</w:t>
            </w:r>
          </w:p>
        </w:tc>
        <w:tc>
          <w:tcPr>
            <w:tcW w:w="0" w:type="dxa"/>
            <w:vAlign w:val="bottom"/>
          </w:tcPr>
          <w:p>
            <w:pPr>
              <w:spacing w:after="0"/>
              <w:rPr>
                <w:sz w:val="1"/>
                <w:szCs w:val="1"/>
                <w:color w:val="auto"/>
              </w:rPr>
            </w:pPr>
          </w:p>
        </w:tc>
      </w:tr>
      <w:tr>
        <w:trPr>
          <w:trHeight w:val="215"/>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dermatitis</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ind w:left="20"/>
              <w:spacing w:after="0" w:line="216" w:lineRule="exact"/>
              <w:rPr>
                <w:sz w:val="20"/>
                <w:szCs w:val="20"/>
                <w:color w:val="auto"/>
              </w:rPr>
            </w:pPr>
            <w:r>
              <w:rPr>
                <w:rFonts w:ascii="Arial" w:cs="Arial" w:eastAsia="Arial" w:hAnsi="Arial"/>
                <w:sz w:val="18"/>
                <w:szCs w:val="18"/>
                <w:color w:val="auto"/>
              </w:rPr>
              <w:t>Xolair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(omalizumab)</w:t>
            </w:r>
          </w:p>
        </w:tc>
        <w:tc>
          <w:tcPr>
            <w:tcW w:w="10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Roche/Novartis</w:t>
            </w:r>
          </w:p>
        </w:tc>
        <w:tc>
          <w:tcPr>
            <w:tcW w:w="12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Asthma, nasal polyps</w:t>
            </w:r>
          </w:p>
        </w:tc>
        <w:tc>
          <w:tcPr>
            <w:tcW w:w="1840" w:type="dxa"/>
            <w:vAlign w:val="bottom"/>
          </w:tcPr>
          <w:p>
            <w:pPr>
              <w:ind w:left="20"/>
              <w:spacing w:after="0"/>
              <w:rPr>
                <w:sz w:val="20"/>
                <w:szCs w:val="20"/>
                <w:color w:val="auto"/>
              </w:rPr>
            </w:pPr>
            <w:r>
              <w:rPr>
                <w:rFonts w:ascii="Arial" w:cs="Arial" w:eastAsia="Arial" w:hAnsi="Arial"/>
                <w:sz w:val="18"/>
                <w:szCs w:val="18"/>
                <w:color w:val="auto"/>
              </w:rPr>
              <w:t>Worldwide (asthma);</w:t>
            </w: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tcPr>
          <w:p>
            <w:pPr>
              <w:ind w:left="20"/>
              <w:spacing w:after="0" w:line="135" w:lineRule="exact"/>
              <w:rPr>
                <w:sz w:val="20"/>
                <w:szCs w:val="20"/>
                <w:color w:val="auto"/>
              </w:rPr>
            </w:pPr>
            <w:r>
              <w:rPr>
                <w:rFonts w:ascii="Arial" w:cs="Arial" w:eastAsia="Arial" w:hAnsi="Arial"/>
                <w:sz w:val="15"/>
                <w:szCs w:val="15"/>
                <w:color w:val="auto"/>
              </w:rPr>
              <w:t>United States, EU (nasal</w:t>
            </w:r>
          </w:p>
        </w:tc>
        <w:tc>
          <w:tcPr>
            <w:tcW w:w="0" w:type="dxa"/>
            <w:vAlign w:val="bottom"/>
          </w:tcPr>
          <w:p>
            <w:pPr>
              <w:spacing w:after="0"/>
              <w:rPr>
                <w:sz w:val="1"/>
                <w:szCs w:val="1"/>
                <w:color w:val="auto"/>
              </w:rPr>
            </w:pPr>
          </w:p>
        </w:tc>
      </w:tr>
      <w:tr>
        <w:trPr>
          <w:trHeight w:val="229"/>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vMerge w:val="restart"/>
          </w:tcPr>
          <w:p>
            <w:pPr>
              <w:ind w:left="20"/>
              <w:spacing w:after="0"/>
              <w:rPr>
                <w:sz w:val="20"/>
                <w:szCs w:val="20"/>
                <w:color w:val="auto"/>
              </w:rPr>
            </w:pPr>
            <w:r>
              <w:rPr>
                <w:rFonts w:ascii="Arial" w:cs="Arial" w:eastAsia="Arial" w:hAnsi="Arial"/>
                <w:sz w:val="18"/>
                <w:szCs w:val="18"/>
                <w:color w:val="auto"/>
              </w:rPr>
              <w:t>Nucala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(mepolizumab)</w:t>
            </w:r>
          </w:p>
        </w:tc>
        <w:tc>
          <w:tcPr>
            <w:tcW w:w="1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rPr>
              <w:t>polyps)</w:t>
            </w:r>
          </w:p>
        </w:tc>
        <w:tc>
          <w:tcPr>
            <w:tcW w:w="0" w:type="dxa"/>
            <w:vAlign w:val="bottom"/>
          </w:tcPr>
          <w:p>
            <w:pPr>
              <w:spacing w:after="0"/>
              <w:rPr>
                <w:sz w:val="1"/>
                <w:szCs w:val="1"/>
                <w:color w:val="auto"/>
              </w:rPr>
            </w:pPr>
          </w:p>
        </w:tc>
      </w:tr>
      <w:tr>
        <w:trPr>
          <w:trHeight w:val="224"/>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GlaxoSmithKline ("GSK")</w:t>
            </w:r>
          </w:p>
        </w:tc>
        <w:tc>
          <w:tcPr>
            <w:tcW w:w="12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Asthma</w:t>
            </w:r>
          </w:p>
        </w:tc>
        <w:tc>
          <w:tcPr>
            <w:tcW w:w="1840" w:type="dxa"/>
            <w:vAlign w:val="bottom"/>
          </w:tcPr>
          <w:p>
            <w:pPr>
              <w:ind w:left="20"/>
              <w:spacing w:after="0"/>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235"/>
        </w:trPr>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ind w:left="20"/>
              <w:spacing w:after="0" w:line="235" w:lineRule="exact"/>
              <w:rPr>
                <w:sz w:val="20"/>
                <w:szCs w:val="20"/>
                <w:color w:val="auto"/>
              </w:rPr>
            </w:pPr>
            <w:r>
              <w:rPr>
                <w:rFonts w:ascii="Arial" w:cs="Arial" w:eastAsia="Arial" w:hAnsi="Arial"/>
                <w:sz w:val="18"/>
                <w:szCs w:val="18"/>
                <w:color w:val="auto"/>
              </w:rPr>
              <w:t>Cinqair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(reslizumab)</w:t>
            </w:r>
          </w:p>
        </w:tc>
        <w:tc>
          <w:tcPr>
            <w:tcW w:w="100" w:type="dxa"/>
            <w:vAlign w:val="bottom"/>
          </w:tcPr>
          <w:p>
            <w:pPr>
              <w:spacing w:after="0"/>
              <w:rPr>
                <w:sz w:val="20"/>
                <w:szCs w:val="20"/>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Teva</w:t>
            </w:r>
          </w:p>
        </w:tc>
        <w:tc>
          <w:tcPr>
            <w:tcW w:w="120" w:type="dxa"/>
            <w:vAlign w:val="bottom"/>
          </w:tcPr>
          <w:p>
            <w:pPr>
              <w:spacing w:after="0"/>
              <w:rPr>
                <w:sz w:val="20"/>
                <w:szCs w:val="20"/>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Asthma</w:t>
            </w:r>
          </w:p>
        </w:tc>
        <w:tc>
          <w:tcPr>
            <w:tcW w:w="1840" w:type="dxa"/>
            <w:vAlign w:val="bottom"/>
          </w:tcPr>
          <w:p>
            <w:pPr>
              <w:ind w:left="20"/>
              <w:spacing w:after="0"/>
              <w:rPr>
                <w:sz w:val="20"/>
                <w:szCs w:val="20"/>
                <w:color w:val="auto"/>
              </w:rPr>
            </w:pPr>
            <w:r>
              <w:rPr>
                <w:rFonts w:ascii="Arial" w:cs="Arial" w:eastAsia="Arial" w:hAnsi="Arial"/>
                <w:sz w:val="18"/>
                <w:szCs w:val="18"/>
                <w:color w:val="auto"/>
              </w:rPr>
              <w:t>United States, EU</w:t>
            </w:r>
          </w:p>
        </w:tc>
        <w:tc>
          <w:tcPr>
            <w:tcW w:w="0" w:type="dxa"/>
            <w:vAlign w:val="bottom"/>
          </w:tcPr>
          <w:p>
            <w:pPr>
              <w:spacing w:after="0"/>
              <w:rPr>
                <w:sz w:val="1"/>
                <w:szCs w:val="1"/>
                <w:color w:val="auto"/>
              </w:rPr>
            </w:pPr>
          </w:p>
        </w:tc>
      </w:tr>
      <w:tr>
        <w:trPr>
          <w:trHeight w:val="340"/>
        </w:trPr>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Fasenra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(benralizumab)</w:t>
            </w:r>
          </w:p>
        </w:tc>
        <w:tc>
          <w:tcPr>
            <w:tcW w:w="100" w:type="dxa"/>
            <w:vAlign w:val="bottom"/>
          </w:tcPr>
          <w:p>
            <w:pPr>
              <w:spacing w:after="0"/>
              <w:rPr>
                <w:sz w:val="24"/>
                <w:szCs w:val="24"/>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AstraZeneca</w:t>
            </w:r>
          </w:p>
        </w:tc>
        <w:tc>
          <w:tcPr>
            <w:tcW w:w="120" w:type="dxa"/>
            <w:vAlign w:val="bottom"/>
          </w:tcPr>
          <w:p>
            <w:pPr>
              <w:spacing w:after="0"/>
              <w:rPr>
                <w:sz w:val="24"/>
                <w:szCs w:val="24"/>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Asthma</w:t>
            </w:r>
          </w:p>
        </w:tc>
        <w:tc>
          <w:tcPr>
            <w:tcW w:w="1840" w:type="dxa"/>
            <w:vAlign w:val="bottom"/>
          </w:tcPr>
          <w:p>
            <w:pPr>
              <w:ind w:left="20"/>
              <w:spacing w:after="0"/>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3"/>
              </w:rPr>
              <w:t>Marketed Product</w:t>
            </w:r>
          </w:p>
        </w:tc>
        <w:tc>
          <w:tcPr>
            <w:tcW w:w="100" w:type="dxa"/>
            <w:vAlign w:val="bottom"/>
          </w:tcPr>
          <w:p>
            <w:pPr>
              <w:spacing w:after="0"/>
              <w:rPr>
                <w:sz w:val="17"/>
                <w:szCs w:val="17"/>
                <w:color w:val="auto"/>
              </w:rPr>
            </w:pPr>
          </w:p>
        </w:tc>
        <w:tc>
          <w:tcPr>
            <w:tcW w:w="2480" w:type="dxa"/>
            <w:vAlign w:val="bottom"/>
            <w:vMerge w:val="restart"/>
          </w:tcPr>
          <w:p>
            <w:pPr>
              <w:ind w:left="460"/>
              <w:spacing w:after="0"/>
              <w:rPr>
                <w:sz w:val="20"/>
                <w:szCs w:val="20"/>
                <w:color w:val="auto"/>
              </w:rPr>
            </w:pPr>
            <w:r>
              <w:rPr>
                <w:rFonts w:ascii="Arial" w:cs="Arial" w:eastAsia="Arial" w:hAnsi="Arial"/>
                <w:sz w:val="18"/>
                <w:szCs w:val="18"/>
                <w:b w:val="1"/>
                <w:bCs w:val="1"/>
                <w:color w:val="auto"/>
              </w:rPr>
              <w:t>Competitor Product</w:t>
            </w:r>
          </w:p>
        </w:tc>
        <w:tc>
          <w:tcPr>
            <w:tcW w:w="120" w:type="dxa"/>
            <w:vAlign w:val="bottom"/>
          </w:tcPr>
          <w:p>
            <w:pPr>
              <w:spacing w:after="0"/>
              <w:rPr>
                <w:sz w:val="17"/>
                <w:szCs w:val="17"/>
                <w:color w:val="auto"/>
              </w:rPr>
            </w:pPr>
          </w:p>
        </w:tc>
        <w:tc>
          <w:tcPr>
            <w:tcW w:w="2380" w:type="dxa"/>
            <w:vAlign w:val="bottom"/>
            <w:vMerge w:val="restart"/>
          </w:tcPr>
          <w:p>
            <w:pPr>
              <w:ind w:left="740"/>
              <w:spacing w:after="0"/>
              <w:rPr>
                <w:sz w:val="20"/>
                <w:szCs w:val="20"/>
                <w:color w:val="auto"/>
              </w:rPr>
            </w:pPr>
            <w:r>
              <w:rPr>
                <w:rFonts w:ascii="Arial" w:cs="Arial" w:eastAsia="Arial" w:hAnsi="Arial"/>
                <w:sz w:val="18"/>
                <w:szCs w:val="18"/>
                <w:b w:val="1"/>
                <w:bCs w:val="1"/>
                <w:color w:val="auto"/>
              </w:rPr>
              <w:t>Competitor</w:t>
            </w:r>
          </w:p>
        </w:tc>
        <w:tc>
          <w:tcPr>
            <w:tcW w:w="120" w:type="dxa"/>
            <w:vAlign w:val="bottom"/>
          </w:tcPr>
          <w:p>
            <w:pPr>
              <w:spacing w:after="0"/>
              <w:rPr>
                <w:sz w:val="17"/>
                <w:szCs w:val="17"/>
                <w:color w:val="auto"/>
              </w:rPr>
            </w:pPr>
          </w:p>
        </w:tc>
        <w:tc>
          <w:tcPr>
            <w:tcW w:w="20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Indication</w:t>
            </w:r>
          </w:p>
        </w:tc>
        <w:tc>
          <w:tcPr>
            <w:tcW w:w="182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Territory</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230"/>
        </w:trPr>
        <w:tc>
          <w:tcPr>
            <w:tcW w:w="200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7"/>
              </w:rPr>
              <w:t>(continued)</w:t>
            </w:r>
          </w:p>
        </w:tc>
        <w:tc>
          <w:tcPr>
            <w:tcW w:w="100" w:type="dxa"/>
            <w:vAlign w:val="bottom"/>
          </w:tcPr>
          <w:p>
            <w:pPr>
              <w:spacing w:after="0"/>
              <w:rPr>
                <w:sz w:val="19"/>
                <w:szCs w:val="19"/>
                <w:color w:val="auto"/>
              </w:rPr>
            </w:pPr>
          </w:p>
        </w:tc>
        <w:tc>
          <w:tcPr>
            <w:tcW w:w="24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2"/>
            <w:vMerge w:val="continue"/>
          </w:tcPr>
          <w:p>
            <w:pPr>
              <w:spacing w:after="0"/>
              <w:rPr>
                <w:sz w:val="19"/>
                <w:szCs w:val="19"/>
                <w:color w:val="auto"/>
              </w:rPr>
            </w:pPr>
          </w:p>
        </w:tc>
        <w:tc>
          <w:tcPr>
            <w:tcW w:w="1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Libtayo</w:t>
            </w:r>
          </w:p>
        </w:tc>
        <w:tc>
          <w:tcPr>
            <w:tcW w:w="100" w:type="dxa"/>
            <w:vAlign w:val="bottom"/>
            <w:tcBorders>
              <w:top w:val="single" w:sz="8" w:color="CCEEFF"/>
            </w:tcBorders>
            <w:shd w:val="clear" w:color="auto" w:fill="CCEEFF"/>
          </w:tcPr>
          <w:p>
            <w:pPr>
              <w:spacing w:after="0"/>
              <w:rPr>
                <w:sz w:val="19"/>
                <w:szCs w:val="19"/>
                <w:color w:val="auto"/>
              </w:rPr>
            </w:pPr>
          </w:p>
        </w:tc>
        <w:tc>
          <w:tcPr>
            <w:tcW w:w="2480" w:type="dxa"/>
            <w:vAlign w:val="bottom"/>
            <w:tcBorders>
              <w:top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Keytruda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(pembrolizumab)</w:t>
            </w:r>
          </w:p>
        </w:tc>
        <w:tc>
          <w:tcPr>
            <w:tcW w:w="12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Merck &amp; Co., Inc.</w:t>
            </w:r>
          </w:p>
        </w:tc>
        <w:tc>
          <w:tcPr>
            <w:tcW w:w="12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Various cancers</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Opdivo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(nivolumab)</w:t>
            </w:r>
          </w:p>
        </w:tc>
        <w:tc>
          <w:tcPr>
            <w:tcW w:w="120" w:type="dxa"/>
            <w:vAlign w:val="bottom"/>
            <w:shd w:val="clear" w:color="auto" w:fill="CCEEFF"/>
          </w:tcPr>
          <w:p>
            <w:pPr>
              <w:spacing w:after="0"/>
              <w:rPr>
                <w:sz w:val="19"/>
                <w:szCs w:val="19"/>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Bristol-Myers Squibb</w:t>
            </w:r>
          </w:p>
        </w:tc>
        <w:tc>
          <w:tcPr>
            <w:tcW w:w="1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Various cancers</w:t>
            </w: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Tecentriq</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(atezolizumab)</w:t>
            </w:r>
          </w:p>
        </w:tc>
        <w:tc>
          <w:tcPr>
            <w:tcW w:w="120" w:type="dxa"/>
            <w:vAlign w:val="bottom"/>
            <w:shd w:val="clear" w:color="auto" w:fill="CCEEFF"/>
          </w:tcPr>
          <w:p>
            <w:pPr>
              <w:spacing w:after="0"/>
              <w:rPr>
                <w:sz w:val="19"/>
                <w:szCs w:val="19"/>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Roche</w:t>
            </w:r>
          </w:p>
        </w:tc>
        <w:tc>
          <w:tcPr>
            <w:tcW w:w="1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Various cancers</w:t>
            </w: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Imfinzi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(durvalumab)</w:t>
            </w:r>
          </w:p>
        </w:tc>
        <w:tc>
          <w:tcPr>
            <w:tcW w:w="120" w:type="dxa"/>
            <w:vAlign w:val="bottom"/>
            <w:shd w:val="clear" w:color="auto" w:fill="CCEEFF"/>
          </w:tcPr>
          <w:p>
            <w:pPr>
              <w:spacing w:after="0"/>
              <w:rPr>
                <w:sz w:val="19"/>
                <w:szCs w:val="19"/>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AstraZeneca</w:t>
            </w:r>
          </w:p>
        </w:tc>
        <w:tc>
          <w:tcPr>
            <w:tcW w:w="1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Various cancers</w:t>
            </w: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Bavencio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(avelumab)</w:t>
            </w:r>
          </w:p>
        </w:tc>
        <w:tc>
          <w:tcPr>
            <w:tcW w:w="120" w:type="dxa"/>
            <w:vAlign w:val="bottom"/>
            <w:shd w:val="clear" w:color="auto" w:fill="CCEEFF"/>
          </w:tcPr>
          <w:p>
            <w:pPr>
              <w:spacing w:after="0"/>
              <w:rPr>
                <w:sz w:val="19"/>
                <w:szCs w:val="19"/>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Pfizer/Merck KGaA</w:t>
            </w:r>
          </w:p>
        </w:tc>
        <w:tc>
          <w:tcPr>
            <w:tcW w:w="1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Various cancers</w:t>
            </w: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175"/>
        </w:trPr>
        <w:tc>
          <w:tcPr>
            <w:tcW w:w="2000" w:type="dxa"/>
            <w:vAlign w:val="bottom"/>
          </w:tcPr>
          <w:p>
            <w:pPr>
              <w:ind w:left="20"/>
              <w:spacing w:after="0" w:line="176" w:lineRule="exact"/>
              <w:rPr>
                <w:sz w:val="20"/>
                <w:szCs w:val="20"/>
                <w:color w:val="auto"/>
              </w:rPr>
            </w:pPr>
            <w:r>
              <w:rPr>
                <w:rFonts w:ascii="Arial" w:cs="Arial" w:eastAsia="Arial" w:hAnsi="Arial"/>
                <w:sz w:val="18"/>
                <w:szCs w:val="18"/>
                <w:color w:val="auto"/>
              </w:rPr>
              <w:t>Praluent</w:t>
            </w:r>
          </w:p>
        </w:tc>
        <w:tc>
          <w:tcPr>
            <w:tcW w:w="100" w:type="dxa"/>
            <w:vAlign w:val="bottom"/>
          </w:tcPr>
          <w:p>
            <w:pPr>
              <w:spacing w:after="0"/>
              <w:rPr>
                <w:sz w:val="15"/>
                <w:szCs w:val="15"/>
                <w:color w:val="auto"/>
              </w:rPr>
            </w:pPr>
          </w:p>
        </w:tc>
        <w:tc>
          <w:tcPr>
            <w:tcW w:w="2480" w:type="dxa"/>
            <w:vAlign w:val="bottom"/>
          </w:tcPr>
          <w:p>
            <w:pPr>
              <w:ind w:left="20"/>
              <w:spacing w:after="0" w:line="176" w:lineRule="exact"/>
              <w:rPr>
                <w:sz w:val="20"/>
                <w:szCs w:val="20"/>
                <w:color w:val="auto"/>
              </w:rPr>
            </w:pPr>
            <w:r>
              <w:rPr>
                <w:rFonts w:ascii="Arial" w:cs="Arial" w:eastAsia="Arial" w:hAnsi="Arial"/>
                <w:sz w:val="16"/>
                <w:szCs w:val="16"/>
                <w:color w:val="auto"/>
              </w:rPr>
              <w:t>Repatha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(evolocumab)</w:t>
            </w:r>
          </w:p>
        </w:tc>
        <w:tc>
          <w:tcPr>
            <w:tcW w:w="120" w:type="dxa"/>
            <w:vAlign w:val="bottom"/>
          </w:tcPr>
          <w:p>
            <w:pPr>
              <w:spacing w:after="0"/>
              <w:rPr>
                <w:sz w:val="15"/>
                <w:szCs w:val="15"/>
                <w:color w:val="auto"/>
              </w:rPr>
            </w:pPr>
          </w:p>
        </w:tc>
        <w:tc>
          <w:tcPr>
            <w:tcW w:w="2380" w:type="dxa"/>
            <w:vAlign w:val="bottom"/>
          </w:tcPr>
          <w:p>
            <w:pPr>
              <w:ind w:left="20"/>
              <w:spacing w:after="0" w:line="176" w:lineRule="exact"/>
              <w:rPr>
                <w:sz w:val="20"/>
                <w:szCs w:val="20"/>
                <w:color w:val="auto"/>
              </w:rPr>
            </w:pPr>
            <w:r>
              <w:rPr>
                <w:rFonts w:ascii="Arial" w:cs="Arial" w:eastAsia="Arial" w:hAnsi="Arial"/>
                <w:sz w:val="18"/>
                <w:szCs w:val="18"/>
                <w:color w:val="auto"/>
              </w:rPr>
              <w:t>Amgen</w:t>
            </w:r>
          </w:p>
        </w:tc>
        <w:tc>
          <w:tcPr>
            <w:tcW w:w="120" w:type="dxa"/>
            <w:vAlign w:val="bottom"/>
          </w:tcPr>
          <w:p>
            <w:pPr>
              <w:spacing w:after="0"/>
              <w:rPr>
                <w:sz w:val="15"/>
                <w:szCs w:val="15"/>
                <w:color w:val="auto"/>
              </w:rPr>
            </w:pPr>
          </w:p>
        </w:tc>
        <w:tc>
          <w:tcPr>
            <w:tcW w:w="2080" w:type="dxa"/>
            <w:vAlign w:val="bottom"/>
            <w:gridSpan w:val="2"/>
          </w:tcPr>
          <w:p>
            <w:pPr>
              <w:spacing w:after="0" w:line="176" w:lineRule="exact"/>
              <w:rPr>
                <w:sz w:val="20"/>
                <w:szCs w:val="20"/>
                <w:color w:val="auto"/>
              </w:rPr>
            </w:pPr>
            <w:r>
              <w:rPr>
                <w:rFonts w:ascii="Arial" w:cs="Arial" w:eastAsia="Arial" w:hAnsi="Arial"/>
                <w:sz w:val="18"/>
                <w:szCs w:val="18"/>
                <w:color w:val="auto"/>
              </w:rPr>
              <w:t>(1) Reduce the risk of</w:t>
            </w:r>
          </w:p>
        </w:tc>
        <w:tc>
          <w:tcPr>
            <w:tcW w:w="1820" w:type="dxa"/>
            <w:vAlign w:val="bottom"/>
          </w:tcPr>
          <w:p>
            <w:pPr>
              <w:ind w:left="20"/>
              <w:spacing w:after="0" w:line="176" w:lineRule="exact"/>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spacing w:after="0" w:line="176" w:lineRule="exact"/>
              <w:rPr>
                <w:sz w:val="20"/>
                <w:szCs w:val="20"/>
                <w:color w:val="auto"/>
              </w:rPr>
            </w:pPr>
            <w:r>
              <w:rPr>
                <w:rFonts w:ascii="Arial" w:cs="Arial" w:eastAsia="Arial" w:hAnsi="Arial"/>
                <w:sz w:val="18"/>
                <w:szCs w:val="18"/>
                <w:color w:val="auto"/>
              </w:rPr>
              <w:t>myocardial infarction,</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spacing w:after="0" w:line="176" w:lineRule="exact"/>
              <w:rPr>
                <w:sz w:val="20"/>
                <w:szCs w:val="20"/>
                <w:color w:val="auto"/>
              </w:rPr>
            </w:pPr>
            <w:r>
              <w:rPr>
                <w:rFonts w:ascii="Arial" w:cs="Arial" w:eastAsia="Arial" w:hAnsi="Arial"/>
                <w:sz w:val="18"/>
                <w:szCs w:val="18"/>
                <w:color w:val="auto"/>
              </w:rPr>
              <w:t>stroke, and coronary</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spacing w:after="0" w:line="176" w:lineRule="exact"/>
              <w:rPr>
                <w:sz w:val="20"/>
                <w:szCs w:val="20"/>
                <w:color w:val="auto"/>
              </w:rPr>
            </w:pPr>
            <w:r>
              <w:rPr>
                <w:rFonts w:ascii="Arial" w:cs="Arial" w:eastAsia="Arial" w:hAnsi="Arial"/>
                <w:sz w:val="18"/>
                <w:szCs w:val="18"/>
                <w:color w:val="auto"/>
                <w:w w:val="99"/>
              </w:rPr>
              <w:t>revascularization in adults</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spacing w:after="0" w:line="176" w:lineRule="exact"/>
              <w:rPr>
                <w:sz w:val="20"/>
                <w:szCs w:val="20"/>
                <w:color w:val="auto"/>
              </w:rPr>
            </w:pPr>
            <w:r>
              <w:rPr>
                <w:rFonts w:ascii="Arial" w:cs="Arial" w:eastAsia="Arial" w:hAnsi="Arial"/>
                <w:sz w:val="18"/>
                <w:szCs w:val="18"/>
                <w:color w:val="auto"/>
              </w:rPr>
              <w:t>with established</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spacing w:after="0" w:line="176" w:lineRule="exact"/>
              <w:rPr>
                <w:sz w:val="20"/>
                <w:szCs w:val="20"/>
                <w:color w:val="auto"/>
              </w:rPr>
            </w:pPr>
            <w:r>
              <w:rPr>
                <w:rFonts w:ascii="Arial" w:cs="Arial" w:eastAsia="Arial" w:hAnsi="Arial"/>
                <w:sz w:val="18"/>
                <w:szCs w:val="18"/>
                <w:color w:val="auto"/>
                <w:w w:val="95"/>
              </w:rPr>
              <w:t>cardiovascular disease, (2)</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spacing w:after="0" w:line="176" w:lineRule="exact"/>
              <w:rPr>
                <w:sz w:val="20"/>
                <w:szCs w:val="20"/>
                <w:color w:val="auto"/>
              </w:rPr>
            </w:pPr>
            <w:r>
              <w:rPr>
                <w:rFonts w:ascii="Arial" w:cs="Arial" w:eastAsia="Arial" w:hAnsi="Arial"/>
                <w:sz w:val="18"/>
                <w:szCs w:val="18"/>
                <w:color w:val="auto"/>
              </w:rPr>
              <w:t>primary hyperlipidemia,</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vMerge w:val="restart"/>
          </w:tcPr>
          <w:p>
            <w:pPr>
              <w:ind w:left="20"/>
              <w:spacing w:after="0"/>
              <w:rPr>
                <w:sz w:val="20"/>
                <w:szCs w:val="20"/>
                <w:color w:val="auto"/>
              </w:rPr>
            </w:pPr>
            <w:r>
              <w:rPr>
                <w:rFonts w:ascii="Arial" w:cs="Arial" w:eastAsia="Arial" w:hAnsi="Arial"/>
                <w:sz w:val="18"/>
                <w:szCs w:val="18"/>
                <w:color w:val="auto"/>
              </w:rPr>
              <w:t>Novartis</w:t>
            </w:r>
          </w:p>
        </w:tc>
        <w:tc>
          <w:tcPr>
            <w:tcW w:w="12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and (3) HoFH</w:t>
            </w:r>
          </w:p>
        </w:tc>
        <w:tc>
          <w:tcPr>
            <w:tcW w:w="1820" w:type="dxa"/>
            <w:vAlign w:val="bottom"/>
            <w:vMerge w:val="restart"/>
          </w:tcPr>
          <w:p>
            <w:pPr>
              <w:ind w:left="20"/>
              <w:spacing w:after="0"/>
              <w:rPr>
                <w:sz w:val="20"/>
                <w:szCs w:val="20"/>
                <w:color w:val="auto"/>
              </w:rPr>
            </w:pPr>
            <w:r>
              <w:rPr>
                <w:rFonts w:ascii="Arial" w:cs="Arial" w:eastAsia="Arial" w:hAnsi="Arial"/>
                <w:sz w:val="18"/>
                <w:szCs w:val="18"/>
                <w:color w:val="auto"/>
              </w:rPr>
              <w:t>EU</w:t>
            </w:r>
          </w:p>
        </w:tc>
        <w:tc>
          <w:tcPr>
            <w:tcW w:w="0" w:type="dxa"/>
            <w:vAlign w:val="bottom"/>
          </w:tcPr>
          <w:p>
            <w:pPr>
              <w:spacing w:after="0"/>
              <w:rPr>
                <w:sz w:val="1"/>
                <w:szCs w:val="1"/>
                <w:color w:val="auto"/>
              </w:rPr>
            </w:pPr>
          </w:p>
        </w:tc>
      </w:tr>
      <w:tr>
        <w:trPr>
          <w:trHeight w:val="214"/>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ind w:left="20"/>
              <w:spacing w:after="0" w:line="214" w:lineRule="exact"/>
              <w:rPr>
                <w:sz w:val="20"/>
                <w:szCs w:val="20"/>
                <w:color w:val="auto"/>
              </w:rPr>
            </w:pPr>
            <w:r>
              <w:rPr>
                <w:rFonts w:ascii="Arial" w:cs="Arial" w:eastAsia="Arial" w:hAnsi="Arial"/>
                <w:sz w:val="18"/>
                <w:szCs w:val="18"/>
                <w:color w:val="auto"/>
              </w:rPr>
              <w:t>Leqvio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(inclisiran)</w:t>
            </w:r>
          </w:p>
        </w:tc>
        <w:tc>
          <w:tcPr>
            <w:tcW w:w="120" w:type="dxa"/>
            <w:vAlign w:val="bottom"/>
          </w:tcPr>
          <w:p>
            <w:pPr>
              <w:spacing w:after="0"/>
              <w:rPr>
                <w:sz w:val="18"/>
                <w:szCs w:val="18"/>
                <w:color w:val="auto"/>
              </w:rPr>
            </w:pPr>
          </w:p>
        </w:tc>
        <w:tc>
          <w:tcPr>
            <w:tcW w:w="23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Primary</w:t>
            </w:r>
          </w:p>
        </w:tc>
        <w:tc>
          <w:tcPr>
            <w:tcW w:w="1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gridSpan w:val="2"/>
          </w:tcPr>
          <w:p>
            <w:pPr>
              <w:spacing w:after="0" w:line="202" w:lineRule="exact"/>
              <w:rPr>
                <w:sz w:val="20"/>
                <w:szCs w:val="20"/>
                <w:color w:val="auto"/>
              </w:rPr>
            </w:pPr>
            <w:r>
              <w:rPr>
                <w:rFonts w:ascii="Arial" w:cs="Arial" w:eastAsia="Arial" w:hAnsi="Arial"/>
                <w:sz w:val="18"/>
                <w:szCs w:val="18"/>
                <w:color w:val="auto"/>
              </w:rPr>
              <w:t>hypercholesterolemia</w:t>
            </w: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gridSpan w:val="2"/>
          </w:tcPr>
          <w:p>
            <w:pPr>
              <w:spacing w:after="0" w:line="202" w:lineRule="exact"/>
              <w:rPr>
                <w:sz w:val="20"/>
                <w:szCs w:val="20"/>
                <w:color w:val="auto"/>
              </w:rPr>
            </w:pPr>
            <w:r>
              <w:rPr>
                <w:rFonts w:ascii="Arial" w:cs="Arial" w:eastAsia="Arial" w:hAnsi="Arial"/>
                <w:sz w:val="18"/>
                <w:szCs w:val="18"/>
                <w:color w:val="auto"/>
                <w:w w:val="98"/>
              </w:rPr>
              <w:t>(heterozygous familial and</w:t>
            </w: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gridSpan w:val="2"/>
          </w:tcPr>
          <w:p>
            <w:pPr>
              <w:spacing w:after="0" w:line="202" w:lineRule="exact"/>
              <w:rPr>
                <w:sz w:val="20"/>
                <w:szCs w:val="20"/>
                <w:color w:val="auto"/>
              </w:rPr>
            </w:pPr>
            <w:r>
              <w:rPr>
                <w:rFonts w:ascii="Arial" w:cs="Arial" w:eastAsia="Arial" w:hAnsi="Arial"/>
                <w:sz w:val="18"/>
                <w:szCs w:val="18"/>
                <w:color w:val="auto"/>
              </w:rPr>
              <w:t>non-familial) or mixed</w:t>
            </w: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dyslipidemia</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Kevzara</w:t>
            </w:r>
          </w:p>
        </w:tc>
        <w:tc>
          <w:tcPr>
            <w:tcW w:w="100" w:type="dxa"/>
            <w:vAlign w:val="bottom"/>
            <w:shd w:val="clear" w:color="auto" w:fill="CCEEFF"/>
          </w:tcPr>
          <w:p>
            <w:pPr>
              <w:spacing w:after="0"/>
              <w:rPr>
                <w:sz w:val="15"/>
                <w:szCs w:val="15"/>
                <w:color w:val="auto"/>
              </w:rPr>
            </w:pPr>
          </w:p>
        </w:tc>
        <w:tc>
          <w:tcPr>
            <w:tcW w:w="248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Actemra</w:t>
            </w:r>
            <w:r>
              <w:rPr>
                <w:rFonts w:ascii="Arial" w:cs="Arial" w:eastAsia="Arial" w:hAnsi="Arial"/>
                <w:sz w:val="21"/>
                <w:szCs w:val="21"/>
                <w:color w:val="auto"/>
                <w:vertAlign w:val="superscript"/>
              </w:rPr>
              <w:t>®</w:t>
            </w:r>
            <w:r>
              <w:rPr>
                <w:rFonts w:ascii="Arial" w:cs="Arial" w:eastAsia="Arial" w:hAnsi="Arial"/>
                <w:sz w:val="17"/>
                <w:szCs w:val="17"/>
                <w:color w:val="auto"/>
              </w:rPr>
              <w:t xml:space="preserve"> (tocilizumab)</w:t>
            </w: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Genentech/Roche/Chugai</w:t>
            </w:r>
          </w:p>
        </w:tc>
        <w:tc>
          <w:tcPr>
            <w:tcW w:w="12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Rheumatoid arthritis</w:t>
            </w:r>
          </w:p>
        </w:tc>
        <w:tc>
          <w:tcPr>
            <w:tcW w:w="18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Pharmaceutical Co., Ltd.</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Orencia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(abatacept)</w:t>
            </w:r>
          </w:p>
        </w:tc>
        <w:tc>
          <w:tcPr>
            <w:tcW w:w="120" w:type="dxa"/>
            <w:vAlign w:val="bottom"/>
            <w:shd w:val="clear" w:color="auto" w:fill="CCEEFF"/>
          </w:tcPr>
          <w:p>
            <w:pPr>
              <w:spacing w:after="0"/>
              <w:rPr>
                <w:sz w:val="19"/>
                <w:szCs w:val="19"/>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Bristol-Myers Squibb</w:t>
            </w:r>
          </w:p>
        </w:tc>
        <w:tc>
          <w:tcPr>
            <w:tcW w:w="1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Rheumatoid arthritis</w:t>
            </w: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Xeljanz</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(tofacitinib)</w:t>
            </w:r>
          </w:p>
        </w:tc>
        <w:tc>
          <w:tcPr>
            <w:tcW w:w="120" w:type="dxa"/>
            <w:vAlign w:val="bottom"/>
            <w:shd w:val="clear" w:color="auto" w:fill="CCEEFF"/>
          </w:tcPr>
          <w:p>
            <w:pPr>
              <w:spacing w:after="0"/>
              <w:rPr>
                <w:sz w:val="19"/>
                <w:szCs w:val="19"/>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Pfizer</w:t>
            </w:r>
          </w:p>
        </w:tc>
        <w:tc>
          <w:tcPr>
            <w:tcW w:w="1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Rheumatoid arthritis</w:t>
            </w: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Olumiant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(baricitinib)</w:t>
            </w:r>
          </w:p>
        </w:tc>
        <w:tc>
          <w:tcPr>
            <w:tcW w:w="120" w:type="dxa"/>
            <w:vAlign w:val="bottom"/>
            <w:shd w:val="clear" w:color="auto" w:fill="CCEEFF"/>
          </w:tcPr>
          <w:p>
            <w:pPr>
              <w:spacing w:after="0"/>
              <w:rPr>
                <w:sz w:val="19"/>
                <w:szCs w:val="19"/>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Eli Lilly/Incyte</w:t>
            </w:r>
          </w:p>
        </w:tc>
        <w:tc>
          <w:tcPr>
            <w:tcW w:w="1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Rheumatoid arthritis</w:t>
            </w: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Rinvoq</w:t>
            </w:r>
            <w:r>
              <w:rPr>
                <w:rFonts w:ascii="Arial" w:cs="Arial" w:eastAsia="Arial" w:hAnsi="Arial"/>
                <w:sz w:val="23"/>
                <w:szCs w:val="23"/>
                <w:color w:val="auto"/>
                <w:vertAlign w:val="superscript"/>
              </w:rPr>
              <w:t>®</w:t>
            </w:r>
            <w:r>
              <w:rPr>
                <w:rFonts w:ascii="Arial" w:cs="Arial" w:eastAsia="Arial" w:hAnsi="Arial"/>
                <w:sz w:val="18"/>
                <w:szCs w:val="18"/>
                <w:color w:val="auto"/>
              </w:rPr>
              <w:t xml:space="preserve"> (upadacitinib)</w:t>
            </w:r>
          </w:p>
        </w:tc>
        <w:tc>
          <w:tcPr>
            <w:tcW w:w="120" w:type="dxa"/>
            <w:vAlign w:val="bottom"/>
            <w:shd w:val="clear" w:color="auto" w:fill="CCEEFF"/>
          </w:tcPr>
          <w:p>
            <w:pPr>
              <w:spacing w:after="0"/>
              <w:rPr>
                <w:sz w:val="19"/>
                <w:szCs w:val="19"/>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AbbVie</w:t>
            </w:r>
          </w:p>
        </w:tc>
        <w:tc>
          <w:tcPr>
            <w:tcW w:w="1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Rheumatoid arthritis</w:t>
            </w: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215"/>
        </w:trPr>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ind w:left="20"/>
              <w:spacing w:after="0" w:line="215" w:lineRule="exact"/>
              <w:rPr>
                <w:sz w:val="20"/>
                <w:szCs w:val="20"/>
                <w:color w:val="auto"/>
              </w:rPr>
            </w:pPr>
            <w:r>
              <w:rPr>
                <w:rFonts w:ascii="Arial" w:cs="Arial" w:eastAsia="Arial" w:hAnsi="Arial"/>
                <w:sz w:val="18"/>
                <w:szCs w:val="18"/>
                <w:color w:val="auto"/>
              </w:rPr>
              <w:t>Jyseleca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(filgotinib)</w:t>
            </w:r>
          </w:p>
        </w:tc>
        <w:tc>
          <w:tcPr>
            <w:tcW w:w="120" w:type="dxa"/>
            <w:vAlign w:val="bottom"/>
            <w:shd w:val="clear" w:color="auto" w:fill="CCEEFF"/>
          </w:tcPr>
          <w:p>
            <w:pPr>
              <w:spacing w:after="0"/>
              <w:rPr>
                <w:sz w:val="18"/>
                <w:szCs w:val="18"/>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Gilead Sciences, Inc./Galapagos</w:t>
            </w:r>
          </w:p>
        </w:tc>
        <w:tc>
          <w:tcPr>
            <w:tcW w:w="1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Rheumatoid arthritis</w:t>
            </w: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 Japan</w:t>
            </w:r>
          </w:p>
        </w:tc>
        <w:tc>
          <w:tcPr>
            <w:tcW w:w="0" w:type="dxa"/>
            <w:vAlign w:val="bottom"/>
          </w:tcPr>
          <w:p>
            <w:pPr>
              <w:spacing w:after="0"/>
              <w:rPr>
                <w:sz w:val="1"/>
                <w:szCs w:val="1"/>
                <w:color w:val="auto"/>
              </w:rPr>
            </w:pPr>
          </w:p>
        </w:tc>
      </w:tr>
      <w:tr>
        <w:trPr>
          <w:trHeight w:val="244"/>
        </w:trPr>
        <w:tc>
          <w:tcPr>
            <w:tcW w:w="2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NV</w:t>
            </w:r>
          </w:p>
        </w:tc>
        <w:tc>
          <w:tcPr>
            <w:tcW w:w="12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260" w:right="260" w:hanging="5"/>
        <w:spacing w:after="0" w:line="219" w:lineRule="auto"/>
        <w:tabs>
          <w:tab w:leader="none" w:pos="423" w:val="left"/>
        </w:tabs>
        <w:numPr>
          <w:ilvl w:val="0"/>
          <w:numId w:val="9"/>
        </w:numPr>
        <w:rPr>
          <w:rFonts w:ascii="Arial" w:cs="Arial" w:eastAsia="Arial" w:hAnsi="Arial"/>
          <w:sz w:val="20"/>
          <w:szCs w:val="20"/>
          <w:color w:val="auto"/>
          <w:vertAlign w:val="superscript"/>
        </w:rPr>
      </w:pPr>
      <w:r>
        <w:rPr>
          <w:rFonts w:ascii="Arial" w:cs="Arial" w:eastAsia="Arial" w:hAnsi="Arial"/>
          <w:sz w:val="15"/>
          <w:szCs w:val="15"/>
          <w:color w:val="auto"/>
        </w:rPr>
        <w:t>This table focuses primarily on the United States, EU, and Japan. "Worldwide" indicates that the relevant product is approved in at least the United States, EU, and Japan.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Candidates</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Our late-stage and earlier-stage clinical candidates (including those being developed in collaboration with our collaborators) face competition from many pharmaceutical and biotechnology companies. For example, we are aware of other pharmaceutical and biotechnology companies actively engaged in the research and development of antibody-based products against targets that are also the targets of our early- and late-stage product candidates. These companies are using various technologies in competition with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and our other antibody generation technologies, including their own antibody generation technologies and other approaches such as RNA interference (RNAi) and chimeric antigen receptor T cell (CAR-T cell) technologies. We are also aware of several companies developing or marketing small molecules that may compete with our antibody product candidates in various indications, if such product candidates obtain regulatory approval in those indications.</w:t>
      </w:r>
    </w:p>
    <w:p>
      <w:pPr>
        <w:spacing w:after="0" w:line="11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For additional information regarding our product candidates (including those being developed in collaboration with our collaborators) and the substantial competition they face, see also Part I, Item 1A. "Risk Factors - Risks Related to Commercialization of Our Marketed Products, Product Candidates, and New Indications for Our Marketed Products - </w:t>
      </w:r>
      <w:r>
        <w:rPr>
          <w:rFonts w:ascii="Arial" w:cs="Arial" w:eastAsia="Arial" w:hAnsi="Arial"/>
          <w:sz w:val="16"/>
          <w:szCs w:val="16"/>
          <w:i w:val="1"/>
          <w:iCs w:val="1"/>
          <w:color w:val="auto"/>
        </w:rPr>
        <w:t>The commercial success of our products and product candidates is subject to significant competition</w:t>
      </w:r>
      <w:r>
        <w:rPr>
          <w:rFonts w:ascii="Arial" w:cs="Arial" w:eastAsia="Arial" w:hAnsi="Arial"/>
          <w:sz w:val="16"/>
          <w:szCs w:val="16"/>
          <w:color w:val="auto"/>
        </w:rPr>
        <w: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Areas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pharmaceutical and biotechnology companies are attempting to discover new therapeutics for indications in which we invest substantial time and resources. In these and related areas, intellectual property rights have been sought and certain rights have been granted to competitors and potential competitors of ours, and we may be at a substantial competitive disadvantage in such areas as a result of, among other things, our lack of experience, trained personnel, and expertise. A number of corporate and</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academic competitors are involved in the discovery and development of novel therapeutics that are the focus of other research or development programs we are now conducting. Some of these competitors are currently conducting advanced preclinical and clinical research programs in these areas. These and other competitors may have established substantial intellectual property and other competitive advantages.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operating results, financial condition, cash flows, or future prospects.</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also compete with academic institutions, governmental agencies, and other public or private research organizations, which conduct research, seek patent protection, and establish collaborative arrangements for the development and marketing of products that would provide royalties or other consideration for use of their technology. These institutions are becoming more active in seeking patent protection and licensing arrangements to collect royalties or other consideration for use of the technology they have developed. Products developed in this manner may compete directly with products we develop. We also compete with others in acquiring technology from these institutions, agencies, and organizations.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Trade Secrets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rely on a combination of intellectual property laws, including patent, trademark, copyright, trade secret, and domain name protection laws, as well as confidentiality and license agreements, to protect our intellectual property and proprietary rights.</w:t>
      </w:r>
    </w:p>
    <w:p>
      <w:pPr>
        <w:spacing w:after="0" w:line="10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Our success depends, in part, on our ability to obtain patents, maintain trade secret protection, and operate without infringing on the proprietary rights of third parties (see Part I, Item 1A. "Risk Factors - Risks Related to Intellectual Property and Market Exclusivity - </w:t>
      </w:r>
      <w:r>
        <w:rPr>
          <w:rFonts w:ascii="Arial" w:cs="Arial" w:eastAsia="Arial" w:hAnsi="Arial"/>
          <w:sz w:val="16"/>
          <w:szCs w:val="16"/>
          <w:i w:val="1"/>
          <w:iCs w:val="1"/>
          <w:color w:val="auto"/>
        </w:rPr>
        <w:t>We may be restricted in our development,</w:t>
      </w:r>
      <w:r>
        <w:rPr>
          <w:rFonts w:ascii="Arial" w:cs="Arial" w:eastAsia="Arial" w:hAnsi="Arial"/>
          <w:sz w:val="16"/>
          <w:szCs w:val="16"/>
          <w:color w:val="auto"/>
        </w:rPr>
        <w:t xml:space="preserve"> </w:t>
      </w:r>
      <w:r>
        <w:rPr>
          <w:rFonts w:ascii="Arial" w:cs="Arial" w:eastAsia="Arial" w:hAnsi="Arial"/>
          <w:sz w:val="16"/>
          <w:szCs w:val="16"/>
          <w:i w:val="1"/>
          <w:iCs w:val="1"/>
          <w:color w:val="auto"/>
        </w:rPr>
        <w:t>manufacturing, and/or commercialization activities by patents or other proprietary rights of others, and could be subject to damage awards if we are found</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to have infringed such patents or rights</w:t>
      </w:r>
      <w:r>
        <w:rPr>
          <w:rFonts w:ascii="Arial" w:cs="Arial" w:eastAsia="Arial" w:hAnsi="Arial"/>
          <w:sz w:val="18"/>
          <w:szCs w:val="18"/>
          <w:color w:val="auto"/>
        </w:rPr>
        <w:t>"; and Note 15 to our Consolidated Financial Statements). Our policy is to file patent applications to protect</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inventions, and improvements that we consider important to our business and operations. We hold an ownership interest in a number of issued patents in the United States and foreign countries with respect to our products and technologies. In addition, we hold an ownership interest in thousands of patent applications in the United States and foreign countries.</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Our patent portfolio includes granted patents and pending patent applications covering our </w:t>
      </w:r>
      <w:r>
        <w:rPr>
          <w:rFonts w:ascii="Arial" w:cs="Arial" w:eastAsia="Arial" w:hAnsi="Arial"/>
          <w:sz w:val="18"/>
          <w:szCs w:val="18"/>
          <w:i w:val="1"/>
          <w:iCs w:val="1"/>
          <w:color w:val="auto"/>
        </w:rPr>
        <w:t>VelociSuite</w:t>
      </w:r>
      <w:r>
        <w:rPr>
          <w:rFonts w:ascii="Arial" w:cs="Arial" w:eastAsia="Arial" w:hAnsi="Arial"/>
          <w:sz w:val="18"/>
          <w:szCs w:val="18"/>
          <w:color w:val="auto"/>
        </w:rPr>
        <w:t xml:space="preserve"> technologies, including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mouse platform which produces fully human antibodies. Our issued patents covering these technologies generally expire between 2022 and 2032. However, we continue to file patent applications directed to improvements to these technology platforms.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patent portfolio also includes issued patents and pending applications relating to commercialized products and our product candidates in clinical development. These patents cover the proteins and DNA encoding the proteins, manufacturing patents, method of use patents, and pharmaceutical compositions.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following table describes our U.S. patents and European patents ("EP") that we currently consider of primary importance to products marketed or otherwise commercialized by us and/or our collaborators, including the territory, patent number, general subject matter class, and expected expiration dates. The noted expiration dates include any patent term adjustments. Certain of these patents may also be entitled to term extensions. We continue to pursue additional patents and patent term extensions in the United States and other jurisdictions covering various aspects of our products that may, if issued, extend exclusivity beyond the expiration of the patents listed in the table below. One or more patents with the same or earlier expiry date may fall under the same "general subject matter class" for certain products and are not separately listed.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120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Product</w:t>
            </w:r>
          </w:p>
        </w:tc>
        <w:tc>
          <w:tcPr>
            <w:tcW w:w="120" w:type="dxa"/>
            <w:vAlign w:val="bottom"/>
          </w:tcPr>
          <w:p>
            <w:pPr>
              <w:spacing w:after="0"/>
              <w:rPr>
                <w:sz w:val="17"/>
                <w:szCs w:val="17"/>
                <w:color w:val="auto"/>
              </w:rPr>
            </w:pPr>
          </w:p>
        </w:tc>
        <w:tc>
          <w:tcPr>
            <w:tcW w:w="122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Molecule</w:t>
            </w:r>
          </w:p>
        </w:tc>
        <w:tc>
          <w:tcPr>
            <w:tcW w:w="100" w:type="dxa"/>
            <w:vAlign w:val="bottom"/>
          </w:tcPr>
          <w:p>
            <w:pPr>
              <w:spacing w:after="0"/>
              <w:rPr>
                <w:sz w:val="17"/>
                <w:szCs w:val="17"/>
                <w:color w:val="auto"/>
              </w:rPr>
            </w:pPr>
          </w:p>
        </w:tc>
        <w:tc>
          <w:tcPr>
            <w:tcW w:w="124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Territory</w:t>
            </w:r>
          </w:p>
        </w:tc>
        <w:tc>
          <w:tcPr>
            <w:tcW w:w="100" w:type="dxa"/>
            <w:vAlign w:val="bottom"/>
          </w:tcPr>
          <w:p>
            <w:pPr>
              <w:spacing w:after="0"/>
              <w:rPr>
                <w:sz w:val="17"/>
                <w:szCs w:val="17"/>
                <w:color w:val="auto"/>
              </w:rPr>
            </w:pPr>
          </w:p>
        </w:tc>
        <w:tc>
          <w:tcPr>
            <w:tcW w:w="124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Patent No.</w:t>
            </w:r>
          </w:p>
        </w:tc>
        <w:tc>
          <w:tcPr>
            <w:tcW w:w="120" w:type="dxa"/>
            <w:vAlign w:val="bottom"/>
          </w:tcPr>
          <w:p>
            <w:pPr>
              <w:spacing w:after="0"/>
              <w:rPr>
                <w:sz w:val="17"/>
                <w:szCs w:val="17"/>
                <w:color w:val="auto"/>
              </w:rPr>
            </w:pPr>
          </w:p>
        </w:tc>
        <w:tc>
          <w:tcPr>
            <w:tcW w:w="2160" w:type="dxa"/>
            <w:vAlign w:val="bottom"/>
          </w:tcPr>
          <w:p>
            <w:pPr>
              <w:ind w:left="160"/>
              <w:spacing w:after="0"/>
              <w:rPr>
                <w:sz w:val="20"/>
                <w:szCs w:val="20"/>
                <w:color w:val="auto"/>
              </w:rPr>
            </w:pPr>
            <w:r>
              <w:rPr>
                <w:rFonts w:ascii="Arial" w:cs="Arial" w:eastAsia="Arial" w:hAnsi="Arial"/>
                <w:sz w:val="18"/>
                <w:szCs w:val="18"/>
                <w:b w:val="1"/>
                <w:bCs w:val="1"/>
                <w:color w:val="auto"/>
              </w:rPr>
              <w:t>General Subject Matter</w:t>
            </w:r>
          </w:p>
        </w:tc>
        <w:tc>
          <w:tcPr>
            <w:tcW w:w="100" w:type="dxa"/>
            <w:vAlign w:val="bottom"/>
          </w:tcPr>
          <w:p>
            <w:pPr>
              <w:spacing w:after="0"/>
              <w:rPr>
                <w:sz w:val="17"/>
                <w:szCs w:val="17"/>
                <w:color w:val="auto"/>
              </w:rPr>
            </w:pPr>
          </w:p>
        </w:tc>
        <w:tc>
          <w:tcPr>
            <w:tcW w:w="2880" w:type="dxa"/>
            <w:vAlign w:val="bottom"/>
            <w:gridSpan w:val="2"/>
            <w:vMerge w:val="restart"/>
          </w:tcPr>
          <w:p>
            <w:pPr>
              <w:ind w:left="660"/>
              <w:spacing w:after="0"/>
              <w:rPr>
                <w:sz w:val="20"/>
                <w:szCs w:val="20"/>
                <w:color w:val="auto"/>
              </w:rPr>
            </w:pPr>
            <w:r>
              <w:rPr>
                <w:rFonts w:ascii="Arial" w:cs="Arial" w:eastAsia="Arial" w:hAnsi="Arial"/>
                <w:sz w:val="18"/>
                <w:szCs w:val="18"/>
                <w:b w:val="1"/>
                <w:bCs w:val="1"/>
                <w:color w:val="auto"/>
              </w:rPr>
              <w:t>Expiration</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ind w:left="860"/>
              <w:spacing w:after="0"/>
              <w:rPr>
                <w:sz w:val="20"/>
                <w:szCs w:val="20"/>
                <w:color w:val="auto"/>
              </w:rPr>
            </w:pPr>
            <w:r>
              <w:rPr>
                <w:rFonts w:ascii="Arial" w:cs="Arial" w:eastAsia="Arial" w:hAnsi="Arial"/>
                <w:sz w:val="18"/>
                <w:szCs w:val="18"/>
                <w:b w:val="1"/>
                <w:bCs w:val="1"/>
                <w:color w:val="auto"/>
              </w:rPr>
              <w:t>Class</w:t>
            </w:r>
          </w:p>
        </w:tc>
        <w:tc>
          <w:tcPr>
            <w:tcW w:w="100" w:type="dxa"/>
            <w:vAlign w:val="bottom"/>
          </w:tcPr>
          <w:p>
            <w:pPr>
              <w:spacing w:after="0"/>
              <w:rPr>
                <w:sz w:val="19"/>
                <w:szCs w:val="19"/>
                <w:color w:val="auto"/>
              </w:rPr>
            </w:pPr>
          </w:p>
        </w:tc>
        <w:tc>
          <w:tcPr>
            <w:tcW w:w="2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120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18"/>
                <w:szCs w:val="18"/>
                <w:color w:val="auto"/>
              </w:rPr>
              <w:t>EYLEA</w:t>
            </w:r>
            <w:r>
              <w:rPr>
                <w:rFonts w:ascii="Arial" w:cs="Arial" w:eastAsia="Arial" w:hAnsi="Arial"/>
                <w:sz w:val="23"/>
                <w:szCs w:val="23"/>
                <w:color w:val="auto"/>
                <w:vertAlign w:val="superscript"/>
              </w:rPr>
              <w:t>***</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aflibercept</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7,070,959</w:t>
            </w:r>
          </w:p>
        </w:tc>
        <w:tc>
          <w:tcPr>
            <w:tcW w:w="12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Composition of Matter</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June 16, 2023</w:t>
            </w:r>
            <w:r>
              <w:rPr>
                <w:rFonts w:ascii="Arial" w:cs="Arial" w:eastAsia="Arial" w:hAnsi="Arial"/>
                <w:sz w:val="23"/>
                <w:szCs w:val="23"/>
                <w:color w:val="auto"/>
                <w:vertAlign w:val="superscript"/>
              </w:rPr>
              <w:t>*</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8,092,803</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Formulation</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21, 2027</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10,464,992</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Formulation</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14, 2027</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10,857,231</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Formulation</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22, 2026</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9,254,338</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Methods of Treatment</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22, 2032</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10,857,205</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Methods of Treatment</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11, 2032</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10,828,345</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Methods of Treatment</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11, 2032</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10,406,226</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Method of Manufacturing</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22, 2026</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60" w:type="dxa"/>
            <w:vAlign w:val="bottom"/>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EP</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1183353</w:t>
            </w:r>
          </w:p>
        </w:tc>
        <w:tc>
          <w:tcPr>
            <w:tcW w:w="12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Composition of Matter</w:t>
            </w: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color w:val="auto"/>
              </w:rPr>
              <w:t>(May 23, 2025)</w:t>
            </w:r>
            <w:r>
              <w:rPr>
                <w:rFonts w:ascii="Arial" w:cs="Arial" w:eastAsia="Arial" w:hAnsi="Arial"/>
                <w:sz w:val="20"/>
                <w:szCs w:val="20"/>
                <w:color w:val="auto"/>
                <w:vertAlign w:val="superscript"/>
              </w:rPr>
              <w:t>**</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0" w:type="dxa"/>
            <w:vAlign w:val="bottom"/>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(Supplementary Protection</w:t>
            </w: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Certificate)</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2364691</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Formulation</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14, 2027</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200" w:type="dxa"/>
            <w:vAlign w:val="bottom"/>
          </w:tcPr>
          <w:p>
            <w:pPr>
              <w:spacing w:after="0" w:line="229" w:lineRule="exact"/>
              <w:rPr>
                <w:sz w:val="20"/>
                <w:szCs w:val="20"/>
                <w:color w:val="auto"/>
              </w:rPr>
            </w:pPr>
            <w:r>
              <w:rPr>
                <w:rFonts w:ascii="Arial" w:cs="Arial" w:eastAsia="Arial" w:hAnsi="Arial"/>
                <w:sz w:val="18"/>
                <w:szCs w:val="18"/>
                <w:color w:val="auto"/>
              </w:rPr>
              <w:t>Dupixent</w:t>
            </w:r>
            <w:r>
              <w:rPr>
                <w:rFonts w:ascii="Arial" w:cs="Arial" w:eastAsia="Arial" w:hAnsi="Arial"/>
                <w:sz w:val="23"/>
                <w:szCs w:val="23"/>
                <w:color w:val="auto"/>
                <w:vertAlign w:val="superscript"/>
              </w:rPr>
              <w:t>***</w:t>
            </w:r>
          </w:p>
        </w:tc>
        <w:tc>
          <w:tcPr>
            <w:tcW w:w="12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dupilumab</w:t>
            </w:r>
          </w:p>
        </w:tc>
        <w:tc>
          <w:tcPr>
            <w:tcW w:w="10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US</w:t>
            </w:r>
          </w:p>
        </w:tc>
        <w:tc>
          <w:tcPr>
            <w:tcW w:w="10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7,608,693</w:t>
            </w:r>
          </w:p>
        </w:tc>
        <w:tc>
          <w:tcPr>
            <w:tcW w:w="1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Composition of Matter</w:t>
            </w:r>
          </w:p>
        </w:tc>
        <w:tc>
          <w:tcPr>
            <w:tcW w:w="100" w:type="dxa"/>
            <w:vAlign w:val="bottom"/>
          </w:tcPr>
          <w:p>
            <w:pPr>
              <w:spacing w:after="0"/>
              <w:rPr>
                <w:sz w:val="19"/>
                <w:szCs w:val="19"/>
                <w:color w:val="auto"/>
              </w:rPr>
            </w:pPr>
          </w:p>
        </w:tc>
        <w:tc>
          <w:tcPr>
            <w:tcW w:w="2160" w:type="dxa"/>
            <w:vAlign w:val="bottom"/>
          </w:tcPr>
          <w:p>
            <w:pPr>
              <w:ind w:left="20"/>
              <w:spacing w:after="0" w:line="229" w:lineRule="exact"/>
              <w:rPr>
                <w:sz w:val="20"/>
                <w:szCs w:val="20"/>
                <w:color w:val="auto"/>
              </w:rPr>
            </w:pPr>
            <w:r>
              <w:rPr>
                <w:rFonts w:ascii="Arial" w:cs="Arial" w:eastAsia="Arial" w:hAnsi="Arial"/>
                <w:sz w:val="18"/>
                <w:szCs w:val="18"/>
                <w:color w:val="auto"/>
              </w:rPr>
              <w:t>March 28, 2031</w:t>
            </w:r>
            <w:r>
              <w:rPr>
                <w:rFonts w:ascii="Arial" w:cs="Arial" w:eastAsia="Arial" w:hAnsi="Arial"/>
                <w:sz w:val="23"/>
                <w:szCs w:val="23"/>
                <w:color w:val="auto"/>
                <w:vertAlign w:val="superscript"/>
              </w:rPr>
              <w:t>****</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8,945,559</w:t>
            </w:r>
          </w:p>
        </w:tc>
        <w:tc>
          <w:tcPr>
            <w:tcW w:w="1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Formulation</w:t>
            </w:r>
          </w:p>
        </w:tc>
        <w:tc>
          <w:tcPr>
            <w:tcW w:w="100" w:type="dxa"/>
            <w:vAlign w:val="bottom"/>
          </w:tcPr>
          <w:p>
            <w:pPr>
              <w:spacing w:after="0"/>
              <w:rPr>
                <w:sz w:val="19"/>
                <w:szCs w:val="19"/>
                <w:color w:val="auto"/>
              </w:rPr>
            </w:pP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October 17, 2032</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8,075,887</w:t>
            </w:r>
          </w:p>
        </w:tc>
        <w:tc>
          <w:tcPr>
            <w:tcW w:w="1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Methods of Treatment</w:t>
            </w:r>
          </w:p>
        </w:tc>
        <w:tc>
          <w:tcPr>
            <w:tcW w:w="100" w:type="dxa"/>
            <w:vAlign w:val="bottom"/>
          </w:tcPr>
          <w:p>
            <w:pPr>
              <w:spacing w:after="0"/>
              <w:rPr>
                <w:sz w:val="19"/>
                <w:szCs w:val="19"/>
                <w:color w:val="auto"/>
              </w:rPr>
            </w:pP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April 17, 2028</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8,337,839</w:t>
            </w:r>
          </w:p>
        </w:tc>
        <w:tc>
          <w:tcPr>
            <w:tcW w:w="1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Methods of Treatment</w:t>
            </w:r>
          </w:p>
        </w:tc>
        <w:tc>
          <w:tcPr>
            <w:tcW w:w="100" w:type="dxa"/>
            <w:vAlign w:val="bottom"/>
          </w:tcPr>
          <w:p>
            <w:pPr>
              <w:spacing w:after="0"/>
              <w:rPr>
                <w:sz w:val="19"/>
                <w:szCs w:val="19"/>
                <w:color w:val="auto"/>
              </w:rPr>
            </w:pP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October 2, 2027</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9,290,574</w:t>
            </w:r>
          </w:p>
        </w:tc>
        <w:tc>
          <w:tcPr>
            <w:tcW w:w="1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Methods of Treatment</w:t>
            </w:r>
          </w:p>
        </w:tc>
        <w:tc>
          <w:tcPr>
            <w:tcW w:w="100" w:type="dxa"/>
            <w:vAlign w:val="bottom"/>
          </w:tcPr>
          <w:p>
            <w:pPr>
              <w:spacing w:after="0"/>
              <w:rPr>
                <w:sz w:val="19"/>
                <w:szCs w:val="19"/>
                <w:color w:val="auto"/>
              </w:rPr>
            </w:pP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July 10, 2034</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9,574,004</w:t>
            </w:r>
          </w:p>
        </w:tc>
        <w:tc>
          <w:tcPr>
            <w:tcW w:w="1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Methods of Treatment</w:t>
            </w:r>
          </w:p>
        </w:tc>
        <w:tc>
          <w:tcPr>
            <w:tcW w:w="100" w:type="dxa"/>
            <w:vAlign w:val="bottom"/>
          </w:tcPr>
          <w:p>
            <w:pPr>
              <w:spacing w:after="0"/>
              <w:rPr>
                <w:sz w:val="19"/>
                <w:szCs w:val="19"/>
                <w:color w:val="auto"/>
              </w:rPr>
            </w:pP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December 22, 2033</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10,485,844</w:t>
            </w:r>
          </w:p>
        </w:tc>
        <w:tc>
          <w:tcPr>
            <w:tcW w:w="1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Methods of Treatment</w:t>
            </w:r>
          </w:p>
        </w:tc>
        <w:tc>
          <w:tcPr>
            <w:tcW w:w="100" w:type="dxa"/>
            <w:vAlign w:val="bottom"/>
          </w:tcPr>
          <w:p>
            <w:pPr>
              <w:spacing w:after="0"/>
              <w:rPr>
                <w:sz w:val="19"/>
                <w:szCs w:val="19"/>
                <w:color w:val="auto"/>
              </w:rPr>
            </w:pP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September 21, 2037</w:t>
            </w:r>
          </w:p>
        </w:tc>
        <w:tc>
          <w:tcPr>
            <w:tcW w:w="0" w:type="dxa"/>
            <w:vAlign w:val="bottom"/>
          </w:tcPr>
          <w:p>
            <w:pPr>
              <w:spacing w:after="0"/>
              <w:rPr>
                <w:sz w:val="1"/>
                <w:szCs w:val="1"/>
                <w:color w:val="auto"/>
              </w:rPr>
            </w:pPr>
          </w:p>
        </w:tc>
      </w:tr>
      <w:tr>
        <w:trPr>
          <w:trHeight w:val="224"/>
        </w:trPr>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10,059,771</w:t>
            </w:r>
          </w:p>
        </w:tc>
        <w:tc>
          <w:tcPr>
            <w:tcW w:w="1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Methods of Treatment</w:t>
            </w:r>
          </w:p>
        </w:tc>
        <w:tc>
          <w:tcPr>
            <w:tcW w:w="100" w:type="dxa"/>
            <w:vAlign w:val="bottom"/>
          </w:tcPr>
          <w:p>
            <w:pPr>
              <w:spacing w:after="0"/>
              <w:rPr>
                <w:sz w:val="19"/>
                <w:szCs w:val="19"/>
                <w:color w:val="auto"/>
              </w:rPr>
            </w:pP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June 20, 2034</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EP</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2356151</w:t>
            </w:r>
          </w:p>
        </w:tc>
        <w:tc>
          <w:tcPr>
            <w:tcW w:w="1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Composition of Matter</w:t>
            </w:r>
          </w:p>
        </w:tc>
        <w:tc>
          <w:tcPr>
            <w:tcW w:w="100" w:type="dxa"/>
            <w:vAlign w:val="bottom"/>
          </w:tcPr>
          <w:p>
            <w:pPr>
              <w:spacing w:after="0"/>
              <w:rPr>
                <w:sz w:val="19"/>
                <w:szCs w:val="19"/>
                <w:color w:val="auto"/>
              </w:rPr>
            </w:pPr>
          </w:p>
        </w:tc>
        <w:tc>
          <w:tcPr>
            <w:tcW w:w="28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October 27, 2029</w:t>
            </w:r>
            <w:r>
              <w:rPr>
                <w:rFonts w:ascii="Arial" w:cs="Arial" w:eastAsia="Arial" w:hAnsi="Arial"/>
                <w:sz w:val="23"/>
                <w:szCs w:val="23"/>
                <w:color w:val="auto"/>
                <w:vertAlign w:val="superscript"/>
              </w:rPr>
              <w:t>**</w:t>
            </w:r>
          </w:p>
        </w:tc>
        <w:tc>
          <w:tcPr>
            <w:tcW w:w="0" w:type="dxa"/>
            <w:vAlign w:val="bottom"/>
          </w:tcPr>
          <w:p>
            <w:pPr>
              <w:spacing w:after="0"/>
              <w:rPr>
                <w:sz w:val="1"/>
                <w:szCs w:val="1"/>
                <w:color w:val="auto"/>
              </w:rPr>
            </w:pPr>
          </w:p>
        </w:tc>
      </w:tr>
      <w:tr>
        <w:trPr>
          <w:trHeight w:val="182"/>
        </w:trPr>
        <w:tc>
          <w:tcPr>
            <w:tcW w:w="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ind w:left="20"/>
              <w:spacing w:after="0" w:line="182" w:lineRule="exact"/>
              <w:rPr>
                <w:sz w:val="20"/>
                <w:szCs w:val="20"/>
                <w:color w:val="auto"/>
              </w:rPr>
            </w:pPr>
            <w:r>
              <w:rPr>
                <w:rFonts w:ascii="Arial" w:cs="Arial" w:eastAsia="Arial" w:hAnsi="Arial"/>
                <w:sz w:val="18"/>
                <w:szCs w:val="18"/>
                <w:color w:val="auto"/>
              </w:rPr>
              <w:t>EP</w:t>
            </w:r>
          </w:p>
        </w:tc>
        <w:tc>
          <w:tcPr>
            <w:tcW w:w="1340" w:type="dxa"/>
            <w:vAlign w:val="bottom"/>
            <w:gridSpan w:val="2"/>
          </w:tcPr>
          <w:p>
            <w:pPr>
              <w:ind w:left="120"/>
              <w:spacing w:after="0" w:line="182" w:lineRule="exact"/>
              <w:rPr>
                <w:sz w:val="20"/>
                <w:szCs w:val="20"/>
                <w:color w:val="auto"/>
              </w:rPr>
            </w:pPr>
            <w:r>
              <w:rPr>
                <w:rFonts w:ascii="Arial" w:cs="Arial" w:eastAsia="Arial" w:hAnsi="Arial"/>
                <w:sz w:val="18"/>
                <w:szCs w:val="18"/>
                <w:color w:val="auto"/>
              </w:rPr>
              <w:t>2356151</w:t>
            </w:r>
          </w:p>
        </w:tc>
        <w:tc>
          <w:tcPr>
            <w:tcW w:w="120" w:type="dxa"/>
            <w:vAlign w:val="bottom"/>
          </w:tcPr>
          <w:p>
            <w:pPr>
              <w:spacing w:after="0"/>
              <w:rPr>
                <w:sz w:val="15"/>
                <w:szCs w:val="15"/>
                <w:color w:val="auto"/>
              </w:rPr>
            </w:pPr>
          </w:p>
        </w:tc>
        <w:tc>
          <w:tcPr>
            <w:tcW w:w="2160" w:type="dxa"/>
            <w:vAlign w:val="bottom"/>
          </w:tcPr>
          <w:p>
            <w:pPr>
              <w:spacing w:after="0" w:line="182" w:lineRule="exact"/>
              <w:rPr>
                <w:sz w:val="20"/>
                <w:szCs w:val="20"/>
                <w:color w:val="auto"/>
              </w:rPr>
            </w:pPr>
            <w:r>
              <w:rPr>
                <w:rFonts w:ascii="Arial" w:cs="Arial" w:eastAsia="Arial" w:hAnsi="Arial"/>
                <w:sz w:val="18"/>
                <w:szCs w:val="18"/>
                <w:color w:val="auto"/>
              </w:rPr>
              <w:t>(Supplementary Protection</w:t>
            </w:r>
          </w:p>
        </w:tc>
        <w:tc>
          <w:tcPr>
            <w:tcW w:w="100" w:type="dxa"/>
            <w:vAlign w:val="bottom"/>
          </w:tcPr>
          <w:p>
            <w:pPr>
              <w:spacing w:after="0"/>
              <w:rPr>
                <w:sz w:val="15"/>
                <w:szCs w:val="15"/>
                <w:color w:val="auto"/>
              </w:rPr>
            </w:pPr>
          </w:p>
        </w:tc>
        <w:tc>
          <w:tcPr>
            <w:tcW w:w="2880" w:type="dxa"/>
            <w:vAlign w:val="bottom"/>
            <w:gridSpan w:val="2"/>
          </w:tcPr>
          <w:p>
            <w:pPr>
              <w:ind w:left="20"/>
              <w:spacing w:after="0" w:line="182" w:lineRule="exact"/>
              <w:rPr>
                <w:sz w:val="20"/>
                <w:szCs w:val="20"/>
                <w:color w:val="auto"/>
              </w:rPr>
            </w:pPr>
            <w:r>
              <w:rPr>
                <w:rFonts w:ascii="Arial" w:cs="Arial" w:eastAsia="Arial" w:hAnsi="Arial"/>
                <w:sz w:val="17"/>
                <w:szCs w:val="17"/>
                <w:color w:val="auto"/>
              </w:rPr>
              <w:t>(September 28, 2032)</w:t>
            </w:r>
            <w:r>
              <w:rPr>
                <w:rFonts w:ascii="Arial" w:cs="Arial" w:eastAsia="Arial" w:hAnsi="Arial"/>
                <w:sz w:val="21"/>
                <w:szCs w:val="21"/>
                <w:color w:val="auto"/>
                <w:vertAlign w:val="superscript"/>
              </w:rPr>
              <w:t>**</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Certificate)</w:t>
            </w: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EP</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3010539</w:t>
            </w:r>
          </w:p>
        </w:tc>
        <w:tc>
          <w:tcPr>
            <w:tcW w:w="1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Methods of Treatment</w:t>
            </w:r>
          </w:p>
        </w:tc>
        <w:tc>
          <w:tcPr>
            <w:tcW w:w="100" w:type="dxa"/>
            <w:vAlign w:val="bottom"/>
          </w:tcPr>
          <w:p>
            <w:pPr>
              <w:spacing w:after="0"/>
              <w:rPr>
                <w:sz w:val="19"/>
                <w:szCs w:val="19"/>
                <w:color w:val="auto"/>
              </w:rPr>
            </w:pP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June 20, 2034</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EP</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2624865</w:t>
            </w: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Formulation</w:t>
            </w:r>
          </w:p>
        </w:tc>
        <w:tc>
          <w:tcPr>
            <w:tcW w:w="100" w:type="dxa"/>
            <w:vAlign w:val="bottom"/>
          </w:tcPr>
          <w:p>
            <w:pPr>
              <w:spacing w:after="0"/>
              <w:rPr>
                <w:sz w:val="20"/>
                <w:szCs w:val="20"/>
                <w:color w:val="auto"/>
              </w:rPr>
            </w:pP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October 5, 2031</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Libtayo</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cemiplimab</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9,987,500</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Composition of Matter</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18, 2035</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10,457,725</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Methods of Treatment</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12, 2037</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200" w:type="dxa"/>
            <w:vAlign w:val="bottom"/>
          </w:tcPr>
          <w:p>
            <w:pPr>
              <w:spacing w:after="0" w:line="229" w:lineRule="exact"/>
              <w:rPr>
                <w:sz w:val="20"/>
                <w:szCs w:val="20"/>
                <w:color w:val="auto"/>
              </w:rPr>
            </w:pPr>
            <w:r>
              <w:rPr>
                <w:rFonts w:ascii="Arial" w:cs="Arial" w:eastAsia="Arial" w:hAnsi="Arial"/>
                <w:sz w:val="18"/>
                <w:szCs w:val="18"/>
                <w:color w:val="auto"/>
              </w:rPr>
              <w:t>Praluent</w:t>
            </w:r>
            <w:r>
              <w:rPr>
                <w:rFonts w:ascii="Arial" w:cs="Arial" w:eastAsia="Arial" w:hAnsi="Arial"/>
                <w:sz w:val="23"/>
                <w:szCs w:val="23"/>
                <w:color w:val="auto"/>
                <w:vertAlign w:val="superscript"/>
              </w:rPr>
              <w:t>***</w:t>
            </w:r>
          </w:p>
        </w:tc>
        <w:tc>
          <w:tcPr>
            <w:tcW w:w="12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alirocumab</w:t>
            </w:r>
          </w:p>
        </w:tc>
        <w:tc>
          <w:tcPr>
            <w:tcW w:w="10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8,062,640</w:t>
            </w:r>
          </w:p>
        </w:tc>
        <w:tc>
          <w:tcPr>
            <w:tcW w:w="1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Composition of Matter</w:t>
            </w:r>
          </w:p>
        </w:tc>
        <w:tc>
          <w:tcPr>
            <w:tcW w:w="10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December 15, 2029</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10,023,654</w:t>
            </w:r>
          </w:p>
        </w:tc>
        <w:tc>
          <w:tcPr>
            <w:tcW w:w="1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Composition of Matter</w:t>
            </w:r>
          </w:p>
        </w:tc>
        <w:tc>
          <w:tcPr>
            <w:tcW w:w="100" w:type="dxa"/>
            <w:vAlign w:val="bottom"/>
          </w:tcPr>
          <w:p>
            <w:pPr>
              <w:spacing w:after="0"/>
              <w:rPr>
                <w:sz w:val="19"/>
                <w:szCs w:val="19"/>
                <w:color w:val="auto"/>
              </w:rPr>
            </w:pP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December 15, 2029</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10,472,425</w:t>
            </w:r>
          </w:p>
        </w:tc>
        <w:tc>
          <w:tcPr>
            <w:tcW w:w="1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Formulation</w:t>
            </w:r>
          </w:p>
        </w:tc>
        <w:tc>
          <w:tcPr>
            <w:tcW w:w="100" w:type="dxa"/>
            <w:vAlign w:val="bottom"/>
          </w:tcPr>
          <w:p>
            <w:pPr>
              <w:spacing w:after="0"/>
              <w:rPr>
                <w:sz w:val="19"/>
                <w:szCs w:val="19"/>
                <w:color w:val="auto"/>
              </w:rPr>
            </w:pP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July 27, 2032</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8,357,371</w:t>
            </w:r>
          </w:p>
        </w:tc>
        <w:tc>
          <w:tcPr>
            <w:tcW w:w="1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Methods of Treatment</w:t>
            </w:r>
          </w:p>
        </w:tc>
        <w:tc>
          <w:tcPr>
            <w:tcW w:w="100" w:type="dxa"/>
            <w:vAlign w:val="bottom"/>
          </w:tcPr>
          <w:p>
            <w:pPr>
              <w:spacing w:after="0"/>
              <w:rPr>
                <w:sz w:val="19"/>
                <w:szCs w:val="19"/>
                <w:color w:val="auto"/>
              </w:rPr>
            </w:pP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December 21, 2029</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9,550,837</w:t>
            </w:r>
          </w:p>
        </w:tc>
        <w:tc>
          <w:tcPr>
            <w:tcW w:w="1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Methods of Treatment</w:t>
            </w:r>
          </w:p>
        </w:tc>
        <w:tc>
          <w:tcPr>
            <w:tcW w:w="100" w:type="dxa"/>
            <w:vAlign w:val="bottom"/>
          </w:tcPr>
          <w:p>
            <w:pPr>
              <w:spacing w:after="0"/>
              <w:rPr>
                <w:sz w:val="19"/>
                <w:szCs w:val="19"/>
                <w:color w:val="auto"/>
              </w:rPr>
            </w:pP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December 15, 2029</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9,724,411</w:t>
            </w:r>
          </w:p>
        </w:tc>
        <w:tc>
          <w:tcPr>
            <w:tcW w:w="1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Methods of Treatment</w:t>
            </w:r>
          </w:p>
        </w:tc>
        <w:tc>
          <w:tcPr>
            <w:tcW w:w="100" w:type="dxa"/>
            <w:vAlign w:val="bottom"/>
          </w:tcPr>
          <w:p>
            <w:pPr>
              <w:spacing w:after="0"/>
              <w:rPr>
                <w:sz w:val="19"/>
                <w:szCs w:val="19"/>
                <w:color w:val="auto"/>
              </w:rPr>
            </w:pP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January 15, 2031</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10,428,157</w:t>
            </w:r>
          </w:p>
        </w:tc>
        <w:tc>
          <w:tcPr>
            <w:tcW w:w="1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Methods of Treatment</w:t>
            </w:r>
          </w:p>
        </w:tc>
        <w:tc>
          <w:tcPr>
            <w:tcW w:w="100" w:type="dxa"/>
            <w:vAlign w:val="bottom"/>
          </w:tcPr>
          <w:p>
            <w:pPr>
              <w:spacing w:after="0"/>
              <w:rPr>
                <w:sz w:val="19"/>
                <w:szCs w:val="19"/>
                <w:color w:val="auto"/>
              </w:rPr>
            </w:pP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December 26, 2037</w:t>
            </w:r>
          </w:p>
        </w:tc>
        <w:tc>
          <w:tcPr>
            <w:tcW w:w="0" w:type="dxa"/>
            <w:vAlign w:val="bottom"/>
          </w:tcPr>
          <w:p>
            <w:pPr>
              <w:spacing w:after="0"/>
              <w:rPr>
                <w:sz w:val="1"/>
                <w:szCs w:val="1"/>
                <w:color w:val="auto"/>
              </w:rPr>
            </w:pPr>
          </w:p>
        </w:tc>
      </w:tr>
      <w:tr>
        <w:trPr>
          <w:trHeight w:val="224"/>
        </w:trPr>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10,544,232</w:t>
            </w:r>
          </w:p>
        </w:tc>
        <w:tc>
          <w:tcPr>
            <w:tcW w:w="1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Methods of Treatment</w:t>
            </w:r>
          </w:p>
        </w:tc>
        <w:tc>
          <w:tcPr>
            <w:tcW w:w="100" w:type="dxa"/>
            <w:vAlign w:val="bottom"/>
          </w:tcPr>
          <w:p>
            <w:pPr>
              <w:spacing w:after="0"/>
              <w:rPr>
                <w:sz w:val="19"/>
                <w:szCs w:val="19"/>
                <w:color w:val="auto"/>
              </w:rPr>
            </w:pP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March 13, 2035</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EP</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2358756</w:t>
            </w:r>
          </w:p>
        </w:tc>
        <w:tc>
          <w:tcPr>
            <w:tcW w:w="1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Composition of Matter</w:t>
            </w:r>
          </w:p>
        </w:tc>
        <w:tc>
          <w:tcPr>
            <w:tcW w:w="100" w:type="dxa"/>
            <w:vAlign w:val="bottom"/>
          </w:tcPr>
          <w:p>
            <w:pPr>
              <w:spacing w:after="0"/>
              <w:rPr>
                <w:sz w:val="19"/>
                <w:szCs w:val="19"/>
                <w:color w:val="auto"/>
              </w:rPr>
            </w:pPr>
          </w:p>
        </w:tc>
        <w:tc>
          <w:tcPr>
            <w:tcW w:w="28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December 15, 2029</w:t>
            </w:r>
            <w:r>
              <w:rPr>
                <w:rFonts w:ascii="Arial" w:cs="Arial" w:eastAsia="Arial" w:hAnsi="Arial"/>
                <w:sz w:val="23"/>
                <w:szCs w:val="23"/>
                <w:color w:val="auto"/>
                <w:vertAlign w:val="superscript"/>
              </w:rPr>
              <w:t>**</w:t>
            </w:r>
          </w:p>
        </w:tc>
        <w:tc>
          <w:tcPr>
            <w:tcW w:w="0" w:type="dxa"/>
            <w:vAlign w:val="bottom"/>
          </w:tcPr>
          <w:p>
            <w:pPr>
              <w:spacing w:after="0"/>
              <w:rPr>
                <w:sz w:val="1"/>
                <w:szCs w:val="1"/>
                <w:color w:val="auto"/>
              </w:rPr>
            </w:pPr>
          </w:p>
        </w:tc>
      </w:tr>
      <w:tr>
        <w:trPr>
          <w:trHeight w:val="182"/>
        </w:trPr>
        <w:tc>
          <w:tcPr>
            <w:tcW w:w="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ind w:left="20"/>
              <w:spacing w:after="0" w:line="182" w:lineRule="exact"/>
              <w:rPr>
                <w:sz w:val="20"/>
                <w:szCs w:val="20"/>
                <w:color w:val="auto"/>
              </w:rPr>
            </w:pPr>
            <w:r>
              <w:rPr>
                <w:rFonts w:ascii="Arial" w:cs="Arial" w:eastAsia="Arial" w:hAnsi="Arial"/>
                <w:sz w:val="18"/>
                <w:szCs w:val="18"/>
                <w:color w:val="auto"/>
              </w:rPr>
              <w:t>EP</w:t>
            </w:r>
          </w:p>
        </w:tc>
        <w:tc>
          <w:tcPr>
            <w:tcW w:w="1340" w:type="dxa"/>
            <w:vAlign w:val="bottom"/>
            <w:gridSpan w:val="2"/>
          </w:tcPr>
          <w:p>
            <w:pPr>
              <w:ind w:left="120"/>
              <w:spacing w:after="0" w:line="182" w:lineRule="exact"/>
              <w:rPr>
                <w:sz w:val="20"/>
                <w:szCs w:val="20"/>
                <w:color w:val="auto"/>
              </w:rPr>
            </w:pPr>
            <w:r>
              <w:rPr>
                <w:rFonts w:ascii="Arial" w:cs="Arial" w:eastAsia="Arial" w:hAnsi="Arial"/>
                <w:sz w:val="18"/>
                <w:szCs w:val="18"/>
                <w:color w:val="auto"/>
              </w:rPr>
              <w:t>2358756</w:t>
            </w:r>
          </w:p>
        </w:tc>
        <w:tc>
          <w:tcPr>
            <w:tcW w:w="120" w:type="dxa"/>
            <w:vAlign w:val="bottom"/>
          </w:tcPr>
          <w:p>
            <w:pPr>
              <w:spacing w:after="0"/>
              <w:rPr>
                <w:sz w:val="15"/>
                <w:szCs w:val="15"/>
                <w:color w:val="auto"/>
              </w:rPr>
            </w:pPr>
          </w:p>
        </w:tc>
        <w:tc>
          <w:tcPr>
            <w:tcW w:w="2160" w:type="dxa"/>
            <w:vAlign w:val="bottom"/>
          </w:tcPr>
          <w:p>
            <w:pPr>
              <w:spacing w:after="0" w:line="182" w:lineRule="exact"/>
              <w:rPr>
                <w:sz w:val="20"/>
                <w:szCs w:val="20"/>
                <w:color w:val="auto"/>
              </w:rPr>
            </w:pPr>
            <w:r>
              <w:rPr>
                <w:rFonts w:ascii="Arial" w:cs="Arial" w:eastAsia="Arial" w:hAnsi="Arial"/>
                <w:sz w:val="18"/>
                <w:szCs w:val="18"/>
                <w:color w:val="auto"/>
              </w:rPr>
              <w:t>(Supplementary Protection</w:t>
            </w:r>
          </w:p>
        </w:tc>
        <w:tc>
          <w:tcPr>
            <w:tcW w:w="100" w:type="dxa"/>
            <w:vAlign w:val="bottom"/>
          </w:tcPr>
          <w:p>
            <w:pPr>
              <w:spacing w:after="0"/>
              <w:rPr>
                <w:sz w:val="15"/>
                <w:szCs w:val="15"/>
                <w:color w:val="auto"/>
              </w:rPr>
            </w:pPr>
          </w:p>
        </w:tc>
        <w:tc>
          <w:tcPr>
            <w:tcW w:w="2880" w:type="dxa"/>
            <w:vAlign w:val="bottom"/>
            <w:gridSpan w:val="2"/>
          </w:tcPr>
          <w:p>
            <w:pPr>
              <w:ind w:left="20"/>
              <w:spacing w:after="0" w:line="182" w:lineRule="exact"/>
              <w:rPr>
                <w:sz w:val="20"/>
                <w:szCs w:val="20"/>
                <w:color w:val="auto"/>
              </w:rPr>
            </w:pPr>
            <w:r>
              <w:rPr>
                <w:rFonts w:ascii="Arial" w:cs="Arial" w:eastAsia="Arial" w:hAnsi="Arial"/>
                <w:sz w:val="17"/>
                <w:szCs w:val="17"/>
                <w:color w:val="auto"/>
              </w:rPr>
              <w:t>(September 25, 2030)</w:t>
            </w:r>
            <w:r>
              <w:rPr>
                <w:rFonts w:ascii="Arial" w:cs="Arial" w:eastAsia="Arial" w:hAnsi="Arial"/>
                <w:sz w:val="21"/>
                <w:szCs w:val="21"/>
                <w:color w:val="auto"/>
                <w:vertAlign w:val="superscript"/>
              </w:rPr>
              <w:t>**</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Certificate)</w:t>
            </w: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EP</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2756004</w:t>
            </w:r>
          </w:p>
        </w:tc>
        <w:tc>
          <w:tcPr>
            <w:tcW w:w="1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Methods of Treatment</w:t>
            </w:r>
          </w:p>
        </w:tc>
        <w:tc>
          <w:tcPr>
            <w:tcW w:w="100" w:type="dxa"/>
            <w:vAlign w:val="bottom"/>
          </w:tcPr>
          <w:p>
            <w:pPr>
              <w:spacing w:after="0"/>
              <w:rPr>
                <w:sz w:val="19"/>
                <w:szCs w:val="19"/>
                <w:color w:val="auto"/>
              </w:rPr>
            </w:pP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September 12, 2032</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EP</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3055333</w:t>
            </w:r>
          </w:p>
        </w:tc>
        <w:tc>
          <w:tcPr>
            <w:tcW w:w="1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Methods of Treatment</w:t>
            </w:r>
          </w:p>
        </w:tc>
        <w:tc>
          <w:tcPr>
            <w:tcW w:w="100" w:type="dxa"/>
            <w:vAlign w:val="bottom"/>
          </w:tcPr>
          <w:p>
            <w:pPr>
              <w:spacing w:after="0"/>
              <w:rPr>
                <w:sz w:val="19"/>
                <w:szCs w:val="19"/>
                <w:color w:val="auto"/>
              </w:rPr>
            </w:pP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October 10, 2034</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EP</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3169353</w:t>
            </w:r>
          </w:p>
        </w:tc>
        <w:tc>
          <w:tcPr>
            <w:tcW w:w="1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Methods of Treatment</w:t>
            </w:r>
          </w:p>
        </w:tc>
        <w:tc>
          <w:tcPr>
            <w:tcW w:w="100" w:type="dxa"/>
            <w:vAlign w:val="bottom"/>
          </w:tcPr>
          <w:p>
            <w:pPr>
              <w:spacing w:after="0"/>
              <w:rPr>
                <w:sz w:val="19"/>
                <w:szCs w:val="19"/>
                <w:color w:val="auto"/>
              </w:rPr>
            </w:pP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July 16, 2035</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EP</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3169362</w:t>
            </w: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Methods of Treatment</w:t>
            </w:r>
          </w:p>
        </w:tc>
        <w:tc>
          <w:tcPr>
            <w:tcW w:w="100" w:type="dxa"/>
            <w:vAlign w:val="bottom"/>
          </w:tcPr>
          <w:p>
            <w:pPr>
              <w:spacing w:after="0"/>
              <w:rPr>
                <w:sz w:val="20"/>
                <w:szCs w:val="20"/>
                <w:color w:val="auto"/>
              </w:rPr>
            </w:pP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July 16, 2035</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Kevzara</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sarilumab</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7,582,298</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Composition of Matter</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May 22, 2031</w:t>
            </w:r>
            <w:r>
              <w:rPr>
                <w:rFonts w:ascii="Arial" w:cs="Arial" w:eastAsia="Arial" w:hAnsi="Arial"/>
                <w:sz w:val="23"/>
                <w:szCs w:val="23"/>
                <w:color w:val="auto"/>
                <w:vertAlign w:val="superscript"/>
              </w:rPr>
              <w:t>*****</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10,072,086</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Formulation</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19, 2031</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8,080,248</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Methods of Treatment</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 2027</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8,568,721</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Methods of Treatment</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 2027</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2041177</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Composition of Matter</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June 1, 2027</w:t>
            </w:r>
            <w:r>
              <w:rPr>
                <w:rFonts w:ascii="Arial" w:cs="Arial" w:eastAsia="Arial" w:hAnsi="Arial"/>
                <w:sz w:val="23"/>
                <w:szCs w:val="23"/>
                <w:color w:val="auto"/>
                <w:vertAlign w:val="superscript"/>
              </w:rPr>
              <w:t>**</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6"/>
        </w:trPr>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gridSpan w:val="2"/>
          </w:tcPr>
          <w:p>
            <w:pPr>
              <w:jc w:val="right"/>
              <w:ind w:right="17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7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1200" w:type="dxa"/>
            <w:vAlign w:val="bottom"/>
          </w:tcPr>
          <w:p>
            <w:pPr>
              <w:ind w:left="280"/>
              <w:spacing w:after="0"/>
              <w:rPr>
                <w:sz w:val="20"/>
                <w:szCs w:val="20"/>
                <w:color w:val="auto"/>
              </w:rPr>
            </w:pPr>
            <w:r>
              <w:rPr>
                <w:rFonts w:ascii="Arial" w:cs="Arial" w:eastAsia="Arial" w:hAnsi="Arial"/>
                <w:sz w:val="18"/>
                <w:szCs w:val="18"/>
                <w:b w:val="1"/>
                <w:bCs w:val="1"/>
                <w:color w:val="auto"/>
              </w:rPr>
              <w:t>Product</w:t>
            </w:r>
          </w:p>
        </w:tc>
        <w:tc>
          <w:tcPr>
            <w:tcW w:w="120" w:type="dxa"/>
            <w:vAlign w:val="bottom"/>
          </w:tcPr>
          <w:p>
            <w:pPr>
              <w:spacing w:after="0"/>
              <w:rPr>
                <w:sz w:val="17"/>
                <w:szCs w:val="17"/>
                <w:color w:val="auto"/>
              </w:rPr>
            </w:pPr>
          </w:p>
        </w:tc>
        <w:tc>
          <w:tcPr>
            <w:tcW w:w="122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Molecule</w:t>
            </w:r>
          </w:p>
        </w:tc>
        <w:tc>
          <w:tcPr>
            <w:tcW w:w="100" w:type="dxa"/>
            <w:vAlign w:val="bottom"/>
          </w:tcPr>
          <w:p>
            <w:pPr>
              <w:spacing w:after="0"/>
              <w:rPr>
                <w:sz w:val="17"/>
                <w:szCs w:val="17"/>
                <w:color w:val="auto"/>
              </w:rPr>
            </w:pPr>
          </w:p>
        </w:tc>
        <w:tc>
          <w:tcPr>
            <w:tcW w:w="134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Territory</w:t>
            </w:r>
          </w:p>
        </w:tc>
        <w:tc>
          <w:tcPr>
            <w:tcW w:w="136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Patent No.</w:t>
            </w:r>
          </w:p>
        </w:tc>
        <w:tc>
          <w:tcPr>
            <w:tcW w:w="2260" w:type="dxa"/>
            <w:vAlign w:val="bottom"/>
            <w:gridSpan w:val="2"/>
          </w:tcPr>
          <w:p>
            <w:pPr>
              <w:ind w:left="160"/>
              <w:spacing w:after="0"/>
              <w:rPr>
                <w:sz w:val="20"/>
                <w:szCs w:val="20"/>
                <w:color w:val="auto"/>
              </w:rPr>
            </w:pPr>
            <w:r>
              <w:rPr>
                <w:rFonts w:ascii="Arial" w:cs="Arial" w:eastAsia="Arial" w:hAnsi="Arial"/>
                <w:sz w:val="18"/>
                <w:szCs w:val="18"/>
                <w:b w:val="1"/>
                <w:bCs w:val="1"/>
                <w:color w:val="auto"/>
              </w:rPr>
              <w:t>General Subject Matter</w:t>
            </w:r>
          </w:p>
        </w:tc>
        <w:tc>
          <w:tcPr>
            <w:tcW w:w="216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Expiration</w:t>
            </w:r>
          </w:p>
        </w:tc>
        <w:tc>
          <w:tcPr>
            <w:tcW w:w="0" w:type="dxa"/>
            <w:vAlign w:val="bottom"/>
          </w:tcPr>
          <w:p>
            <w:pPr>
              <w:spacing w:after="0"/>
              <w:rPr>
                <w:sz w:val="1"/>
                <w:szCs w:val="1"/>
                <w:color w:val="auto"/>
              </w:rPr>
            </w:pPr>
          </w:p>
        </w:tc>
      </w:tr>
      <w:tr>
        <w:trPr>
          <w:trHeight w:val="229"/>
        </w:trPr>
        <w:tc>
          <w:tcPr>
            <w:tcW w:w="12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(continued)</w:t>
            </w:r>
          </w:p>
        </w:tc>
        <w:tc>
          <w:tcPr>
            <w:tcW w:w="1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260" w:type="dxa"/>
            <w:vAlign w:val="bottom"/>
            <w:gridSpan w:val="2"/>
          </w:tcPr>
          <w:p>
            <w:pPr>
              <w:ind w:left="860"/>
              <w:spacing w:after="0"/>
              <w:rPr>
                <w:sz w:val="20"/>
                <w:szCs w:val="20"/>
                <w:color w:val="auto"/>
              </w:rPr>
            </w:pPr>
            <w:r>
              <w:rPr>
                <w:rFonts w:ascii="Arial" w:cs="Arial" w:eastAsia="Arial" w:hAnsi="Arial"/>
                <w:sz w:val="18"/>
                <w:szCs w:val="18"/>
                <w:b w:val="1"/>
                <w:bCs w:val="1"/>
                <w:color w:val="auto"/>
              </w:rPr>
              <w:t>Class</w:t>
            </w:r>
          </w:p>
        </w:tc>
        <w:tc>
          <w:tcPr>
            <w:tcW w:w="2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20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rPr>
              <w:t>Kevzara</w:t>
            </w:r>
          </w:p>
        </w:tc>
        <w:tc>
          <w:tcPr>
            <w:tcW w:w="12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EP</w:t>
            </w:r>
          </w:p>
        </w:tc>
        <w:tc>
          <w:tcPr>
            <w:tcW w:w="1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2041177</w:t>
            </w:r>
          </w:p>
        </w:tc>
        <w:tc>
          <w:tcPr>
            <w:tcW w:w="120" w:type="dxa"/>
            <w:vAlign w:val="bottom"/>
            <w:tcBorders>
              <w:top w:val="single" w:sz="8" w:color="CCEEFF"/>
            </w:tcBorders>
            <w:shd w:val="clear" w:color="auto" w:fill="CCEEFF"/>
          </w:tcPr>
          <w:p>
            <w:pPr>
              <w:spacing w:after="0"/>
              <w:rPr>
                <w:sz w:val="14"/>
                <w:szCs w:val="14"/>
                <w:color w:val="auto"/>
              </w:rPr>
            </w:pPr>
          </w:p>
        </w:tc>
        <w:tc>
          <w:tcPr>
            <w:tcW w:w="216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rPr>
              <w:t>(Supplementary Protection</w:t>
            </w:r>
          </w:p>
        </w:tc>
        <w:tc>
          <w:tcPr>
            <w:tcW w:w="100" w:type="dxa"/>
            <w:vAlign w:val="bottom"/>
            <w:tcBorders>
              <w:top w:val="single" w:sz="8" w:color="CCEEFF"/>
            </w:tcBorders>
            <w:shd w:val="clear" w:color="auto" w:fill="CCEEFF"/>
          </w:tcPr>
          <w:p>
            <w:pPr>
              <w:spacing w:after="0"/>
              <w:rPr>
                <w:sz w:val="14"/>
                <w:szCs w:val="14"/>
                <w:color w:val="auto"/>
              </w:rPr>
            </w:pPr>
          </w:p>
        </w:tc>
        <w:tc>
          <w:tcPr>
            <w:tcW w:w="216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5"/>
                <w:szCs w:val="15"/>
                <w:color w:val="auto"/>
              </w:rPr>
              <w:t>(June 1, 2032)</w:t>
            </w:r>
            <w:r>
              <w:rPr>
                <w:rFonts w:ascii="Arial" w:cs="Arial" w:eastAsia="Arial" w:hAnsi="Arial"/>
                <w:sz w:val="19"/>
                <w:szCs w:val="19"/>
                <w:color w:val="auto"/>
                <w:vertAlign w:val="superscript"/>
              </w:rPr>
              <w:t>**</w:t>
            </w:r>
          </w:p>
        </w:tc>
        <w:tc>
          <w:tcPr>
            <w:tcW w:w="0" w:type="dxa"/>
            <w:vAlign w:val="bottom"/>
          </w:tcPr>
          <w:p>
            <w:pPr>
              <w:spacing w:after="0"/>
              <w:rPr>
                <w:sz w:val="1"/>
                <w:szCs w:val="1"/>
                <w:color w:val="auto"/>
              </w:rPr>
            </w:pPr>
          </w:p>
        </w:tc>
      </w:tr>
      <w:tr>
        <w:trPr>
          <w:trHeight w:val="230"/>
        </w:trPr>
        <w:tc>
          <w:tcPr>
            <w:tcW w:w="12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(continued)</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Certificate)</w:t>
            </w:r>
          </w:p>
        </w:tc>
        <w:tc>
          <w:tcPr>
            <w:tcW w:w="2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EP</w:t>
            </w:r>
          </w:p>
        </w:tc>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2766039</w:t>
            </w:r>
          </w:p>
        </w:tc>
        <w:tc>
          <w:tcPr>
            <w:tcW w:w="12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Methods of Treatment</w:t>
            </w: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10, 2032</w:t>
            </w:r>
          </w:p>
        </w:tc>
        <w:tc>
          <w:tcPr>
            <w:tcW w:w="0" w:type="dxa"/>
            <w:vAlign w:val="bottom"/>
          </w:tcPr>
          <w:p>
            <w:pPr>
              <w:spacing w:after="0"/>
              <w:rPr>
                <w:sz w:val="1"/>
                <w:szCs w:val="1"/>
                <w:color w:val="auto"/>
              </w:rPr>
            </w:pPr>
          </w:p>
        </w:tc>
      </w:tr>
      <w:tr>
        <w:trPr>
          <w:trHeight w:val="229"/>
        </w:trPr>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EP</w:t>
            </w:r>
          </w:p>
        </w:tc>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3071230</w:t>
            </w:r>
          </w:p>
        </w:tc>
        <w:tc>
          <w:tcPr>
            <w:tcW w:w="12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Methods of Treatment</w:t>
            </w: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November 21, 2034</w:t>
            </w:r>
          </w:p>
        </w:tc>
        <w:tc>
          <w:tcPr>
            <w:tcW w:w="0" w:type="dxa"/>
            <w:vAlign w:val="bottom"/>
          </w:tcPr>
          <w:p>
            <w:pPr>
              <w:spacing w:after="0"/>
              <w:rPr>
                <w:sz w:val="1"/>
                <w:szCs w:val="1"/>
                <w:color w:val="auto"/>
              </w:rPr>
            </w:pPr>
          </w:p>
        </w:tc>
      </w:tr>
      <w:tr>
        <w:trPr>
          <w:trHeight w:val="230"/>
        </w:trPr>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EP</w:t>
            </w:r>
          </w:p>
        </w:tc>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3409269</w:t>
            </w:r>
          </w:p>
        </w:tc>
        <w:tc>
          <w:tcPr>
            <w:tcW w:w="12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Formulation</w:t>
            </w: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7, 2031</w:t>
            </w:r>
          </w:p>
        </w:tc>
        <w:tc>
          <w:tcPr>
            <w:tcW w:w="0" w:type="dxa"/>
            <w:vAlign w:val="bottom"/>
          </w:tcPr>
          <w:p>
            <w:pPr>
              <w:spacing w:after="0"/>
              <w:rPr>
                <w:sz w:val="1"/>
                <w:szCs w:val="1"/>
                <w:color w:val="auto"/>
              </w:rPr>
            </w:pPr>
          </w:p>
        </w:tc>
      </w:tr>
      <w:tr>
        <w:trPr>
          <w:trHeight w:val="175"/>
        </w:trPr>
        <w:tc>
          <w:tcPr>
            <w:tcW w:w="1200" w:type="dxa"/>
            <w:vAlign w:val="bottom"/>
          </w:tcPr>
          <w:p>
            <w:pPr>
              <w:spacing w:after="0" w:line="176" w:lineRule="exact"/>
              <w:rPr>
                <w:sz w:val="20"/>
                <w:szCs w:val="20"/>
                <w:color w:val="auto"/>
              </w:rPr>
            </w:pPr>
            <w:r>
              <w:rPr>
                <w:rFonts w:ascii="Arial" w:cs="Arial" w:eastAsia="Arial" w:hAnsi="Arial"/>
                <w:sz w:val="18"/>
                <w:szCs w:val="18"/>
                <w:color w:val="auto"/>
              </w:rPr>
              <w:t>REGEN-</w:t>
            </w:r>
          </w:p>
        </w:tc>
        <w:tc>
          <w:tcPr>
            <w:tcW w:w="120" w:type="dxa"/>
            <w:vAlign w:val="bottom"/>
          </w:tcPr>
          <w:p>
            <w:pPr>
              <w:spacing w:after="0"/>
              <w:rPr>
                <w:sz w:val="15"/>
                <w:szCs w:val="15"/>
                <w:color w:val="auto"/>
              </w:rPr>
            </w:pPr>
          </w:p>
        </w:tc>
        <w:tc>
          <w:tcPr>
            <w:tcW w:w="1220" w:type="dxa"/>
            <w:vAlign w:val="bottom"/>
          </w:tcPr>
          <w:p>
            <w:pPr>
              <w:spacing w:after="0" w:line="176" w:lineRule="exact"/>
              <w:rPr>
                <w:sz w:val="20"/>
                <w:szCs w:val="20"/>
                <w:color w:val="auto"/>
              </w:rPr>
            </w:pPr>
            <w:r>
              <w:rPr>
                <w:rFonts w:ascii="Arial" w:cs="Arial" w:eastAsia="Arial" w:hAnsi="Arial"/>
                <w:sz w:val="18"/>
                <w:szCs w:val="18"/>
                <w:color w:val="auto"/>
                <w:w w:val="95"/>
              </w:rPr>
              <w:t>casirivimab and</w:t>
            </w:r>
          </w:p>
        </w:tc>
        <w:tc>
          <w:tcPr>
            <w:tcW w:w="100" w:type="dxa"/>
            <w:vAlign w:val="bottom"/>
          </w:tcPr>
          <w:p>
            <w:pPr>
              <w:spacing w:after="0"/>
              <w:rPr>
                <w:sz w:val="15"/>
                <w:szCs w:val="15"/>
                <w:color w:val="auto"/>
              </w:rPr>
            </w:pPr>
          </w:p>
        </w:tc>
        <w:tc>
          <w:tcPr>
            <w:tcW w:w="13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US</w:t>
            </w:r>
          </w:p>
        </w:tc>
        <w:tc>
          <w:tcPr>
            <w:tcW w:w="1240" w:type="dxa"/>
            <w:vAlign w:val="bottom"/>
          </w:tcPr>
          <w:p>
            <w:pPr>
              <w:ind w:left="20"/>
              <w:spacing w:after="0" w:line="176" w:lineRule="exact"/>
              <w:rPr>
                <w:sz w:val="20"/>
                <w:szCs w:val="20"/>
                <w:color w:val="auto"/>
              </w:rPr>
            </w:pPr>
            <w:r>
              <w:rPr>
                <w:rFonts w:ascii="Arial" w:cs="Arial" w:eastAsia="Arial" w:hAnsi="Arial"/>
                <w:sz w:val="18"/>
                <w:szCs w:val="18"/>
                <w:color w:val="auto"/>
              </w:rPr>
              <w:t>10,787,501</w:t>
            </w:r>
          </w:p>
        </w:tc>
        <w:tc>
          <w:tcPr>
            <w:tcW w:w="120" w:type="dxa"/>
            <w:vAlign w:val="bottom"/>
          </w:tcPr>
          <w:p>
            <w:pPr>
              <w:spacing w:after="0"/>
              <w:rPr>
                <w:sz w:val="15"/>
                <w:szCs w:val="15"/>
                <w:color w:val="auto"/>
              </w:rPr>
            </w:pPr>
          </w:p>
        </w:tc>
        <w:tc>
          <w:tcPr>
            <w:tcW w:w="2260" w:type="dxa"/>
            <w:vAlign w:val="bottom"/>
            <w:gridSpan w:val="2"/>
          </w:tcPr>
          <w:p>
            <w:pPr>
              <w:spacing w:after="0" w:line="176" w:lineRule="exact"/>
              <w:rPr>
                <w:sz w:val="20"/>
                <w:szCs w:val="20"/>
                <w:color w:val="auto"/>
              </w:rPr>
            </w:pPr>
            <w:r>
              <w:rPr>
                <w:rFonts w:ascii="Arial" w:cs="Arial" w:eastAsia="Arial" w:hAnsi="Arial"/>
                <w:sz w:val="18"/>
                <w:szCs w:val="18"/>
                <w:color w:val="auto"/>
              </w:rPr>
              <w:t>Composition of Matter</w:t>
            </w:r>
          </w:p>
        </w:tc>
        <w:tc>
          <w:tcPr>
            <w:tcW w:w="2160" w:type="dxa"/>
            <w:vAlign w:val="bottom"/>
          </w:tcPr>
          <w:p>
            <w:pPr>
              <w:ind w:left="20"/>
              <w:spacing w:after="0" w:line="176" w:lineRule="exact"/>
              <w:rPr>
                <w:sz w:val="20"/>
                <w:szCs w:val="20"/>
                <w:color w:val="auto"/>
              </w:rPr>
            </w:pPr>
            <w:r>
              <w:rPr>
                <w:rFonts w:ascii="Arial" w:cs="Arial" w:eastAsia="Arial" w:hAnsi="Arial"/>
                <w:sz w:val="18"/>
                <w:szCs w:val="18"/>
                <w:color w:val="auto"/>
              </w:rPr>
              <w:t>June 25, 2040</w:t>
            </w:r>
          </w:p>
        </w:tc>
        <w:tc>
          <w:tcPr>
            <w:tcW w:w="0" w:type="dxa"/>
            <w:vAlign w:val="bottom"/>
          </w:tcPr>
          <w:p>
            <w:pPr>
              <w:spacing w:after="0"/>
              <w:rPr>
                <w:sz w:val="1"/>
                <w:szCs w:val="1"/>
                <w:color w:val="auto"/>
              </w:rPr>
            </w:pPr>
          </w:p>
        </w:tc>
      </w:tr>
      <w:tr>
        <w:trPr>
          <w:trHeight w:val="304"/>
        </w:trPr>
        <w:tc>
          <w:tcPr>
            <w:tcW w:w="1200" w:type="dxa"/>
            <w:vAlign w:val="bottom"/>
          </w:tcPr>
          <w:p>
            <w:pPr>
              <w:spacing w:after="0"/>
              <w:rPr>
                <w:sz w:val="20"/>
                <w:szCs w:val="20"/>
                <w:color w:val="auto"/>
              </w:rPr>
            </w:pPr>
            <w:r>
              <w:rPr>
                <w:rFonts w:ascii="Arial" w:cs="Arial" w:eastAsia="Arial" w:hAnsi="Arial"/>
                <w:sz w:val="18"/>
                <w:szCs w:val="18"/>
                <w:color w:val="auto"/>
              </w:rPr>
              <w:t>COV</w:t>
            </w:r>
            <w:r>
              <w:rPr>
                <w:rFonts w:ascii="Arial" w:cs="Arial" w:eastAsia="Arial" w:hAnsi="Arial"/>
                <w:sz w:val="23"/>
                <w:szCs w:val="23"/>
                <w:color w:val="auto"/>
                <w:vertAlign w:val="superscript"/>
              </w:rPr>
              <w:t>***</w:t>
            </w:r>
          </w:p>
        </w:tc>
        <w:tc>
          <w:tcPr>
            <w:tcW w:w="12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imdevimab</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960" w:right="780" w:firstLine="4"/>
        <w:spacing w:after="0" w:line="207" w:lineRule="auto"/>
        <w:tabs>
          <w:tab w:leader="none" w:pos="1053"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A patent term extension has been granted by the U.S. Patent and Trademark Office, extending the original patent term (May 23, 2020), insofar as it covers EYLEA, to June 16, 2023.</w:t>
      </w:r>
    </w:p>
    <w:p>
      <w:pPr>
        <w:spacing w:after="0" w:line="11" w:lineRule="exact"/>
        <w:rPr>
          <w:sz w:val="20"/>
          <w:szCs w:val="20"/>
          <w:color w:val="auto"/>
        </w:rPr>
      </w:pPr>
    </w:p>
    <w:p>
      <w:pPr>
        <w:ind w:left="960" w:right="1120" w:firstLine="4"/>
        <w:spacing w:after="0" w:line="207" w:lineRule="auto"/>
        <w:tabs>
          <w:tab w:leader="none" w:pos="1106"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Supplementary protection certificates ("SPCs") are pending and/or have been granted in various European countries, extending the original patent terms in those countries, where granted, to the applicable dates indicated in parentheses.</w:t>
      </w:r>
    </w:p>
    <w:p>
      <w:pPr>
        <w:spacing w:after="0" w:line="11" w:lineRule="exact"/>
        <w:rPr>
          <w:rFonts w:ascii="Arial" w:cs="Arial" w:eastAsia="Arial" w:hAnsi="Arial"/>
          <w:sz w:val="21"/>
          <w:szCs w:val="21"/>
          <w:color w:val="auto"/>
          <w:vertAlign w:val="superscript"/>
        </w:rPr>
      </w:pPr>
    </w:p>
    <w:p>
      <w:pPr>
        <w:ind w:left="960" w:right="800" w:firstLine="4"/>
        <w:spacing w:after="0"/>
        <w:tabs>
          <w:tab w:leader="none" w:pos="1158"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 xml:space="preserve">See Note 15 to our Consolidated Financial Statements for information regarding </w:t>
      </w:r>
      <w:r>
        <w:rPr>
          <w:rFonts w:ascii="Arial" w:cs="Arial" w:eastAsia="Arial" w:hAnsi="Arial"/>
          <w:sz w:val="14"/>
          <w:szCs w:val="14"/>
          <w:i w:val="1"/>
          <w:iCs w:val="1"/>
          <w:color w:val="auto"/>
        </w:rPr>
        <w:t>inter partes</w:t>
      </w:r>
      <w:r>
        <w:rPr>
          <w:rFonts w:ascii="Arial" w:cs="Arial" w:eastAsia="Arial" w:hAnsi="Arial"/>
          <w:sz w:val="14"/>
          <w:szCs w:val="14"/>
          <w:color w:val="auto"/>
        </w:rPr>
        <w:t xml:space="preserve"> review and post-grant review petitions filed in the U.S. Patent and Trademark Office relating to EYLEA and patent infringement proceedings relating to Dupixent, Praluent, and REGEN-COV.</w:t>
      </w:r>
    </w:p>
    <w:p>
      <w:pPr>
        <w:spacing w:after="0" w:line="10" w:lineRule="exact"/>
        <w:rPr>
          <w:rFonts w:ascii="Arial" w:cs="Arial" w:eastAsia="Arial" w:hAnsi="Arial"/>
          <w:sz w:val="18"/>
          <w:szCs w:val="18"/>
          <w:color w:val="auto"/>
          <w:vertAlign w:val="superscript"/>
        </w:rPr>
      </w:pPr>
    </w:p>
    <w:p>
      <w:pPr>
        <w:ind w:left="960" w:right="1140" w:firstLine="4"/>
        <w:spacing w:after="0" w:line="207" w:lineRule="auto"/>
        <w:tabs>
          <w:tab w:leader="none" w:pos="1211"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A patent term extension has been granted by the U.S. Patent and Trademark Office, extending the original patent term (October 2, 2027), insofar as it covers Dupixent, to March 28, 2031.</w:t>
      </w:r>
    </w:p>
    <w:p>
      <w:pPr>
        <w:spacing w:after="0" w:line="11" w:lineRule="exact"/>
        <w:rPr>
          <w:rFonts w:ascii="Arial" w:cs="Arial" w:eastAsia="Arial" w:hAnsi="Arial"/>
          <w:sz w:val="21"/>
          <w:szCs w:val="21"/>
          <w:color w:val="auto"/>
          <w:vertAlign w:val="superscript"/>
        </w:rPr>
      </w:pPr>
    </w:p>
    <w:p>
      <w:pPr>
        <w:ind w:left="960" w:right="1100" w:firstLine="4"/>
        <w:spacing w:after="0" w:line="207" w:lineRule="auto"/>
        <w:tabs>
          <w:tab w:leader="none" w:pos="1264"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A patent term extension has been granted by the U.S. Patent and Trademark Office, extending the original patent term (January 4, 2028), insofar as it covers Kevzara, to May 22, 2031.</w:t>
      </w:r>
    </w:p>
    <w:p>
      <w:pPr>
        <w:spacing w:after="0" w:line="22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addition, in the United States and certain other countries, our competitive position may be enhanced due to the availability of market exclusivity under relevant law (for additional information regarding market exclusivity, see Part I, Item 1A. "Risk Factors - Risks Related to Intellectual Property and Market Exclusivity - </w:t>
      </w:r>
      <w:r>
        <w:rPr>
          <w:rFonts w:ascii="Arial" w:cs="Arial" w:eastAsia="Arial" w:hAnsi="Arial"/>
          <w:sz w:val="16"/>
          <w:szCs w:val="16"/>
          <w:i w:val="1"/>
          <w:iCs w:val="1"/>
          <w:color w:val="auto"/>
        </w:rPr>
        <w:t>Loss or limitation of patent rights, and new regulatory pathways for biosimilar competition, could reduce the duration of market exclusivity</w:t>
      </w:r>
      <w:r>
        <w:rPr>
          <w:rFonts w:ascii="Arial" w:cs="Arial" w:eastAsia="Arial" w:hAnsi="Arial"/>
          <w:sz w:val="16"/>
          <w:szCs w:val="16"/>
          <w:color w:val="auto"/>
        </w:rPr>
        <w:t xml:space="preserve"> </w:t>
      </w:r>
      <w:r>
        <w:rPr>
          <w:rFonts w:ascii="Arial" w:cs="Arial" w:eastAsia="Arial" w:hAnsi="Arial"/>
          <w:sz w:val="16"/>
          <w:szCs w:val="16"/>
          <w:i w:val="1"/>
          <w:iCs w:val="1"/>
          <w:color w:val="auto"/>
        </w:rPr>
        <w:t>for our products</w:t>
      </w:r>
      <w:r>
        <w:rPr>
          <w:rFonts w:ascii="Arial" w:cs="Arial" w:eastAsia="Arial" w:hAnsi="Arial"/>
          <w:sz w:val="16"/>
          <w:szCs w:val="16"/>
          <w:color w:val="auto"/>
        </w:rPr>
        <w:t>"). The effect of expiration of a patent relating to a particular product also depends upon other factors, such as the nature of the market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position of the product in it, the growth of the market, the complexities and economics of the process for manufacture of the active ingredient of the product, and the requirements of new drug provisions of the Federal Food, Drug and Cosmetic Act or similar laws and regulations in other countries.</w:t>
      </w:r>
    </w:p>
    <w:p>
      <w:pPr>
        <w:spacing w:after="0" w:line="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are the nonexclusive licensee of a number of additional patents and patent applications. These include a license agreement with Bristol-Myers Squibb, E. R. Squibb &amp; Sons, L.L.C., and Ono Pharmaceutical Co., Ltd. to obtain a license under certain patents owned and/or exclusively licensed by one or more of these parties that includes the right to develop and sell Libtayo. Under the agreement, we and Sanofi pay royalties of 8.0% on worldwide sales of Libtayo through December 31, 2023, and royalties of 2.5% from January 1, 2024 through December 31, 2026. The royalties are shared equally by us and Sanofi.</w:t>
      </w:r>
    </w:p>
    <w:p>
      <w:pPr>
        <w:spacing w:after="0" w:line="10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Patent law relating to the patentability and scope of claims in the biotechnology field is evolving and our patent rights are subject to this additional uncertainty. The degree of patent protection that will be afforded to our products in the United States and other important commercial markets is uncertain and is dependent upon the scope of protection decided upon by the patent offices, courts, and governments in these countries. There is no certainty that our existing patents or others, if obtained, will provide us protection from competition or provide commercial benefit.</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Others may independently develop similar products or processes to those developed by us, duplicate any of our products or processes or, if patents are issued to us, design around any products and processes covered by our patents. We expect to continue, when appropriate, to file product and process applications with respect to our inventions. However, we may not file any such applications or, if filed, the patents may not be issued. Patents issued to or licensed by us may be infringed by the products or processes of others.</w:t>
      </w:r>
    </w:p>
    <w:p>
      <w:pPr>
        <w:spacing w:after="0" w:line="11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seek to file and maintain trademarks around the world based on commercial activities in most jurisdictions where we have, or desire to have, a business presence for a particular product or service. Trademark protection varies in accordance with local law, and continues in some countries as long as the trademark is used and in other countries as long as the trademark is registered. Trademark registrations generally are for fixed but renewable terms.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Defense and enforcement of our intellectual property rights is expensive and time consuming, even if the outcome is favorable to us. It is possible that patents issued or licensed to us will be successfully challenged, that a court may find that we are infringing validly issued patents of third parties, or that we may have to alter or discontinue the development of our products or pay licensing fees to take into account patent rights of third parties (see Part I, Item 1A. "Risk Factors - Risks Related to Intellectual Property and Market Exclusivity - </w:t>
      </w:r>
      <w:r>
        <w:rPr>
          <w:rFonts w:ascii="Arial" w:cs="Arial" w:eastAsia="Arial" w:hAnsi="Arial"/>
          <w:sz w:val="18"/>
          <w:szCs w:val="18"/>
          <w:i w:val="1"/>
          <w:iCs w:val="1"/>
          <w:color w:val="auto"/>
        </w:rPr>
        <w:t>We may be restricted in our development, manufacturing, and/or</w:t>
      </w:r>
      <w:r>
        <w:rPr>
          <w:rFonts w:ascii="Arial" w:cs="Arial" w:eastAsia="Arial" w:hAnsi="Arial"/>
          <w:sz w:val="18"/>
          <w:szCs w:val="18"/>
          <w:color w:val="auto"/>
        </w:rPr>
        <w:t xml:space="preserve"> </w:t>
      </w:r>
      <w:r>
        <w:rPr>
          <w:rFonts w:ascii="Arial" w:cs="Arial" w:eastAsia="Arial" w:hAnsi="Arial"/>
          <w:sz w:val="18"/>
          <w:szCs w:val="18"/>
          <w:i w:val="1"/>
          <w:iCs w:val="1"/>
          <w:color w:val="auto"/>
        </w:rPr>
        <w:t>commercialization activities by patents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or other proprietary rights of others, and could be subject to damage awards if we are found to have infringed such patents or rights</w:t>
      </w:r>
      <w:r>
        <w:rPr>
          <w:rFonts w:ascii="Arial" w:cs="Arial" w:eastAsia="Arial" w:hAnsi="Arial"/>
          <w:sz w:val="18"/>
          <w:szCs w:val="18"/>
          <w:color w:val="auto"/>
        </w:rPr>
        <w:t>"; and Note 15 to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Regulation by government authorities in the United States and foreign countries is a significant factor in the research, development, manufacture, and marketing of our products and our product candidates. A summary of the primary areas of government regulation that are relevant to our business is provided below. For a description of material regulatory risks we face, also refer to Part I, Item 1A. "Risk Factors."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Requirements</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activities required before a product candidate may be marketed in the United States or elsewhere begin with preclinical tests. Preclinical tests include laboratory evaluations of, among other things, product chemistry and formulation and toxicological and pharmacological studies in animal species to assess the toxicity and dosing of the product candidate. In the United States, certain preclinical trials must comply with the FDA's Good Laboratory Practice requirements ("GLPs") and the U.S. Department of Agriculture's Animal Welfare Act. The results of these studies must be submitted to the FDA or the relevant regulatory authority outside the United States as part of an IND or clinical trial application (as applicable), which must be reviewed by the FDA or the relevant government authority before proposed clinical testing can begin in the applicable country or jurisdiction. In the United States, unless the FDA raises concerns, the IND becomes effective 30 days following its receipt by the FDA, and the clinical trial proposed in the IND may begin. The FDA or other regulatory authorities may ask for additional data in order to begin a clinical trial. Rules that are equivalent in scope but which vary in application apply in foreign countries.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Approval</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of our product candidates require regulatory approval by relevant government authorities before they can be commercialized. In particular, human therapeutic products are subject to rigorous preclinical and clinical trials and other pre-market approval requirements by the FDA and foreign authorities. The structure and substance of the FDA and foreign pharmaceutical regulatory practices may evolve over time. The ultimate outcome and impact of such developments cannot be predicted.</w:t>
      </w:r>
    </w:p>
    <w:p>
      <w:pPr>
        <w:spacing w:after="0" w:line="10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Clinical trials involve the administration of a drug to healthy human volunteers or to patients under the supervision of a qualified investigator. The conduct of clinical trials is subject to extensive regulation, including compliance with the FDA's bioresearch monitoring regulations and Good Clinical Practice requirements ("GCPs"), which establish standards for conducting, recording data from, and reporting the results of, clinical trials, and are intended to assure that the data and reported results are credible and accurate, and that the rights, safety, and well-being of study participants are protected. Clinical trials must be conducted under protocols that detail the study objectives, parameters for monitoring safety, and the efficacy criteria, if any, to be evaluated. In addition, each clinical trial must be reviewed and approved by, and conducted under the auspices of, an Institutional Review Board ("IRB") for each clinical site within the United States or, where applicable, an Ethics Committee and/or the competent authority for clinical sites outside the United States. Companies sponsoring the clinical trials, investigators, and IRBs/Ethics Committees also must comply with, as applicable, regulations and guidelines for obtaining informed consent from the study patients, following the protocol and investigational plan, adequately monitoring the clinical trial, and timely reporting of adverse events. Foreign studies conducted under an IND must meet the same requirements that apply to studies being conducted in the United States. Data from a foreign study not conducted under an IND may be submitted in support of a BLA if the study was conducted in accordance with GCPs and the FDA is able to validate the data.</w:t>
      </w:r>
    </w:p>
    <w:p>
      <w:pPr>
        <w:spacing w:after="0" w:line="1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Typically, clinical testing involves a three-phase process. Phase 1 trials are usually conducted with a small number of healthy volunteers to determine the early safety profile, metabolism, and pharmacological actions of the product candidate, the side effects associated with increasing doses, and, if possible, to gain early evidence of effectiveness. Phase 2 clinical trials are conducted with a relatively small sample of the intended patient population to provide enough data to evaluate the preliminary safety, tolerability, and efficacy of different potential doses of the product candidate. Phase 3 clinical trials are larger trials conducted with patients with the target disease or disorder intended to gather additional information about dosage, safety, and effectiveness necessary to evaluate the drug's overall risk-benefit profile, and to provide a basis for regulatory approval. If concerns arise about the safety of the product candidate, the FDA or other regulatory authorities can stop clinical trials by placing them on a "clinical hold" pending receipt of additional data, which can result in a delay or termination of a clinical development program. The sponsoring company, the FDA or other regulatory authorities, or the IRB or Ethics Committee and competent authority may suspend or terminate a clinical trial at any time on various grounds, including a finding that the patients are being exposed to an unacceptable health risk.</w:t>
      </w:r>
    </w:p>
    <w:p>
      <w:pPr>
        <w:spacing w:after="0" w:line="1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results of the preclinical and clinical testing of a biologic product candidate are then submitted to the FDA in the form of a BLA for evaluation to determine whether the product candidate may be approved for commercial sale under the Public Health Service Act. Under the Prescription Drug User Fee Act, we typically must pay fees to the FDA for review of any BLA, which can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exceed $2 million per filing for new applications with clinical data review required, subject to certain limited deferrals, waivers, and reductions. The FDA reviews applications to determine, among other things, whether a product is safe and effective for its intended use and whether the manufacturing controls are adequate to assure and preserve the product's identity, strength, quality, and purity. For some BLAs, the FDA may convene an advisory committee to seek insights and recommendations on issues relevant to approval of the application. Although the FDA is not bound by the recommendation of an advisory committee, the agency considers such recommendations carefully when making decisions. Before approving a new drug or biologic product, the FDA also requires that the facilities at which the product will be manufactured or advanced through the supply chain be in compliance with current Good Manufacturing Practices, or cGMP, requirements and regulations governing, among other things, the manufacture, shipment, and storage of the product. The FDA also can audit the sponsor of the BLA to determine if the clinical studies were conducted in compliance with current GCPs. After review of a BLA, the FDA may grant marketing approval, request additional information, or issue a complete response letter ("CRL") outlining the deficiencies in the submission. The CRL may require additional testing or information, including additional preclinical or clinical data, for the FDA to reconsider the application. Even if such additional information and data are submitted, the FDA may decide that the BLA still does not meet the standards for approval. Data from clinical trials are not always conclusive and the FDA may interpret data differently than the sponsor. If FDA grants approval, an approval letter authorizes commercial marketing of the product candidate with specific prescribing information for specific indications.</w:t>
      </w:r>
    </w:p>
    <w:p>
      <w:pPr>
        <w:spacing w:after="0" w:line="9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Any approval required by the FDA for any of our product candidates may not be obtained on a timely basis, or at all. The designation of a clinical trial as being of a particular phase is not necessarily indicative that such a trial will be sufficient to satisfy the parameters of a particular phase, and a clinical trial may contain elements of more than one phase notwithstanding the designation of the trial as being of a particular phase. The results of preclinical studies or early stage clinical trials may not predict long-term safety or efficacy of our compounds when they are tested or used more broadly in humans.</w:t>
      </w:r>
    </w:p>
    <w:p>
      <w:pPr>
        <w:spacing w:after="0" w:line="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Approval of a product candidate by comparable regulatory authorities in foreign countries is generally required prior to commencement of marketing of the product in those countries. The approval procedure varies among countries and may involve different or additional testing, and the time required to obtain such approval may differ from that required for FDA approval. Approval by a regulatory authority in one jurisdiction does not guarantee approval by comparable regulatory authorities in other jurisdictions. In the European Economic Area ("EEA") (which is comprised of 27 Member States of the EU plus Norway, Iceland, and Liechtenstein), medicinal products can only be commercialized after a related Marketing Authorization has been granted. Marketing authorization for biologics must be obtained through a centralized, mutual recognition procedure, which allows a company to submit a single application to the EMA. If a related positive opinion is provided by the EMA, the EC will grant a centralized marketing authorization that is valid in the EEA.</w:t>
      </w:r>
    </w:p>
    <w:p>
      <w:pPr>
        <w:spacing w:after="0" w:line="9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many jurisdictions, pediatric data or an approved Pediatric Investigation Plan ("PIP"), or a waiver of such studies, is required to have been approved by regulatory authorities prior to submission of a marketing application. In some EU countries, we may also be required to have an approved PIP before we can begin enrolling pediatric patients in a clinical trial. In the United States, a pediatric study plan is not required for orphan products and the timing of the submission is subject to negotiation with FDA, but such plan cannot be submitted later than submission of a BLA.</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Various federal, state, and foreign statutes and regulations also govern or influence the research, manufacture, safety, labeling, storage, record keeping, marketing, transport, and other aspects of developing and commercializing pharmaceutical product candidates. The lengthy process of seeking these approvals and the compliance with applicable statutes and regulations require the expenditure of substantial resources. Any failure by us or our collaborators or licensees to obtain, or any delay in obtaining, regulatory approvals could adversely affect the manufacturing or marketing of our products and our ability to receive product or royalty revenue.</w:t>
      </w:r>
    </w:p>
    <w:p>
      <w:pPr>
        <w:spacing w:after="0" w:line="12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For additional information regarding U.S. and foreign regulatory approval processes and requirements, see Part I, Item 1A. "Risk Factors - Risks Related to Maintaining Approval of Our Marketed Products and the Development and Obtaining Approval of Our Product Candidates and New Indications for Our Marketed Products - </w:t>
      </w:r>
      <w:r>
        <w:rPr>
          <w:rFonts w:ascii="Arial" w:cs="Arial" w:eastAsia="Arial" w:hAnsi="Arial"/>
          <w:sz w:val="16"/>
          <w:szCs w:val="16"/>
          <w:i w:val="1"/>
          <w:iCs w:val="1"/>
          <w:color w:val="auto"/>
        </w:rPr>
        <w:t>Obtaining and maintaining regulatory approval for drug products is costly, time-consuming, and highly uncertain.</w:t>
      </w:r>
      <w:r>
        <w:rPr>
          <w:rFonts w:ascii="Arial" w:cs="Arial" w:eastAsia="Arial" w:hAnsi="Arial"/>
          <w:sz w:val="16"/>
          <w:szCs w:val="16"/>
          <w:color w:val="auto"/>
        </w:rPr>
        <w: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Regulation</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FDA and comparable regulatory authorities in other jurisdictions may also require us to conduct additional clinical trials or to make certain changes related to a product after granting approval of the product. The FDA has the explicit authority to require postmarketing studies (also referred to as post-approval or Phase 4 studies), labeling changes based on new safety information, and compliance with FDA-approved risk evaluation and mitigation strategies. Post-approval modifications to the drug, such as changes in indications, labeling, or manufacturing processes or facilities, may require a sponsor to develop additional data or conduct additional preclinical studies or clinical trials, to be submitted in a new or supplemental BLA, which would require FDA approval.</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1" w:name="page32"/>
    <w:bookmarkEnd w:id="3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Following approval, the FDA and comparable regulatory authorities outside the United States regulate the marketing and promotion of our products, which must comply with the Food, Drug, and Cosmetic Act and applicable FDA regulations and standards thereunder and equivalent foreign laws. The review of promotional activities by the FDA and comparable regulatory authorities outside the United States includes, but is not limited to, healthcare provider-directed and direct-to-consumer advertising, communications regarding unapproved uses, industry-sponsored scientific and educational activities, promotional activities involving the Internet, and sales representatives' communications. After approval, product promotion can include only those claims relating to safety and effectiveness that are consistent with the labeling approved by the FDA and comparable foreign regulatory authorities. FDA and comparable foreign regulatory authorities' regulations impose restrictions on manufacturers' communications regarding unapproved uses, but under certain conditions may engage in non-promotional, balanced, scientific communication regarding such use. Failure to comply with applicable FDA and comparable foreign regulatory authorities' requirements and restrictions in this area may subject a company to adverse publicity and enforcement action by the FDA, the Department of Justice, or the Office of the Inspector General of the Department of Health and Human Services, as well as state authorities and comparable regulatory authorities outside the United States. This could subject a company to a range of penalties that could have a significant commercial impact, including civil and criminal fines and agreements that materially restrict the manner in which a company promotes or distributes a drug. See Part I, Item 1A. "Risk Factors - Other Regulatory and Litigation Risks - </w:t>
      </w:r>
      <w:r>
        <w:rPr>
          <w:rFonts w:ascii="Arial" w:cs="Arial" w:eastAsia="Arial" w:hAnsi="Arial"/>
          <w:sz w:val="16"/>
          <w:szCs w:val="16"/>
          <w:i w:val="1"/>
          <w:iCs w:val="1"/>
          <w:color w:val="auto"/>
        </w:rPr>
        <w:t>Our business activities have been, and may in the future be, challenged</w:t>
      </w:r>
      <w:r>
        <w:rPr>
          <w:rFonts w:ascii="Arial" w:cs="Arial" w:eastAsia="Arial" w:hAnsi="Arial"/>
          <w:sz w:val="16"/>
          <w:szCs w:val="16"/>
          <w:color w:val="auto"/>
        </w:rPr>
        <w:t xml:space="preserve"> </w:t>
      </w:r>
      <w:r>
        <w:rPr>
          <w:rFonts w:ascii="Arial" w:cs="Arial" w:eastAsia="Arial" w:hAnsi="Arial"/>
          <w:sz w:val="16"/>
          <w:szCs w:val="16"/>
          <w:i w:val="1"/>
          <w:iCs w:val="1"/>
          <w:color w:val="auto"/>
        </w:rPr>
        <w:t>under federal or state healthcare laws, which may subject us to civil or criminal proceedings, investigations, or penalties</w:t>
      </w:r>
      <w:r>
        <w:rPr>
          <w:rFonts w:ascii="Arial" w:cs="Arial" w:eastAsia="Arial" w:hAnsi="Arial"/>
          <w:sz w:val="16"/>
          <w:szCs w:val="16"/>
          <w:color w:val="auto"/>
        </w:rPr>
        <w:t>."</w:t>
      </w:r>
    </w:p>
    <w:p>
      <w:pPr>
        <w:spacing w:after="0" w:line="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Adverse-event reporting and submission of periodic reports are required following marketing approval. The FDA requires BLA holders to employ a system for obtaining and reviewing safety information, adverse events, and product complaints associated with each drug and to submit safety reports to the FDA, with expedited reporting timelines in certain situations. Based on new safety information after approval, the FDA can, among other things, mandate product labeling changes, require new post-marketing studies, impose or modify a risk evaluation and mitigation strategy for the product, or suspend or withdraw approval of the product. We may be subject to audits by the FDA and other regulatory authorities to ensure that we are complying with the applicable requirements. Rules that are equivalent in scope but which vary in application apply in foreign countries in which we conduct clinical trials.</w:t>
      </w:r>
    </w:p>
    <w:p>
      <w:pPr>
        <w:spacing w:after="0" w:line="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holder of an EU marketing authorization for a medicinal product must also comply with the EU's pharmacovigilance legislation. This includes requirements to conduct pharmacovigilance, or the assessment and monitoring of the safety of medicinal products. Marketing authorization holders are required to maintain a Pharmacovigilance System Master File ("PSMF") which supports and documents the compliance of the marketing authorization holder with the requirements of EU pharmacovigilance legislation. Marketing authorization holders are also required to have a Qualified Person for Pharmacovigilance ("QPPV") who, among other things, maintains the PSMF. A QPPV must reside in the EEA and must also prepare pharmacovigilance reports, respond to potential requests from competent authorities concerning pharmacovigilance on a 24 hour basis, and provide competent authorities with any other information that may be relevant to the safety of the medicinal product in accordance with Good Pharmacovigilance Practices.</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EC can also require marketing authorization holders to conduct post-authorization safety and/or efficacy studies. A post-authorization safety study ("PASS") is a study that is carried out after a medicinal product has been authorized to obtain further information on a medicinal product's safety, or to measure the effectiveness of risk-management measures. Such studies may be clinical trials or non-interventional studies. A post-authorization efficacy study ("PAES") is a study that is carried out for complimenting available efficacy data in the light of well-reasoned scientific uncertainties on aspects of the evidence of benefits that is to be or only can be addressed post-authorization. The EC may, in particular, impose a PASS and/or PAES on marketing authorization holders when a marketing authorization is granted upon conditions. The EC may grant conditional marketing authorizations in the interest of public health, when there is less comprehensive clinical data available than would be required, if the EC considers that the benefit of immediate availability may outweigh the risk that the absence of the required clinical data poses.</w:t>
      </w:r>
    </w:p>
    <w:p>
      <w:pPr>
        <w:spacing w:after="0" w:line="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we and our third-party suppliers are required to maintain compliance with cGMPs, and are subject to inspections by the FDA or comparable regulatory authorities in other jurisdictions to confirm such compliance. Changes of suppliers or modifications of methods of manufacturing may require amending our application(s) to the FDA or such comparable foreign regulatory authorities and acceptance of the change by the FDA or such comparable foreign regulatory authorities prior to release of product(s). FDA regulations also require investigation and correction of any deviations from cGMP and impose reporting and documentation requirements upon us and our third-party suppliers. Prescription drug manufacturers in the U.S. must comply with applicable provisions of the Drug Supply Chain Security Act and provide and receive product tracing information, maintain appropriate licenses, ensure they only work with other properly licensed entities, and have procedures in place to identify and properly handle suspect and illegitimate products. We may also be subject to state regulations related to the manufacturing and distribution of our products.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Failure to comply with these laws, regulations, and conditions of product approval may lead the FDA and comparable regulatory authorities in other jurisdictions to take regulatory action or seek sanctions, including fines, issuance of warning letters, civil penalties, injunctions, suspension of manufacturing operations, operating restrictions, withdrawal of FDA approval of a product, seizure or recall of products, and criminal prosecution.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Pricing and Reimbursement</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Sales in the United States of our marketed products are dependent, in large part, on the availability and extent of reimbursement from third-party payors, including private payor healthcare and insurance programs, health maintenance organizations, pharmacy benefit management companies, and government programs such as Medicare and Medicaid. Sales of our marketed products in other countries are dependent, in large part, on coverage and reimbursement mechanisms and programs administered by health authorities in those countries. See Part I, Item 1A. "Risk Factors - Risks Related to Commercialization of Our Marketed Products, Product Candidates, and New Indications for Our Marketed Products - </w:t>
      </w:r>
      <w:r>
        <w:rPr>
          <w:rFonts w:ascii="Arial" w:cs="Arial" w:eastAsia="Arial" w:hAnsi="Arial"/>
          <w:sz w:val="18"/>
          <w:szCs w:val="18"/>
          <w:i w:val="1"/>
          <w:iCs w:val="1"/>
          <w:color w:val="auto"/>
        </w:rPr>
        <w:t>Sales of our marketed products are dependent on the</w:t>
      </w:r>
      <w:r>
        <w:rPr>
          <w:rFonts w:ascii="Arial" w:cs="Arial" w:eastAsia="Arial" w:hAnsi="Arial"/>
          <w:sz w:val="18"/>
          <w:szCs w:val="18"/>
          <w:color w:val="auto"/>
        </w:rPr>
        <w:t xml:space="preserve"> </w:t>
      </w:r>
      <w:r>
        <w:rPr>
          <w:rFonts w:ascii="Arial" w:cs="Arial" w:eastAsia="Arial" w:hAnsi="Arial"/>
          <w:sz w:val="18"/>
          <w:szCs w:val="18"/>
          <w:i w:val="1"/>
          <w:iCs w:val="1"/>
          <w:color w:val="auto"/>
        </w:rPr>
        <w:t>availability and extent of reimbursement from third-party payors, and changes to such reimbursement may materially harm our business, prospects, operating results, and financial condition.</w:t>
      </w:r>
      <w:r>
        <w:rPr>
          <w:rFonts w:ascii="Arial" w:cs="Arial" w:eastAsia="Arial" w:hAnsi="Arial"/>
          <w:sz w:val="18"/>
          <w:szCs w:val="18"/>
          <w:color w:val="auto"/>
        </w:rPr>
        <w:t>"</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participate in, and have certain price reporting obligations to, the Medicaid Drug Rebate program, state Medicaid supplemental rebate program(s), and other governmental pricing programs. We also have obligations to report the average sales price for certain drugs to the Medicare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Part B of the Medicare program.</w:t>
      </w:r>
    </w:p>
    <w:p>
      <w:pPr>
        <w:spacing w:after="0" w:line="107"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Medicaid is a joint federal and state program that is administered by the states for low-income and disabled beneficiaries. Medicaid rebates are based on pricing data reported by us on a monthly and quarterly basis to the Centers for Medicare &amp; Medicaid Services ("CMS"), the federal agency that administers the Medicaid and Medicare programs. These data include the average manufacturer price and, in the case of innovator products, the best price for each drug which, in general, represents the lowest price available from the manufacturer to any entity in the U.S. in any pricing structure, calculated to include all sales and associated rebates, discounts, and other price concessions. The amount of the rebate is adjusted upward if average manufacture price increases more than inflation (measured by reference to the Consumer Price Index - Urban). If we become aware that our reporting for a prior quarter was incorrect, or has changed as a result of recalculation of the pricing data, we are obligated to resubmit the corrected data for up to three years after those data originally were due, which revisions could affect our rebate liability for prior quarters. The federal Patient Protection and Affordable Care Act (the "PPACA") made significant changes to the Medicaid Drug Rebate program, and CMS issued a final regulation, which became effective on April 1, 2016, to implement the changes to the Medicaid Drug Rebate program under the PPACA. On December 21, 2020, CMS issued a final rule that modified Medicaid Drug Rebate program regulations to permit reporting multiple best price figures with regard to value</w:t>
      </w:r>
      <w:r>
        <w:rPr>
          <w:rFonts w:ascii="MS PGothic" w:cs="MS PGothic" w:eastAsia="MS PGothic" w:hAnsi="MS PGothic"/>
          <w:sz w:val="16"/>
          <w:szCs w:val="16"/>
          <w:color w:val="auto"/>
        </w:rPr>
        <w:t>‑</w:t>
      </w:r>
      <w:r>
        <w:rPr>
          <w:rFonts w:ascii="Arial" w:cs="Arial" w:eastAsia="Arial" w:hAnsi="Arial"/>
          <w:sz w:val="16"/>
          <w:szCs w:val="16"/>
          <w:color w:val="auto"/>
        </w:rPr>
        <w:t>based purchasing arrangements (beginning in 2022); provide definitions for "line extension," "new formulation," and related terms with the practical effect of expanding the scope of drugs considered to be line extensions (beginning in 2022); and revise best price and average manufacturer price exclusions of manufacturer-sponsored patient benefit programs, specifically regarding inapplicability of such exclusions in the context of pharmacy benefit manager "accumulator" programs (beginning in 2023).</w:t>
      </w:r>
    </w:p>
    <w:p>
      <w:pPr>
        <w:spacing w:after="0" w:line="13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Medicare is a federal program that is administered by the federal government that covers individuals age 65 and over or that are disabled as well as those with certain health conditions. Medicare Part B generally covers drugs that must be administered by physicians or other health care practitioners; are provided in connection with certain durable medical equipment; or are certain oral anti-cancer drugs and certain oral immunosuppressive drugs. Medicare Part B pays for such drugs under a payment methodology based on the average sales price of the drugs. Manufacturers, including us, are required to report average sales price information to CMS on a quarterly basis. The manufacturer-submitted information is used by CMS to calculate Medicare payment rates. See Part I, Item 1A. "Risk Factors - Risks Related to Commercialization of Our Marketed Products, Product Candidates, and New Indications for Our Marketed Products - </w:t>
      </w:r>
      <w:r>
        <w:rPr>
          <w:rFonts w:ascii="Arial" w:cs="Arial" w:eastAsia="Arial" w:hAnsi="Arial"/>
          <w:sz w:val="17"/>
          <w:szCs w:val="17"/>
          <w:i w:val="1"/>
          <w:iCs w:val="1"/>
          <w:color w:val="auto"/>
        </w:rPr>
        <w:t>Sales of our marketed products are dependent on the availability and extent of reimbursement from third-party payors, and changes to</w:t>
      </w:r>
      <w:r>
        <w:rPr>
          <w:rFonts w:ascii="Arial" w:cs="Arial" w:eastAsia="Arial" w:hAnsi="Arial"/>
          <w:sz w:val="17"/>
          <w:szCs w:val="17"/>
          <w:color w:val="auto"/>
        </w:rPr>
        <w:t xml:space="preserve"> </w:t>
      </w:r>
      <w:r>
        <w:rPr>
          <w:rFonts w:ascii="Arial" w:cs="Arial" w:eastAsia="Arial" w:hAnsi="Arial"/>
          <w:sz w:val="17"/>
          <w:szCs w:val="17"/>
          <w:i w:val="1"/>
          <w:iCs w:val="1"/>
          <w:color w:val="auto"/>
        </w:rPr>
        <w:t>such reimbursement may materially harm our business, prospects, operating results, and financial condition</w:t>
      </w:r>
      <w:r>
        <w:rPr>
          <w:rFonts w:ascii="Arial" w:cs="Arial" w:eastAsia="Arial" w:hAnsi="Arial"/>
          <w:sz w:val="17"/>
          <w:szCs w:val="17"/>
          <w:color w:val="auto"/>
        </w:rPr>
        <w:t>" for a discussion of recent actions at the</w:t>
      </w:r>
      <w:r>
        <w:rPr>
          <w:rFonts w:ascii="Arial" w:cs="Arial" w:eastAsia="Arial" w:hAnsi="Arial"/>
          <w:sz w:val="17"/>
          <w:szCs w:val="17"/>
          <w:i w:val="1"/>
          <w:iCs w:val="1"/>
          <w:color w:val="auto"/>
        </w:rPr>
        <w:t xml:space="preserve"> </w:t>
      </w:r>
      <w:r>
        <w:rPr>
          <w:rFonts w:ascii="Arial" w:cs="Arial" w:eastAsia="Arial" w:hAnsi="Arial"/>
          <w:sz w:val="17"/>
          <w:szCs w:val="17"/>
          <w:color w:val="auto"/>
        </w:rPr>
        <w:t>federal level intended to reform Medicare Part B, including the "most-favored-nation" interim final rule issued in November 2020 by HHS, acting through CMS.</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Civil monetary penalties can be applied if we are found to have knowingly submitted any false pricing or other information to the government, if we are found to have made a misrepresentation in the reporting of our average sales price, or if we fail to submit the required data on a timely basis. Such conduct also could be grounds for CMS to terminate our Medicaid drug rebate agreement, in which case federal payments may not be available under Medicaid or Medicare Part B for our covered outpatient drugs.</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Federal law requires that any company that participates in the Medicaid Drug Rebate program also participate in the Public Health Service's 340B drug pricing program (the "340B program") in order for federal funds to be available for the manufacturer's drugs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3" w:name="page34"/>
    <w:bookmarkEnd w:id="3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under Medicaid and Medicare Part B. The 340B program, which is administered by the Health Resources and Services Administration, or HRSA, requires participating manufacturers to agree to charge statutorily defined covered entities no more than the 340B "ceiling price" for the manufacturer's covered outpatient drugs. Covered entities include hospitals that serve a disproportionate share of financially needy patients, community health clinics, and other entities that receive certain types of grants under the Public Health Service Act. The PPACA expanded the list of covered entities to include certain free-standing cancer hospitals, critical access hospitals, rural referral centers, and sole community hospitals, but exempts "orphan drugs" from the ceiling price requirements for these covered entities. The 340B ceiling price is calculated using a statutory formula, which is based on the average manufacturer price and Medicaid rebate amount for the covered outpatient drug as calculated under the Medicaid Drug Rebate program. In general, products subject to Medicaid price reporting and rebate liability are also subject to the 340B ceiling price calculation and discount requirement.</w:t>
      </w:r>
    </w:p>
    <w:p>
      <w:pPr>
        <w:spacing w:after="0" w:line="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HRSA issued a final regulation regarding the calculation of the 340B ceiling price and the imposition of civil monetary penalties on manufacturers that knowingly and intentionally overcharge covered entities, which became effective on January 1, 2019. It is currently unclear how HRSA will apply its enforcement authority under this regulation. Any charge by HRSA that we have violated the requirements of the regulation could result in civil monetary penalties. Moreover, under a final regulation effective January 13, 2021, HRSA established a new administrative dispute resolution ("ADR") process for claims by covered entities that a manufacturer has engaged in overcharging, and by manufacturers that a covered entity violated the prohibitions against diversion or duplicate discounts. Such claims are to be resolved through an ADR panel of government officials rendering a decision that could be appealed only in federal court. An ADR proceeding could subject us to onerous procedural requirements and could result in additional liability. HRSA also implemented a price reporting system under which we are required to report their 340B ceiling prices to HRSA on a quarterly basis, which then publishes them to 340B covered entities. In addition, legislation may be introduced that, if passed, would further expand the 340B program to additional covered entities or would require participating manufacturers to agree to provide 340B discounted pricing on drugs used in an inpatient setting.</w:t>
      </w:r>
    </w:p>
    <w:p>
      <w:pPr>
        <w:spacing w:after="0" w:line="1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order to be eligible to have our products paid for with federal funds under the Medicaid and Medicare Part B programs and purchased by certain federal agencies and grantees, we participate in the U.S. Department of Veterans Affairs ("VA") Federal Supply Schedule ("FSS") pricing program. FSS participation is required for our products to be purchased by the VA, Department of Defense ("DoD"), Coast Guard, and Public Health Service ("PHS"). Prices for innovator drugs purchased by the VA, DoD, Coast Guard, and PHS are subject to a cap (known as the "Federal Ceiling Price") equal to 76% of the annual non-federal average manufacturer price ("non-FAMP") minus, if applicable, an additional discount. The additional discount applies if non-FAMP increases more than inflation (measured by reference to the Consumer Price Index - Urban). We also participate in the Tricare Retail Pharmacy Program, under which we pay quarterly rebates to DoD for prescriptions of our innovator drugs dispensed to Tricare beneficiaries through Tricare Retail network pharmacies. The governing statute provides for civil monetary penalties for failure to provide information timely or for knowing submission of false information to the government.</w:t>
      </w:r>
    </w:p>
    <w:p>
      <w:pPr>
        <w:spacing w:after="0" w:line="1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Medicare Part D provides coverage to enrolled Medicare patients for self-administered drugs (</w:t>
      </w:r>
      <w:r>
        <w:rPr>
          <w:rFonts w:ascii="Arial" w:cs="Arial" w:eastAsia="Arial" w:hAnsi="Arial"/>
          <w:sz w:val="16"/>
          <w:szCs w:val="16"/>
          <w:i w:val="1"/>
          <w:iCs w:val="1"/>
          <w:color w:val="auto"/>
        </w:rPr>
        <w:t>i.e.</w:t>
      </w:r>
      <w:r>
        <w:rPr>
          <w:rFonts w:ascii="Arial" w:cs="Arial" w:eastAsia="Arial" w:hAnsi="Arial"/>
          <w:sz w:val="16"/>
          <w:szCs w:val="16"/>
          <w:color w:val="auto"/>
        </w:rPr>
        <w:t>, drugs that are not administered by a physician). Medicare Part D is administered by private prescription drug plans approved by the U.S. government and, subject to detailed program rules and government oversight, each drug plan establishes its own Medicare Part D formulary for prescription drug coverage and pricing, which the drug plan may modify from time to time. The prescription drug plans negotiate pricing with manufacturers and pharmacies, and may condition formulary placement on the availability of manufacturer discounts. In addition, for 2021, manufacturers, including us, are required to provide to CMS a 70% discount on brand name prescription drugs utilized by Medicare Part D beneficiaries when those beneficiaries are in the coverage gap phase of the Part D benefit design.</w:t>
      </w:r>
    </w:p>
    <w:p>
      <w:pPr>
        <w:spacing w:after="0" w:line="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Private payor healthcare and insurance providers, health maintenance organizations, and pharmacy benefit managers in the United States are adopting more aggressive utilization management techniques and are increasingly requiring significant discounts and rebates from manufacturers as a condition to including products on formulary with favorable coverage and copayment/coinsurance. As a consequence, these payors may not cover or adequately reimburse for use of our products or may do so at levels that disadvantage them relative to competitive products.</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Outside the United States, within the EU, our products are paid for by a variety of payors, with governments being the primary source of payment. Government health authorities in the EU determine or influence reimbursement of products, and set prices or otherwise regulate pricing. Negotiating prices with governmental authorities can delay commercialization of our products. Governments may use a variety of cost-containment measures to control the cost of products, including price cuts, mandatory rebates, value-based pricing, and reference pricing (</w:t>
      </w:r>
      <w:r>
        <w:rPr>
          <w:rFonts w:ascii="Arial" w:cs="Arial" w:eastAsia="Arial" w:hAnsi="Arial"/>
          <w:sz w:val="18"/>
          <w:szCs w:val="18"/>
          <w:i w:val="1"/>
          <w:iCs w:val="1"/>
          <w:color w:val="auto"/>
        </w:rPr>
        <w:t>i.e.</w:t>
      </w:r>
      <w:r>
        <w:rPr>
          <w:rFonts w:ascii="Arial" w:cs="Arial" w:eastAsia="Arial" w:hAnsi="Arial"/>
          <w:sz w:val="18"/>
          <w:szCs w:val="18"/>
          <w:color w:val="auto"/>
        </w:rPr>
        <w:t>, referencing prices in other countries or prices of competitive products and using those reference prices to set a price). Budgetary pressures in many EU countries are continuing to cause governments to consider or implement various cost-containment measures, such as price freezes, increased price cuts and rebates, and expanded generic substitution and patient cost-sharing.</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4" w:name="page35"/>
    <w:bookmarkEnd w:id="3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Regulatory Requirements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are subject to health care "fraud and abuse" laws, such as the federal civil False Claims Act, the anti-kickback provisions of the federal Social Security Act, and other state and federal laws and regulations. Federal and state anti-kickback laws prohibit, among other things, payments or other remuneration to induce or reward someone to purchase, prescribe, endorse, or recommend a product that is reimbursed under federal or state healthcare programs. Federal false claims laws prohibit any person from knowingly presenting, or causing to be presented, a false claim for payment of government funds, or knowingly making, or causing to be made, a false statement to get a false claim paid. See Part I, Item 1A. "Risk Factors - Other Regulatory and Litigation Risks - </w:t>
      </w:r>
      <w:r>
        <w:rPr>
          <w:rFonts w:ascii="Arial" w:cs="Arial" w:eastAsia="Arial" w:hAnsi="Arial"/>
          <w:sz w:val="18"/>
          <w:szCs w:val="18"/>
          <w:i w:val="1"/>
          <w:iCs w:val="1"/>
          <w:color w:val="auto"/>
        </w:rPr>
        <w:t>Our</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activities have been, and may in the future be, challenged under federal or state healthcare laws, which may subject us to civil or criminal proceedings, investigations, or penalties</w:t>
      </w:r>
      <w:r>
        <w:rPr>
          <w:rFonts w:ascii="Arial" w:cs="Arial" w:eastAsia="Arial" w:hAnsi="Arial"/>
          <w:sz w:val="18"/>
          <w:szCs w:val="18"/>
          <w:color w:val="auto"/>
        </w:rPr>
        <w:t>."</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are subject to the Foreign Corrupt Practices Act, or FCPA, and similar anti-bribery or anti-corruption laws, regulations or rules of other countries in which we operate, including the U.K. Bribery Act. See Part I, Item 1A. "Risk Factors - Other Regulatory and Litigation Risks - </w:t>
      </w:r>
      <w:r>
        <w:rPr>
          <w:rFonts w:ascii="Arial" w:cs="Arial" w:eastAsia="Arial" w:hAnsi="Arial"/>
          <w:sz w:val="18"/>
          <w:szCs w:val="18"/>
          <w:i w:val="1"/>
          <w:iCs w:val="1"/>
          <w:color w:val="auto"/>
        </w:rPr>
        <w:t>Risks from the improper</w:t>
      </w:r>
      <w:r>
        <w:rPr>
          <w:rFonts w:ascii="Arial" w:cs="Arial" w:eastAsia="Arial" w:hAnsi="Arial"/>
          <w:sz w:val="18"/>
          <w:szCs w:val="18"/>
          <w:color w:val="auto"/>
        </w:rPr>
        <w:t xml:space="preserve"> </w:t>
      </w:r>
      <w:r>
        <w:rPr>
          <w:rFonts w:ascii="Arial" w:cs="Arial" w:eastAsia="Arial" w:hAnsi="Arial"/>
          <w:sz w:val="18"/>
          <w:szCs w:val="18"/>
          <w:i w:val="1"/>
          <w:iCs w:val="1"/>
          <w:color w:val="auto"/>
        </w:rPr>
        <w:t>conduct of employees, agents, contractors, or collaborators could adversely affect our reputation and our business, prospects, operating results, and financial condition</w:t>
      </w:r>
      <w:r>
        <w:rPr>
          <w:rFonts w:ascii="Arial" w:cs="Arial" w:eastAsia="Arial" w:hAnsi="Arial"/>
          <w:sz w:val="18"/>
          <w:szCs w:val="18"/>
          <w:color w:val="auto"/>
        </w:rPr>
        <w:t>."</w:t>
      </w:r>
    </w:p>
    <w:p>
      <w:pPr>
        <w:spacing w:after="0" w:line="11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United States, there are numerous federal and state laws and regulations governing data privacy of personal data and the collection, use, disclosure, and protection of health data, genetic data, consumer data, and children's data. Such laws and regulations include the Health Insurance Portability and Accountability Act of 1996 and its implementing regulations (collectively, "HIPAA"), as well as state data breach notification laws, state health information and/or genetic privacy laws, and federal and state consumer protection laws (such as Section 5 of the Federal Trade Commission Act and the California Consumer Privacy Act (the "CCPA")). Many of these laws differ from each other in significant ways and have different effects. Many of the state laws enable a state attorney general to bring actions and provide private rights of action to consumers as enforcement mechanisms. There is also heightened sensitivity around certain types of health data, which may be subject to additional protections. Compliance with these laws requires a flexible privacy framework as they are constantly evolving. Failure to comply with these laws and regulations could result in government enforcement actions and create liability for us (which could include civil and/or criminal penalties), private litigation, and/or adverse publicity. Federal regulators, state attorneys general, and plaintiffs' attorneys have been active in this space.</w:t>
      </w:r>
    </w:p>
    <w:p>
      <w:pPr>
        <w:spacing w:after="0" w:line="1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HIPAA imposes privacy and security obligations on covered entity health care providers, health plans, and health care clearinghouses, as well as their "business associates" – independent contractors or agents of covered entities that receive or obtain protected health information in connection with providing a service on behalf of a covered entity. Most health care providers, including research institutions from which we or our collaborators obtain clinical trial data, are subject to HIPAA. Although we are not directly subject to HIPAA other than with respect to providing certain employee benefits, we could potentially be subject to criminal penalties if we, our affiliates, or our agents knowingly obtain or disclose individually identifiable health information maintained by a HIPAA-covered entity in a manner that is not authorized or permitted by HIPAA.</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the extent we collect California resident personal data for marketing and human resource activities, we are also subject to the CCPA. The CCPA, which became effective on January 1, 2020, establishes certain requirements for data use and sharing transparency and provides California residents certain rights concerning the use, disclosure, and retention of their personal data. The CCPA and its implementing regulations have already been amended multiple times since their enactment. Similarly, there are a number of legislative proposals in the United States, at both the federal and state level, that could impose new obligations or limitations in the area of consumer protection. These laws and regulations are evolving and may impose limitations on our business activities. The obligations to comply with the CCPA and evolving legislation require us, among other things, to update our notices and develop new processes internally and with our partners to facilitate data subject rights requests. We may be subject to fines, penalties, or private actions in the event of non-compliance with such laws.</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Outside the United States, our clinical trial programs, research collaborations, and other processing activities implicate international data protection laws, including the General Data Protection Regulation ("GDPR") in the EU. The GDPR became effective in May 2018, increasing our responsibility and liability in relation to the processing of personal data of EU subjects. The GDPR, together with the national legislation of the EU member states governing the processing of personal data, impose strict obligations and restrictions on the ability to collect, analyze and transfer personal data, including health data and samples from clinical trials and adverse event reporting. In particular, these obligations and restrictions concern the consent of the individuals to whom the personal data relates, the information provided to the individuals, the sharing of personal data with third parties, the transfer of personal data out of the EU, security breach notifications, security and confidentiality of the personal data and imposition of substantial potential fines for violations of the data protection obligations. Data protection authorities from the different EU member states have promulgated national privacy laws that impose additional requirements, which add to the complexity of processing and transferring personal data in the EU. Some countries outside of the EU have reacted to the GDPR by promulgating and enacting new privacy legislation that reflects similar principals and obligations on companies that operate and process their subject's personal data. Any failure or perceived failure to comply with privacy-related legal obligations, or any</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5" w:name="page36"/>
    <w:bookmarkEnd w:id="3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compromise of security of personal data, may result in governmental enforcement actions, litigation, contractual indemnity claims, or restraining orders that would impact our ability to flow data globally. As we expand our presence into new countries, we must continue to assess our privacy controls to enable the processing of personal data. Guidance on implementation and compliance practices are often updated or otherwise revised. See Part I, Item 1A. "Risk Factors - Other Regulatory and Litigation Risks - </w:t>
      </w:r>
      <w:r>
        <w:rPr>
          <w:rFonts w:ascii="Arial" w:cs="Arial" w:eastAsia="Arial" w:hAnsi="Arial"/>
          <w:sz w:val="17"/>
          <w:szCs w:val="17"/>
          <w:i w:val="1"/>
          <w:iCs w:val="1"/>
          <w:color w:val="auto"/>
        </w:rPr>
        <w:t>We face potential liability related to the personal information we collect from individuals, data</w:t>
      </w:r>
      <w:r>
        <w:rPr>
          <w:rFonts w:ascii="Arial" w:cs="Arial" w:eastAsia="Arial" w:hAnsi="Arial"/>
          <w:sz w:val="17"/>
          <w:szCs w:val="17"/>
          <w:color w:val="auto"/>
        </w:rPr>
        <w:t xml:space="preserve"> </w:t>
      </w:r>
      <w:r>
        <w:rPr>
          <w:rFonts w:ascii="Arial" w:cs="Arial" w:eastAsia="Arial" w:hAnsi="Arial"/>
          <w:sz w:val="17"/>
          <w:szCs w:val="17"/>
          <w:i w:val="1"/>
          <w:iCs w:val="1"/>
          <w:color w:val="auto"/>
        </w:rPr>
        <w:t>brokers, or research institutions or obtain from clinical trials sponsored by us or our collaborators</w:t>
      </w:r>
      <w:r>
        <w:rPr>
          <w:rFonts w:ascii="Arial" w:cs="Arial" w:eastAsia="Arial" w:hAnsi="Arial"/>
          <w:sz w:val="17"/>
          <w:szCs w:val="17"/>
          <w:color w:val="auto"/>
        </w:rPr>
        <w:t>."</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foregoing, our present business is, and our future business may be, subject to regulation under the United States Atomic Energy Act, the Clean Air Act, the Clean Water Act, the Comprehensive Environmental Response, Compensation and Liability Act, the National Environmental Policy Act, the Toxic Substances Control Act, the Resource Conservation and Recovery Act, national restrictions, and other current and potential future local, state, federal, and foreign regulations.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manage our business as one segment which includes all activities related to the discovery, development, and commercialization of medicines for the treatment of serious diseases. For financial information related to our one segment, see Part II, Item 6. "Selected Financial Data" and our Consolidated Financial Statements and related notes.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compete in the highly competitive biotechnology and pharmaceuticals industries. Attracting, developing, and retaining skilled and experienced employees in research and development, manufacturing, sales and marketing, and other positions is crucial to our ability to compete effectively. Our ability to recruit and retain such employees depends on a number of factors, including our corporate culture and work environment, informed by our values and behaviors (which we call The Regeneron Way) and our corporate philosophy of "Doing Well by Doing Good," talent development and career opportunities, and compensation and benefits.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Profile</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2020, we had 9,123 full-time employees, consisting of 7,630 employed in the United States, 1,412 employed in Ireland, and 81 employed in the United Kingdom and other countries. Of these employees, 1,784 were within our research and preclinical development organization, 1,144 were within our global clinical development organization, and 4,445 were within our industrial operations and product supply organization. Company-wide, more than 1,000 of our full-time employees hold a Ph.D. and/or M.D. None of our employees are represented by a labor union, and our management considers its relations with our employees to be good.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employees represent a broad range of backgrounds, just like the people who take our medicines, and bring a wide array of perspectives and experiences that have helped us achieve our leadership position in the biotechnology and pharmaceuticals industries and the global marketplace. A key component of our corporate culture is our commitment to the promotion of diversity, equity, and inclusion ("DE&amp;I"). We believe this commitment allows us to better drive innovation and achieve our mission to repeatedly bring important new medicines to patients with serious diseases. Our DE&amp;I principles are reflected in our recruitment practices, our performance management processes, and our employee training. In addition, we support employee-led advocacy and interest groups that foster inclusion and provide meaningful professional development opportunities for our workforce, including Women in Science and Engineering at Regeneron and our Black Employee Resource Group.</w:t>
      </w:r>
    </w:p>
    <w:p>
      <w:pPr>
        <w:spacing w:after="0" w:line="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we are proud of our workforce diversity representation shown in the table below, we seek to continuously improve in this area. In April 2020, we announced our 2025 global responsibility goals, including a commitment to increase diversity in leadership and foster inclusion. To this end, we appointed an interim DE&amp;I leader in July 2020 and hired our permanent Chief Diversity, Equity &amp; Inclusion Officer in January 2021 to advance our DE&amp;I strategy. We also recently established a DE&amp;I steering committee of senior leaders to provide oversight and guidance as we implement additional programs to increase diversity and promote inclusion.</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6" w:name="page37"/>
    <w:bookmarkEnd w:id="3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Workforce Diversity Representation</w:t>
      </w:r>
      <w:r>
        <w:rPr>
          <w:rFonts w:ascii="Arial" w:cs="Arial" w:eastAsia="Arial" w:hAnsi="Arial"/>
          <w:sz w:val="23"/>
          <w:szCs w:val="23"/>
          <w:b w:val="1"/>
          <w:bCs w:val="1"/>
          <w:color w:val="auto"/>
          <w:vertAlign w:val="superscript"/>
        </w:rPr>
        <w:t>*</w:t>
      </w:r>
    </w:p>
    <w:tbl>
      <w:tblPr>
        <w:tblLayout w:type="fixed"/>
        <w:tblInd w:w="2860" w:type="dxa"/>
        <w:tblCellMar>
          <w:top w:w="0" w:type="dxa"/>
          <w:left w:w="0" w:type="dxa"/>
          <w:bottom w:w="0" w:type="dxa"/>
          <w:right w:w="0" w:type="dxa"/>
        </w:tblCellMar>
      </w:tblPr>
      <w:tr>
        <w:trPr>
          <w:trHeight w:val="250"/>
        </w:trPr>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Female Representation (Global)</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49.1 %</w:t>
            </w:r>
          </w:p>
        </w:tc>
      </w:tr>
      <w:tr>
        <w:trPr>
          <w:trHeight w:val="312"/>
        </w:trPr>
        <w:tc>
          <w:tcPr>
            <w:tcW w:w="3900" w:type="dxa"/>
            <w:vAlign w:val="bottom"/>
          </w:tcPr>
          <w:p>
            <w:pPr>
              <w:spacing w:after="0"/>
              <w:rPr>
                <w:sz w:val="20"/>
                <w:szCs w:val="20"/>
                <w:color w:val="auto"/>
              </w:rPr>
            </w:pPr>
            <w:r>
              <w:rPr>
                <w:rFonts w:ascii="Arial" w:cs="Arial" w:eastAsia="Arial" w:hAnsi="Arial"/>
                <w:sz w:val="18"/>
                <w:szCs w:val="18"/>
                <w:color w:val="auto"/>
              </w:rPr>
              <w:t>Minority Representation (U.S. Only)</w:t>
            </w:r>
            <w:r>
              <w:rPr>
                <w:rFonts w:ascii="Arial" w:cs="Arial" w:eastAsia="Arial" w:hAnsi="Arial"/>
                <w:sz w:val="23"/>
                <w:szCs w:val="23"/>
                <w:color w:val="auto"/>
                <w:vertAlign w:val="superscript"/>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24.9 %</w:t>
            </w:r>
          </w:p>
        </w:tc>
      </w:tr>
    </w:tbl>
    <w:p>
      <w:pPr>
        <w:spacing w:after="0" w:line="8" w:lineRule="exact"/>
        <w:rPr>
          <w:sz w:val="20"/>
          <w:szCs w:val="20"/>
          <w:color w:val="auto"/>
        </w:rPr>
      </w:pPr>
    </w:p>
    <w:p>
      <w:pPr>
        <w:ind w:left="3120" w:hanging="90"/>
        <w:spacing w:after="0"/>
        <w:tabs>
          <w:tab w:leader="none" w:pos="312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Based on full-time employees as of December 31, 2020</w:t>
      </w:r>
    </w:p>
    <w:p>
      <w:pPr>
        <w:spacing w:after="0" w:line="10" w:lineRule="exact"/>
        <w:rPr>
          <w:sz w:val="20"/>
          <w:szCs w:val="20"/>
          <w:color w:val="auto"/>
        </w:rPr>
      </w:pPr>
    </w:p>
    <w:p>
      <w:pPr>
        <w:ind w:left="3020" w:right="2900" w:firstLine="10"/>
        <w:spacing w:after="0" w:line="236" w:lineRule="auto"/>
        <w:tabs>
          <w:tab w:leader="none" w:pos="3166" w:val="left"/>
        </w:tabs>
        <w:numPr>
          <w:ilvl w:val="0"/>
          <w:numId w:val="16"/>
        </w:numPr>
        <w:rPr>
          <w:rFonts w:ascii="Arial" w:cs="Arial" w:eastAsia="Arial" w:hAnsi="Arial"/>
          <w:sz w:val="20"/>
          <w:szCs w:val="20"/>
          <w:color w:val="auto"/>
          <w:vertAlign w:val="superscript"/>
        </w:rPr>
      </w:pPr>
      <w:r>
        <w:rPr>
          <w:rFonts w:ascii="Arial" w:cs="Arial" w:eastAsia="Arial" w:hAnsi="Arial"/>
          <w:sz w:val="15"/>
          <w:szCs w:val="15"/>
          <w:color w:val="auto"/>
        </w:rPr>
        <w:t>Represents the percentage of our full-time employees employed in the United States that self-identified as belonging to a racial or ethnic minority group. The denominator used in this calculation includes employees who did not disclose information related to their race or ethnicity. Excluding those that did not disclose such information, the percentage shown in this table would be 31.5%.</w:t>
      </w:r>
    </w:p>
    <w:p>
      <w:pPr>
        <w:spacing w:after="0" w:line="2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Externally, we support DE&amp;I efforts in our community. For example, through our partnership with the Society for Science, we contribute a substantial amount annually to science, technology, engineering, and mathematics ("STEM") equity and outreach programs to help increase access to science research education and bridge opportunity gaps among students historically underrepresented in the sciences.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Wellness, Health, and Safety</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wellbeing of our employees is a primary focus as we believe that the most productive people are those who are at their best, both physically and mentally. We provide several programs related to employee health and wellness, including onsite amenities and programs such as meditation rooms, gyms, and farmers' markets. We also provide support for work-life balance through flex-time, remote working arrangements, child and elder care, and paid parental leave, among others.</w:t>
      </w:r>
    </w:p>
    <w:p>
      <w:pPr>
        <w:spacing w:after="0" w:line="1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Occupational health and safety is critical to our success. We are committed to meeting or exceeding all environmental, health, safety ("EHS"), and security regulations and have a range of programs, plans, and procedures to ensure the safety of all people who come to work at Regeneron. In addition, our 2025 global responsibility goals include a commitment to focus on workplace injury prevention in our drive toward zero incidents.</w:t>
      </w:r>
    </w:p>
    <w:p>
      <w:pPr>
        <w:spacing w:after="0" w:line="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response to the COVID-19 pandemic, we implemented changes in our business beginning in March 2020 to protect our employees and support appropriate health and safety protocols. For example, we have implemented work-from-home policies for a significant portion of our employees. For these remote employees, we provide ergonomic evaluations of at-home workstations, support information technology needs, and provide guidance for managers to ensure that employees remain connected and maintain physical, mental, and emotional wellbeing. For our essential employees who remain onsite in our laboratories and manufacturing facilities, we provide personal protective equipment and require masks to be worn; we have also implemented increased physical distancing in workspaces and enhanced cleaning protocols. We currently administer COVID-19 tests to all onsite employees and contractors weekly and have been regularly administering these tests for designated employees since the spring of 2020. For any employee who contracts or is exposed to COVID-19, we provide full pay for their entire recovery and quarantine time.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Growth and Development</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invest significant resources to develop talent with the right capabilities to deliver the growth and innovation needed to support our continued success. Our Talent Development department is dedicated to promoting individual, leader, team, and organizational development through a number of tools and services. We offer a variety of professional development courses for our employees and support employee continuing education, including through educational reimbursement and tuition forgiveness programs. In addition, we continue to invest in our current and future leaders through a number of leadership development courses and programs and feedback and coaching opportunities. In 2020, nearly 25% of job openings were filled by existing employees who were seeking career development opportunities.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Engagement</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engaging our employees, from their first day and throughout their career, is key to fostering new ideas and driving commitment and productivity. We communicate frequently and transparently with our employees through a variety of communication methods, including video and written communications, company forums and summits, annual engagement surveys, and follow-up pulse surveys.</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We are also committed to fostering employee volunteerism to reach our 2025 global responsibility goal of driving employee volunteer levels above national standards. Employees are encouraged and empowered to support organizations and causes that are important to them including through, among other things, our matching gift program, volunteer-time-off policy, and our company-wide annual day of service, </w:t>
      </w:r>
      <w:r>
        <w:rPr>
          <w:rFonts w:ascii="Arial" w:cs="Arial" w:eastAsia="Arial" w:hAnsi="Arial"/>
          <w:sz w:val="17"/>
          <w:szCs w:val="17"/>
          <w:i w:val="1"/>
          <w:iCs w:val="1"/>
          <w:color w:val="auto"/>
        </w:rPr>
        <w:t>Day for Doing Good</w:t>
      </w:r>
      <w:r>
        <w:rPr>
          <w:rFonts w:ascii="Arial" w:cs="Arial" w:eastAsia="Arial" w:hAnsi="Arial"/>
          <w:sz w:val="17"/>
          <w:szCs w:val="17"/>
          <w:color w:val="auto"/>
        </w:rPr>
        <w: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7" w:name="page38"/>
    <w:bookmarkEnd w:id="3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success of our employee engagement efforts is demonstrated by our employee retention rate of 94.4% in 2020, as well as the fact that approximately 92% of our employees who responded to our annual engagement survey said Regeneron is a great place to work. Additionally, for the sixth consecutive year, we were recognized on the </w:t>
      </w:r>
      <w:r>
        <w:rPr>
          <w:rFonts w:ascii="Arial" w:cs="Arial" w:eastAsia="Arial" w:hAnsi="Arial"/>
          <w:sz w:val="18"/>
          <w:szCs w:val="18"/>
          <w:i w:val="1"/>
          <w:iCs w:val="1"/>
          <w:color w:val="auto"/>
        </w:rPr>
        <w:t>Fortune</w:t>
      </w:r>
      <w:r>
        <w:rPr>
          <w:rFonts w:ascii="Arial" w:cs="Arial" w:eastAsia="Arial" w:hAnsi="Arial"/>
          <w:sz w:val="18"/>
          <w:szCs w:val="18"/>
          <w:color w:val="auto"/>
        </w:rPr>
        <w:t xml:space="preserve"> "100 Best Companies to Work For" list in 2020. In addition, we have placed either first or second for the past ten years in </w:t>
      </w:r>
      <w:r>
        <w:rPr>
          <w:rFonts w:ascii="Arial" w:cs="Arial" w:eastAsia="Arial" w:hAnsi="Arial"/>
          <w:sz w:val="18"/>
          <w:szCs w:val="18"/>
          <w:i w:val="1"/>
          <w:iCs w:val="1"/>
          <w:color w:val="auto"/>
        </w:rPr>
        <w:t>Science</w:t>
      </w:r>
      <w:r>
        <w:rPr>
          <w:rFonts w:ascii="Arial" w:cs="Arial" w:eastAsia="Arial" w:hAnsi="Arial"/>
          <w:sz w:val="18"/>
          <w:szCs w:val="18"/>
          <w:color w:val="auto"/>
        </w:rPr>
        <w:t xml:space="preserve"> magazine’s annual "Top Employers Survey" of the global biotechnology and pharmaceutical industry, including a first-place finish in 2020.</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committed to rewarding and supporting our employees in order to continue to attract and retain top talent. We believe this commitment supports our core strategy of creating and advancing a high-quality product pipeline. Employee engagement, commitment, and achievements are key drivers of pipeline success and therefore our long-term performance. The primary underpinning of our pay philosophy is to award equity-based pay to all eligible employees to ensure that when we deliver for patients and for shareholders, everyone shares in the upside growth. Our practice, therefore, has been to award initial equity grants to all new hires, in addition to our comprehensive annual equity program. Total employee compensation packages (which varies by country and region) include market-competitive pay (with the opportunity to receive above-market rewards), broad-based grants of equity-based awards, healthcare benefits, retirement savings options, and matching contributions.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incorporated in the State of New York in 1988 and publicly listed in 1991. Our principal executive offices are located at 777 Old Saw Mill River Road, Tarrytown, New York 10591, and our telephone number at that address is (914) 847-7000.</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make available free of charge on or through our Internet website (</w:t>
      </w:r>
      <w:r>
        <w:rPr>
          <w:rFonts w:ascii="Arial" w:cs="Arial" w:eastAsia="Arial" w:hAnsi="Arial"/>
          <w:sz w:val="18"/>
          <w:szCs w:val="18"/>
          <w:i w:val="1"/>
          <w:iCs w:val="1"/>
          <w:color w:val="auto"/>
        </w:rPr>
        <w:t>http://www.regeneron.com</w:t>
      </w:r>
      <w:r>
        <w:rPr>
          <w:rFonts w:ascii="Arial" w:cs="Arial" w:eastAsia="Arial" w:hAnsi="Arial"/>
          <w:sz w:val="18"/>
          <w:szCs w:val="18"/>
          <w:color w:val="auto"/>
        </w:rPr>
        <w:t>)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Securities and Exchange Commission ("SEC").</w:t>
      </w:r>
    </w:p>
    <w:p>
      <w:pPr>
        <w:spacing w:after="0" w:line="11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Investors and other interested parties should note that we use our media and investor relations website (</w:t>
      </w:r>
      <w:r>
        <w:rPr>
          <w:rFonts w:ascii="Arial" w:cs="Arial" w:eastAsia="Arial" w:hAnsi="Arial"/>
          <w:sz w:val="16"/>
          <w:szCs w:val="16"/>
          <w:i w:val="1"/>
          <w:iCs w:val="1"/>
          <w:color w:val="auto"/>
        </w:rPr>
        <w:t>http://newsroom.regeneron.com</w:t>
      </w:r>
      <w:r>
        <w:rPr>
          <w:rFonts w:ascii="Arial" w:cs="Arial" w:eastAsia="Arial" w:hAnsi="Arial"/>
          <w:sz w:val="16"/>
          <w:szCs w:val="16"/>
          <w:color w:val="auto"/>
        </w:rPr>
        <w:t>) and our social media channels to publish important information about Regeneron, including information that may be deemed material to investors. We encourage investors and other interested parties to review the information we may publish through our media and investor relations website and the social media channels listed on our media and investor relations website, in addition to our SEC filings, press releases, conference calls, and webcasts.</w:t>
      </w:r>
    </w:p>
    <w:p>
      <w:pPr>
        <w:spacing w:after="0" w:line="76" w:lineRule="exact"/>
        <w:rPr>
          <w:sz w:val="20"/>
          <w:szCs w:val="20"/>
          <w:color w:val="auto"/>
        </w:rPr>
      </w:pPr>
    </w:p>
    <w:p>
      <w:pPr>
        <w:ind w:right="940"/>
        <w:spacing w:after="0" w:line="422" w:lineRule="auto"/>
        <w:rPr>
          <w:sz w:val="20"/>
          <w:szCs w:val="20"/>
          <w:color w:val="auto"/>
        </w:rPr>
      </w:pPr>
      <w:r>
        <w:rPr>
          <w:rFonts w:ascii="Arial" w:cs="Arial" w:eastAsia="Arial" w:hAnsi="Arial"/>
          <w:sz w:val="18"/>
          <w:szCs w:val="18"/>
          <w:color w:val="auto"/>
        </w:rPr>
        <w:t xml:space="preserve">The information contained on our websites and social media channels is not included as a part of, or incorporated by reference into, this report. </w:t>
      </w:r>
      <w:r>
        <w:rPr>
          <w:rFonts w:ascii="Arial" w:cs="Arial" w:eastAsia="Arial" w:hAnsi="Arial"/>
          <w:sz w:val="18"/>
          <w:szCs w:val="18"/>
          <w:b w:val="1"/>
          <w:bCs w:val="1"/>
          <w:color w:val="auto"/>
        </w:rPr>
        <w:t>ITEM 1A. RISK FACTORS</w:t>
      </w:r>
    </w:p>
    <w:p>
      <w:pPr>
        <w:spacing w:after="0" w:line="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 For purposes of this section (as well as this report in general), references to our products encompass products marketed or otherwise commercialized by us and/or our collaborators and references to our product candidates encompass product candidates in development by us and/or our collaborators (in the case of collaborated products or product candidates under the terms of the applicable collaboration agreements), unless otherwise stated or required by the context. In this section, we first provide a summary of the more significant risks and uncertainties we face and then provide a full set of risk factors and discuss them in greater detail.</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Summary of Risk Factors</w:t>
      </w:r>
    </w:p>
    <w:p>
      <w:pPr>
        <w:spacing w:after="0" w:line="14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As noted above, we are subject to a number of risks that if realized could materially harm our business, prospects, operating results, and financial condition. Some of the more significant risks and uncertainties we face include those summarized below. The summary below is not exhaustive and is qualified by reference to the full set of risk factors set forth in this "Risk Factors" section. Please carefully consider all of the information in this Form 10-K, including the full set of risks set forth in this "Risk Factors" section, and in our other filings with the U.S. Securities and Exchange Commission before making an investment decision regarding Regeneron.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162" w:lineRule="exact"/>
        <w:rPr>
          <w:sz w:val="20"/>
          <w:szCs w:val="20"/>
          <w:color w:val="auto"/>
        </w:rPr>
      </w:pPr>
    </w:p>
    <w:p>
      <w:pPr>
        <w:jc w:val="both"/>
        <w:ind w:left="660" w:hanging="328"/>
        <w:spacing w:after="0" w:line="271"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business may be further adversely affected by the effects of the COVID-19 pandemic, including those impacting our manufacturing and supply chain operations, research and development efforts, commercial operations and sales force, administrative personnel, third-party service providers, and business partners and customers, as well as the demand for our marketed products.</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face risks related to the development, manufacturing, and potential commercialization of REGEN-COV.</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Risks</w:t>
      </w:r>
    </w:p>
    <w:p>
      <w:pPr>
        <w:spacing w:after="0" w:line="16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substantially dependent on the success of EYLEA and Dupixent.</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of our products are dependent on the availability and extent of reimbursement from third-party payors, including private payors and government programs such as Medicare and Medicaid, which could change due to various factors such as the recently announced "most-favored-nation" drug price control measures.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commercial success of our products is subject to significant competition from products or product candidates that may be superior to, or more cost effective than, our products or product candidates.</w:t>
      </w:r>
    </w:p>
    <w:p>
      <w:pPr>
        <w:ind w:left="660" w:hanging="328"/>
        <w:spacing w:after="0" w:line="26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and our collaborators on which we rely to commercialize some of our marketed products may be unable to continue to successfully commercialize or co-commercialize our products, both in the United States and abroad.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Development Risks</w:t>
      </w:r>
    </w:p>
    <w:p>
      <w:pPr>
        <w:spacing w:after="0" w:line="148"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Drug development and obtaining and maintaining regulatory approval for drug products is costly, time-consuming, and highly uncertain.</w:t>
      </w:r>
    </w:p>
    <w:p>
      <w:pPr>
        <w:spacing w:after="0" w:line="34" w:lineRule="exact"/>
        <w:rPr>
          <w:rFonts w:ascii="Arial" w:cs="Arial" w:eastAsia="Arial" w:hAnsi="Arial"/>
          <w:sz w:val="17"/>
          <w:szCs w:val="17"/>
          <w:color w:val="auto"/>
        </w:rPr>
      </w:pPr>
    </w:p>
    <w:p>
      <w:pPr>
        <w:jc w:val="both"/>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Serious complications or side effects in connection with the use or development of our products or product candidates could cause our regulatory approvals to be revoked or limited or lead to delay or discontinuation of development of our product candidates or new indications for our marketed products.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unable to formulate or manufacture our product candidates in a way that is suitable for clinical or commercial use, which would delay or prevent continued development of such candidates and/or receipt of regulatory approval or commercial sale.</w:t>
      </w:r>
    </w:p>
    <w:p>
      <w:pPr>
        <w:ind w:left="660" w:hanging="328"/>
        <w:spacing w:after="0" w:line="26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Many of our products are intended to be used in combination with drug-delivery devices, which may result in additional regulatory, commercialization, and other risks.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Market Exclusivity Risks</w:t>
      </w:r>
    </w:p>
    <w:p>
      <w:pPr>
        <w:spacing w:after="0" w:line="162" w:lineRule="exact"/>
        <w:rPr>
          <w:sz w:val="20"/>
          <w:szCs w:val="20"/>
          <w:color w:val="auto"/>
        </w:rPr>
      </w:pPr>
    </w:p>
    <w:p>
      <w:pPr>
        <w:ind w:left="660" w:hanging="328"/>
        <w:spacing w:after="0" w:line="258"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be able to protect the confidentiality of our trade secrets, and our patents or other means of defending our intellectual property may be insufficient to protect our proprietary rights.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Patents or proprietary rights of others may restrict our development, manufacturing, and/or commercialization efforts and subject us to patent litigation and other proceedings that could find us liable for damages.</w:t>
      </w:r>
    </w:p>
    <w:p>
      <w:pPr>
        <w:ind w:left="660" w:hanging="328"/>
        <w:spacing w:after="0" w:line="26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 or limitation of patent rights, and regulatory pathways for biosimilar competition, could reduce the duration of market exclusivity for our products, including EYLEA.</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 Risks</w:t>
      </w:r>
    </w:p>
    <w:p>
      <w:pPr>
        <w:spacing w:after="0" w:line="162" w:lineRule="exact"/>
        <w:rPr>
          <w:sz w:val="20"/>
          <w:szCs w:val="20"/>
          <w:color w:val="auto"/>
        </w:rPr>
      </w:pPr>
    </w:p>
    <w:p>
      <w:pPr>
        <w:ind w:left="660" w:right="40" w:hanging="328"/>
        <w:spacing w:after="0" w:line="269"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rely on limited internal and contracted manufacturing and supply chain capacity, which could adversely affect our ability to commercialize our products and to advance our clinical pipeline. As we increase our production in response to higher product demand or in anticipation of a potential regulatory approval, our current manufacturing capacity will likely not be sufficient, and our dependence on our collaborators and/or contract manufacturers may increase, to produce adequate quantities of drug material for both commercial and clinical purposes.</w:t>
      </w:r>
    </w:p>
    <w:p>
      <w:pPr>
        <w:spacing w:after="0" w:line="1" w:lineRule="exact"/>
        <w:rPr>
          <w:rFonts w:ascii="Arial" w:cs="Arial" w:eastAsia="Arial" w:hAnsi="Arial"/>
          <w:sz w:val="16"/>
          <w:szCs w:val="16"/>
          <w:color w:val="auto"/>
        </w:rPr>
      </w:pPr>
    </w:p>
    <w:p>
      <w:pPr>
        <w:jc w:val="both"/>
        <w:ind w:left="660" w:hanging="328"/>
        <w:spacing w:after="0" w:line="249"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Expanding our manufacturing capacity and establishing fill/finish capabilities will be costly and we may be unsuccessful in doing so in a timely manner, which could delay or prevent the launch and successful commercialization of our products approved for marketing and could jeopardize our clinical development programs.</w:t>
      </w:r>
    </w:p>
    <w:p>
      <w:pPr>
        <w:spacing w:after="0" w:line="2"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manufacture products may be impaired if any of our or our collaborators’ manufacturing activities, or the activities of other third parties involved in our manufacture and supply chain, are found to infringe patents of others.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9" w:name="page40"/>
    <w:bookmarkEnd w:id="3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660" w:hanging="328"/>
        <w:spacing w:after="0" w:line="255"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sales of our marketed products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2"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Third-party service or supply failures, failures at our manufacturing facilities in Rensselaer, New York and Limerick, Ireland, or failures at the facilities of any other party participating in the supply chain, would adversely affect our ability to supply our products.</w:t>
      </w:r>
    </w:p>
    <w:p>
      <w:pPr>
        <w:jc w:val="both"/>
        <w:ind w:left="660" w:hanging="328"/>
        <w:spacing w:after="0" w:line="277"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or our collaborators’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Regulatory and Litigation Risks</w:t>
      </w:r>
    </w:p>
    <w:p>
      <w:pPr>
        <w:spacing w:after="0" w:line="148" w:lineRule="exact"/>
        <w:rPr>
          <w:sz w:val="20"/>
          <w:szCs w:val="20"/>
          <w:color w:val="auto"/>
        </w:rPr>
      </w:pPr>
    </w:p>
    <w:p>
      <w:pPr>
        <w:ind w:left="660" w:hanging="328"/>
        <w:spacing w:after="0" w:line="258"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the testing or use of our products harms people, or is perceived to harm them even when such harm is unrelated to our products, we could be subject to costly and damaging product liability claims.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business activities have been, and may in the future be, challenged under federal or state healthcare laws, which may subject us to civil or criminal proceedings, investigations, or penalties.</w:t>
      </w:r>
    </w:p>
    <w:p>
      <w:pPr>
        <w:ind w:left="66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we fail to comply with our reporting and payment obligations under the Medicaid Drug Rebate program or other governmental pricing programs, we could be subject to additional reimbursement requirements, penalties, sanctions, and fines.</w:t>
      </w:r>
    </w:p>
    <w:p>
      <w:pPr>
        <w:ind w:left="66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face risks from the improper conduct of our employees, agents, contractors, or collaborators, including those relating to potential non-compliance with relevant laws and regulations such as the Foreign Corrupt Practices Act.</w:t>
      </w: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operations are subject to environmental, health, and safety laws and regulations, including those governing the use of hazardous materials.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laws and regulations affecting the healthcare industry could adversely affect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Tax liabilities and risks associated with our operations outside of the United States could adversely affect our business.</w:t>
      </w:r>
    </w:p>
    <w:p>
      <w:pPr>
        <w:spacing w:after="0" w:line="9" w:lineRule="exact"/>
        <w:rPr>
          <w:rFonts w:ascii="Arial" w:cs="Arial" w:eastAsia="Arial" w:hAnsi="Arial"/>
          <w:sz w:val="18"/>
          <w:szCs w:val="18"/>
          <w:color w:val="auto"/>
        </w:rPr>
      </w:pPr>
    </w:p>
    <w:p>
      <w:pPr>
        <w:ind w:left="660" w:right="20" w:hanging="328"/>
        <w:spacing w:after="0" w:line="26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face potential liability related to the personal information we collect from individuals, data brokers, or research institutions or obtain from clinical trials sponsored by us or our collaborators.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62" w:lineRule="exact"/>
        <w:rPr>
          <w:sz w:val="20"/>
          <w:szCs w:val="20"/>
          <w:color w:val="auto"/>
        </w:rPr>
      </w:pPr>
    </w:p>
    <w:p>
      <w:pPr>
        <w:ind w:left="660" w:right="20" w:hanging="328"/>
        <w:spacing w:after="0" w:line="258"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our collaborations with Sanofi or Bayer are terminated or breached, our ability to develop, manufacture, and commercialize certain of our products and product candidates in the time expected, or at all, would be materially harmed.</w:t>
      </w:r>
    </w:p>
    <w:p>
      <w:pPr>
        <w:spacing w:after="0" w:line="1"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collaborators and service providers may fail to perform adequately in their efforts to support the development, manufacture, and commercialization of our drug candidates and current and future products.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Risks Factors – Risks Related to Employees, Information Technology, Financial Results and Liquidity, and Our Common Stock</w:t>
      </w:r>
    </w:p>
    <w:p>
      <w:pPr>
        <w:spacing w:after="0" w:line="173" w:lineRule="exact"/>
        <w:rPr>
          <w:sz w:val="20"/>
          <w:szCs w:val="20"/>
          <w:color w:val="auto"/>
        </w:rPr>
      </w:pPr>
    </w:p>
    <w:p>
      <w:pPr>
        <w:ind w:left="660" w:hanging="328"/>
        <w:spacing w:after="0" w:line="258"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business is dependent on our key personnel and will be harmed if we cannot recruit and retain leaders in our research, development, manufacturing, and commercial organizations.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disruptions of information technology systems or breaches of data security could adversely affect our business.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need additional funding in the future, which may not be available to us, and which may force us to delay, reduce, or eliminate our product development programs or commercialization efforts.</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indebtedness could adversely impact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stock price is extremely volatile.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existing shareholders may be able to exert significant influence over matters requiring shareholder approval and over our management.</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further adversely affected by the effects of the COVID-19 pandemic.</w:t>
      </w:r>
    </w:p>
    <w:p>
      <w:pPr>
        <w:spacing w:after="0" w:line="15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December 2019, a novel strain of coronavirus, SARS-CoV-2, causing a disease referred to as COVID-19, was reported to have surfaced in Wuhan, China. It has since spread around the world, including the United States; and, in March 2020, the World Health Organization declared the COVID-19 outbreak a pandemic. This pandemic has adversely affected or has the potential to adversely affect, among other things, the economic and financial markets and labor resources of the countries in which we operate; our manufacturing and supply chain operations, research and development efforts, commercial operations and sales force,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0" w:name="page41"/>
    <w:bookmarkEnd w:id="4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personnel, third-party service providers, and business partners and customers; and the demand for our marketed products.</w:t>
      </w:r>
    </w:p>
    <w:p>
      <w:pPr>
        <w:spacing w:after="0" w:line="13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COVID-19 pandemic has resulted in travel and other restrictions to reduce the spread of the disease, including governmental orders across the globe, which, among other things, direct individuals to shelter at their places of residence, direct businesses and governmental agencies to cease non-essential operations at physical locations, prohibit certain non-essential gatherings, maintain social distancing, and order cessation of non-essential travel. As a result of these developments, we have implemented work-from-home policies for a significant portion of our employees (except those deemed critical, including those working in our laboratories and manufacturing facilities). The effects of shelter-in-place and social distancing orders, government-imposed quarantines, and work-from-home policies may further negatively impact productivity, disrupt our business, and delay our clinical programs and development timelines beyond the delays we have already experienced and disclosed, the magnitude of which will depend, in part, on the length and severity of the restrictions and other limitations on our ability to conduct our business in the ordinary course. Such restrictions and limitations may also further negatively impact our access to regulatory authorities (which are affected, among other things, by applicable travel restrictions and may be delayed in responding to inquiries, reviewing filings, and conducting inspections); our ability to perform regularly scheduled quality checks and maintenance; and our ability to obtain services from third-party specialty vendors and other providers or to access their expertise as fully and timely as needed. The COVID-19 pandemic may also result in the loss of some of our key personnel, either temporarily or permanently. In addition, our sales and marketing efforts have been negatively impacted and may be further negatively impacted by postponement or cancellation of face-to-face meetings and restrictions on access by non-essential personnel to hospitals or clinics to the extent such measures slow down adoption or further commercialization of our marketed products. The demand for our marketed products may also be adversely impacted by the restrictions and limitations adopted in response to the COVID-19 pandemic, particularly to the extent they affect the patients' ability or willingness to start or continue treatment with our marketed products. Any of the foregoing factors may result in lower net product sales of our marketed products. For example, net product sales of EYLEA in the United States decreased for the three months ended June 30, 2020, compared to the same period in 2019, due in part to the impact of the COVID-19 pandemic. See Part II, Item 7. "Management's Discussion and Analysis of Financial Condition and Results of Operations - Results of Operations" for a discussion of our net product sales. Demand for some or all of our marketed products may continue to be reduced while the shelter-in-place or social distancing orders are in effect and, as a result, some of our inventory may become obsolete and may need to be written off, impacting our operating results. These and similar, and perhaps more severe, disruptions in our operations may materially adversely impact our business, operating results, and financial condition.</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Quarantines, shelter-in-place, social distancing, and similar government orders (or the perception that such orders, shutdowns, or other restrictions on the conduct of business operations could occur) related to COVID-19 or other infectious diseases are impacting personnel at our research and manufacturing facilities, our suppliers, and other third parties on which we rely, and are also impacting the availability or cost of materials produced by or purchased from such parties, resulting in supply chain strains or disruptions that may become material. While some materials and services may be obtained from more than one supplier or provider, port closures and other restrictions resulting from the COVID-19 pandemic (including any government restrictions or limitations, such as those that may be imposed under the Defense Production Act) could materially disrupt our supply chain or limit our ability to obtain sufficient materials or services (including fill/finish services) required for the development and manufacturing of our products and product candidates as well as our research efforts. If microbial, viral (including COVID-19), or other contaminations are discovered in our products, product candidates, the materials used for their production, or in our facilities, or in the facilities of our collaborators, third-party contract manufacturers, or other providers or suppliers, the affected facilities may need to be closed or may otherwise be affected for an extended period of time, or the contamination may result in other delays or disruptions in our direct or indirect supply chain.</w:t>
      </w:r>
    </w:p>
    <w:p>
      <w:pPr>
        <w:spacing w:after="0" w:line="11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In addition, infections and deaths related to COVID-19 have disrupted and may continue to disrupt the United States' healthcare and healthcare regulatory systems. Such disruptions could divert healthcare resources away from, or materially delay, FDA review and potential approval of our product candidates and new indications for our marketed products. It is unknown how long these disruptions could continue. In addition, some of our clinical trials have been and may continue to be affected by the COVID-19 pandemic. This impact includes delays in site initiation and patient enrollment due to prioritization of hospital resources toward the COVID-19 pandemic, patients' inability to comply with clinical trial protocols if quarantines impede patient movement or interrupt healthcare services, and restrictions on trial initiations imposed by hospitals and other trial sites as a result of the COVID-19 pandemic. Similarly, our ability to recruit and retain patients and principal investigators and site staff who, as healthcare providers, may have heightened exposure to COVID-19, has been and may continue to be delayed or disrupted. For example, as noted above in Part I, Item 1. "Business - Programs in Clinical Development," the ongoing COVID-19 pandemic continues to impact clinical trial execution in many regions across the world for us and our collaborators. We will continue to evaluate the adverse impact of the COVID-19 pandemic on an individual trial basis. The disruptions caused by the COVID-19 pandemic may further negatively impact the progress of our clinical trials, including the readouts of trial results, the timing of regulatory review, and any anticipated program milestones. Further, while we continue to focus on developing REGEN-COV to address the COVID-19 pandemic, our research programs and the development of our other product candidates may need to be further de-prioritized. Any elongation or de-prioritization of our research and development programs and clinical trials or delay in</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1" w:name="page42"/>
    <w:bookmarkEnd w:id="4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regulatory review resulting from such disruptions could materially affect the development and study of our product candidates, which would increase our operating expenses and may have a material adverse effect on our operating results.</w:t>
      </w:r>
    </w:p>
    <w:p>
      <w:pPr>
        <w:spacing w:after="0" w:line="9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While the potential economic impact brought by, and the duration of, the COVID-19 pandemic may be difficult to assess or predict, it recently caused significant disruption of global financial markets and could cause more economic disruption in the future. This disruption, if sustained or recurrent, could make it more difficult for us to access capital if needed. In addition, a recession or market correction resulting from the spread of COVID-19 could materially affect our business and the value of our Common Stock.</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global COVID-19 pandemic continues to rapidly evolve. The ultimate impact of this pandemic is highly uncertain and subject to change. We do not yet know the full extent of potential delays or impacts on our business, our clinical trials, healthcare systems, or the global economy as a whole. These effects could have a material impact on our operations.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the extent the COVID-19 pandemic adversely affects our business, prospects, operating results, or financial condition, it may also have the effect of heightening many of the other risks described in this "Risk Factors" section.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development, manufacturing, and commercialization of REGEN-COV.</w:t>
      </w:r>
    </w:p>
    <w:p>
      <w:pPr>
        <w:spacing w:after="0" w:line="144"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In response to the recent global outbreak of COVID-19, we are pursuing the development, manufacturing, and commercialization of REGEN-COV, a novel investigational antibody cocktail treatment designed to prevent and treat infection from the SARS-CoV-2 virus that received an EUA from the FDA in November 2020. There can be no assurance with respect to how long the EUA will remain in effect and whether the EUA is revoked by the FDA based on its determination that the underlying health emergency no longer exists or warrants such authorization or other reasons. In addition, while the EUA was granted following our announcement of positive results from the ongoing Phase 2/3 seamless trial in non-hospitalized patients with COVID-19, there are multiple ongoing clinical trials to evaluate the safety and efficacy of the antibody cocktail and there is no assurance of favorable results from any ongoing or future clinical trials or the timing of their completion. It is possible that the FDA and other regulatory authorities may not grant the antibody cocktail full marketing approval for the treatment of COVID-19, or that any marketing approvals, if granted, may have significant limitations on its use. Further, other parties may be successful in developing a more effective treatment for COVID-19; and utilization of REGEN-COV may also be adversely impacted by other factors, such as the rollout of vaccines providing acquired immunity against COVID-19. As a result, we may never be successful in fully commercializing REGEN-COV. The intense public interest, including speculation by the media, in the development and commercialization of REGEN-COV has caused significant volatility in our stock price, which we expect to continue as data and other information from the ongoing and any future clinical trials evaluating REGEN-COV and third-party product candidates for the treatment or prevention of COVID-19 as well as any other regulatory actions become public.</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also face risks related to our significant investment in the development, supply, allocation, distribution, pricing, and commercialization of REGEN-COV. Given the severity and urgency of the COVID-19 pandemic, we have committed significant capital and resources to fund and supply clinical trials and to accelerate and scale up the production of REGEN-COV, which involves a complex manufacturing process that is both resource- and time-sensitive. We expect our investment in the development and manufacture of REGEN-COV to continue through 2021 and potentially beyond, although the magnitude of our investment will be subject to clinical data results, the duration of the COVID-19 pandemic, and other factors, including regulatory outcomes. If we are unable to maintain the EUA or obtain regulatory approvals, or if we make a strategic decision to discontinue development of REGEN-COV or are otherwise not successful in the commercialization of REGEN-COV, we will be unable to recoup our significant expenses incurred to date and in the future related to the development and production of REGEN-COV.</w:t>
      </w:r>
    </w:p>
    <w:p>
      <w:pPr>
        <w:spacing w:after="0" w:line="10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 addition, our internal manufacturing capacity may not be sufficient to cover the demand for REGEN-COV. While we have entered into a collaboration agreement with Roche to develop, manufacture, and distribute REGEN-COV, we cannot be certain that the technology transfer process required to allow Roche to manufacture REGEN-COV will be completed in the expected time frame or at all nor can we be certain that this collaboration will result in the anticipated increase in the current manufacturing and distribution capacity for REGEN-COV or that any increased manufacturing and distribution capacity will be sufficient. In addition, we rely entirely on third parties for filling and finishing services for REGEN-COV. Our third-party fill/finish providers may not have sufficient capacity or may otherwise not be able to provide such services on a timely basis in the quantities requested (such as because they devote their capacity to other drugs or vaccines against COVID-19), which we have recently experienced. The ability of our third-party providers to deliver such services to us may further be adversely impacted by the imposition of government restrictions or limitations (including those that may be imposed under the Defense Production Act). If we are unable to timely enter into alternative arrangements, or if such alternative arrangements are not available on satisfactory terms or at all, we may experience delays in the development, manufacturing, and distribution of REGEN-COV, which could, among other things, prevent us from meeting our supply targets under our agreements with the U.S. government.</w:t>
      </w:r>
    </w:p>
    <w:p>
      <w:pPr>
        <w:spacing w:after="0" w:line="9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and Roche also face challenges related to the allocation of existing and future supply of REGEN-COV, particularly with respect to geographic distribution. As supplies of REGEN-COV are expected to remain constrained, it is possible that the U.S. government may limit or restrict our ability to distribute and commercialize REGEN-COV outside of the United States. In addition, as a result of the emergency situations in many countries, there is a heightened risk that REGEN-COV may be subject to</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2" w:name="page43"/>
    <w:bookmarkEnd w:id="4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adverse governmental actions in certain countries. The U.S. government may exercise or assert certain rights with respect to our inventions, products, or product candidates. For example, under the Defense Production Act, the U.S. government may, among other things, require domestic industries to provide essential goods and services needed for the national defense, such as drug material or other supplies needed to treat COVID-19 patients, which could require us to allocate manufacturing capacity in a way that impacts our regular operations. In addition, our agreements with the U.S. government contain provisions granting the U.S. government certain rights relating to products, product candidates, and related inventions (as applicable) covered by those agreements. For example, our July 2020 agreement with the U.S. government to manufacture and deliver REGEN-COV to the U.S. government gives the U.S. government, among other rights, the right to require us to grant a non-exclusive license to applicable inventions to a third party if such action is deemed necessary to alleviate certain health or safety needs. This right may be triggered if we, for example, do not manufacture or supply sufficient product to address such needs. If the U.S. government exercises or asserts any such rights or imposes these or similar measures with respect to our products, product candidates, or related inventions (including REGEN-COV), it may adversely impact our business and results of operations. Foreign governments (including the government of Ireland, where we have manufacturing facilities) may have similar rights or attempt to assert any such rights. Further, we have observed and are likely to continue to face significant public attention and scrutiny over the complex decisions made regarding the REGEN-COV development program, including any allocation, distribution, or pricing decisions with respect to REGEN-COV. If we are unable to successfully manage these risks, we could face significant reputational harm, which could negatively affect our stock price.</w:t>
      </w:r>
    </w:p>
    <w:p>
      <w:pPr>
        <w:spacing w:after="0" w:line="90" w:lineRule="exact"/>
        <w:rPr>
          <w:sz w:val="20"/>
          <w:szCs w:val="20"/>
          <w:color w:val="auto"/>
        </w:rPr>
      </w:pPr>
    </w:p>
    <w:p>
      <w:pPr>
        <w:ind w:right="900"/>
        <w:spacing w:after="0" w:line="424" w:lineRule="auto"/>
        <w:rPr>
          <w:sz w:val="20"/>
          <w:szCs w:val="20"/>
          <w:color w:val="auto"/>
        </w:rPr>
      </w:pPr>
      <w:r>
        <w:rPr>
          <w:rFonts w:ascii="Arial" w:cs="Arial" w:eastAsia="Arial" w:hAnsi="Arial"/>
          <w:sz w:val="18"/>
          <w:szCs w:val="18"/>
          <w:b w:val="1"/>
          <w:bCs w:val="1"/>
          <w:color w:val="auto"/>
        </w:rPr>
        <w:t xml:space="preserve">Risks Related to Commercialization of Our Marketed Products, Product Candidates, and New Indications for Our Marketed Products </w:t>
      </w:r>
      <w:r>
        <w:rPr>
          <w:rFonts w:ascii="Arial" w:cs="Arial" w:eastAsia="Arial" w:hAnsi="Arial"/>
          <w:sz w:val="18"/>
          <w:szCs w:val="18"/>
          <w:b w:val="1"/>
          <w:bCs w:val="1"/>
          <w:i w:val="1"/>
          <w:iCs w:val="1"/>
          <w:color w:val="auto"/>
        </w:rPr>
        <w:t>We are substantially dependent on the success of EYLEA and Dupixent.</w:t>
      </w:r>
    </w:p>
    <w:p>
      <w:pPr>
        <w:spacing w:after="0" w:line="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EYLEA net sales represent a substantial portion of our revenues and this concentration of our net sales in a single product makes us substantially dependent on that product. For the years ended December 31, 2020 and 2019, EYLEA net sales in the United States represented 58% and 71% of our total revenues, respectively. If we were to experience difficulty with the commercialization of EYLEA in the United States or if Bayer were to experience any difficulty with the commercialization of EYLEA outside the United States (including as a result of the COVID-19 pandemic discussed above), or if we and Bayer are unable to maintain current marketing approvals of EYLEA, we may experience a reduction in revenue and may not be able to sustain profitability, and our business, prospects, operating results, and financial condition would be materially harmed.</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have been increasingly dependent on our share of profits from the commercialization of Dupixent under our Antibody Collaboration with Sanofi. If we or Sanofi were to experience any difficulty with the commercialization of Dupixent or if we or Sanofi are unable to maintain current marketing approvals of Dupixent, we may experience a reduction in revenue and our business, prospects, operating results, and financial condition would be materially harmed.</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or our collaborators are unable to continue to successfully commercialize our products, our business, prospects, operating results, and financial condition will be materially harmed.</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that the degree of commercial success of our marketed products will continue to depend on many factors, including the following (as applicable):</w:t>
      </w:r>
    </w:p>
    <w:p>
      <w:pPr>
        <w:spacing w:after="0" w:line="89" w:lineRule="exact"/>
        <w:rPr>
          <w:sz w:val="20"/>
          <w:szCs w:val="20"/>
          <w:color w:val="auto"/>
        </w:rPr>
      </w:pPr>
    </w:p>
    <w:p>
      <w:pPr>
        <w:jc w:val="both"/>
        <w:ind w:left="660" w:hanging="328"/>
        <w:spacing w:after="0" w:line="269" w:lineRule="auto"/>
        <w:tabs>
          <w:tab w:leader="none" w:pos="6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the continued impact of SARS-CoV-2 (the virus that has caused the COVID-19 pandemic) on our business and the demand for our marketed products, as well as its continued impact on, among other things, our employees, collaborators, suppliers, and other third parties on which we rely, our ability to continue to manage our supply chain, and the global economy (as further discussed above under "Risks Related to the COVID-19 Pandemic - </w:t>
      </w:r>
      <w:r>
        <w:rPr>
          <w:rFonts w:ascii="Arial" w:cs="Arial" w:eastAsia="Arial" w:hAnsi="Arial"/>
          <w:sz w:val="17"/>
          <w:szCs w:val="17"/>
          <w:i w:val="1"/>
          <w:iCs w:val="1"/>
          <w:color w:val="auto"/>
        </w:rPr>
        <w:t>Our business may be further adversely affected by the effects of the COVID-19 pandemic</w:t>
      </w:r>
      <w:r>
        <w:rPr>
          <w:rFonts w:ascii="Arial" w:cs="Arial" w:eastAsia="Arial" w:hAnsi="Arial"/>
          <w:sz w:val="17"/>
          <w:szCs w:val="17"/>
          <w:color w:val="auto"/>
        </w:rPr>
        <w:t>");</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effectiveness of the commercial strategy in and outside the United States for the marketing of our products, including pricing strategy;</w:t>
      </w:r>
    </w:p>
    <w:p>
      <w:pPr>
        <w:spacing w:after="0" w:line="20" w:lineRule="exact"/>
        <w:rPr>
          <w:rFonts w:ascii="Arial" w:cs="Arial" w:eastAsia="Arial" w:hAnsi="Arial"/>
          <w:sz w:val="17"/>
          <w:szCs w:val="17"/>
          <w:color w:val="auto"/>
        </w:rPr>
      </w:pPr>
    </w:p>
    <w:p>
      <w:pPr>
        <w:jc w:val="both"/>
        <w:ind w:left="66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sufficient coverage of, and reimbursement for, our marketed products by third-party payors, including Medicare and Medicaid in the United States and other government and private payors in the United States and foreign jurisdictions, as well as U.S. and foreign payor restrictions on eligible patient populations and the reimbursement process (including drug price control measures that have been or may be introduced in the United States by various federal and state authorities);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and our collaborators' ability to maintain sales of our marketed products in the face of competitive products and to differentiate our marketed products from competitive products, including as applicable product candidates currently in clinical development; and, in the case of EYLEA, the existing and potential new competition for EYLEA (discussed further under "</w:t>
      </w:r>
      <w:r>
        <w:rPr>
          <w:rFonts w:ascii="Arial" w:cs="Arial" w:eastAsia="Arial" w:hAnsi="Arial"/>
          <w:sz w:val="18"/>
          <w:szCs w:val="18"/>
          <w:i w:val="1"/>
          <w:iCs w:val="1"/>
          <w:color w:val="auto"/>
        </w:rPr>
        <w:t>The commercial success of our products and product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candidates is subject to significant competition - </w:t>
      </w:r>
      <w:r>
        <w:rPr>
          <w:rFonts w:ascii="Arial" w:cs="Arial" w:eastAsia="Arial" w:hAnsi="Arial"/>
          <w:sz w:val="18"/>
          <w:szCs w:val="18"/>
          <w:color w:val="auto"/>
        </w:rPr>
        <w:t>Marketed Products" below) and the willingness of retinal specialists and patients to start or</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treatment with EYLEA or to switch from another product to EYLEA;</w:t>
      </w:r>
    </w:p>
    <w:p>
      <w:pPr>
        <w:spacing w:after="0" w:line="1"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serious complications or side effects in connection with the use of our marketed products, as discussed under "Risks Related to Maintaining Approval of Our Marketed Products and the Development and Obtaining Approval of Our</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3" w:name="page44"/>
    <w:bookmarkEnd w:id="4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660"/>
        <w:spacing w:after="0" w:line="269" w:lineRule="auto"/>
        <w:rPr>
          <w:sz w:val="20"/>
          <w:szCs w:val="20"/>
          <w:color w:val="auto"/>
        </w:rPr>
      </w:pPr>
      <w:r>
        <w:rPr>
          <w:rFonts w:ascii="Arial" w:cs="Arial" w:eastAsia="Arial" w:hAnsi="Arial"/>
          <w:sz w:val="17"/>
          <w:szCs w:val="17"/>
          <w:color w:val="auto"/>
        </w:rPr>
        <w:t xml:space="preserve">Product Candidates and New Indications for Our Marketed Products - </w:t>
      </w:r>
      <w:r>
        <w:rPr>
          <w:rFonts w:ascii="Arial" w:cs="Arial" w:eastAsia="Arial" w:hAnsi="Arial"/>
          <w:sz w:val="17"/>
          <w:szCs w:val="17"/>
          <w:i w:val="1"/>
          <w:iCs w:val="1"/>
          <w:color w:val="auto"/>
        </w:rPr>
        <w:t>Serious complications or side effects in connection with the use of our</w:t>
      </w:r>
      <w:r>
        <w:rPr>
          <w:rFonts w:ascii="Arial" w:cs="Arial" w:eastAsia="Arial" w:hAnsi="Arial"/>
          <w:sz w:val="17"/>
          <w:szCs w:val="17"/>
          <w:color w:val="auto"/>
        </w:rPr>
        <w:t xml:space="preserve"> </w:t>
      </w:r>
      <w:r>
        <w:rPr>
          <w:rFonts w:ascii="Arial" w:cs="Arial" w:eastAsia="Arial" w:hAnsi="Arial"/>
          <w:sz w:val="17"/>
          <w:szCs w:val="17"/>
          <w:i w:val="1"/>
          <w:iCs w:val="1"/>
          <w:color w:val="auto"/>
        </w:rPr>
        <w:t>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r>
        <w:rPr>
          <w:rFonts w:ascii="Arial" w:cs="Arial" w:eastAsia="Arial" w:hAnsi="Arial"/>
          <w:sz w:val="17"/>
          <w:szCs w:val="17"/>
          <w:color w:val="auto"/>
        </w:rPr>
        <w:t>" below;</w:t>
      </w:r>
    </w:p>
    <w:p>
      <w:pPr>
        <w:spacing w:after="0" w:line="2" w:lineRule="exact"/>
        <w:rPr>
          <w:sz w:val="20"/>
          <w:szCs w:val="20"/>
          <w:color w:val="auto"/>
        </w:rPr>
      </w:pPr>
    </w:p>
    <w:p>
      <w:pPr>
        <w:jc w:val="both"/>
        <w:ind w:left="660" w:hanging="328"/>
        <w:spacing w:after="0" w:line="25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maintaining and successfully monitoring commercial manufacturing arrangements for our marketed products with third parties who perform fill/finish or other steps in the manufacture of such products to ensure that they meet our standards and those of regulatory authorities, including the FDA, which extensively regulate and monitor pharmaceutical manufacturing facilities;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meet the demand for commercial supplies of our marketed products;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outcome of the pending proceedings relating to EYLEA, Dupixent, and Praluent (described further in Note 15 to our Consolidated Financial Statements included in this report), as well as other risks relating to our marketed products and product candidates associated with intellectual property of other parties and pending or future litigation relating thereto (as discussed under "Risks Related to Intellectual Property and Market Exclusivity" below);</w:t>
      </w:r>
    </w:p>
    <w:p>
      <w:pPr>
        <w:spacing w:after="0" w:line="1" w:lineRule="exact"/>
        <w:rPr>
          <w:rFonts w:ascii="Arial" w:cs="Arial" w:eastAsia="Arial" w:hAnsi="Arial"/>
          <w:sz w:val="18"/>
          <w:szCs w:val="18"/>
          <w:color w:val="auto"/>
        </w:rPr>
      </w:pPr>
    </w:p>
    <w:p>
      <w:pPr>
        <w:jc w:val="both"/>
        <w:ind w:left="660" w:hanging="328"/>
        <w:spacing w:after="0" w:line="235"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outcome of the pending government proceedings and investigations and other matters described in Note 15 to our Consolidated Financial Statements included in this report (including the civil complaint filed against us on June 24, 2020 in the U.S. District Court for the District of Massachusetts by the U.S. Attorney's Office for the District of Massachusetts);</w:t>
      </w:r>
    </w:p>
    <w:p>
      <w:pPr>
        <w:spacing w:after="0" w:line="1" w:lineRule="exact"/>
        <w:rPr>
          <w:rFonts w:ascii="Arial" w:cs="Arial" w:eastAsia="Arial" w:hAnsi="Arial"/>
          <w:sz w:val="18"/>
          <w:szCs w:val="18"/>
          <w:color w:val="auto"/>
        </w:rPr>
      </w:pPr>
    </w:p>
    <w:p>
      <w:pPr>
        <w:ind w:left="660" w:right="20" w:hanging="328"/>
        <w:spacing w:after="0" w:line="249"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results of post-approval studies, whether conducted by us or by others and whether mandated by regulatory agencies or voluntary, and studies of other products that could implicate an entire class of products or are perceived to do so; and</w:t>
      </w:r>
    </w:p>
    <w:p>
      <w:pPr>
        <w:jc w:val="both"/>
        <w:ind w:left="660" w:hanging="328"/>
        <w:spacing w:after="0" w:line="255"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 of existing and new health care laws and regulations currently being considered or implemented in the United States, including price reporting and other disclosure requirements of such laws and regulations and the potential impact of such requirements on physician prescribing practices and payor coverage.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More detailed information about the risks related to the commercialization of our marketed products is provided in the risk factors below.</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and our collaborators are subject to significant ongoing regulatory obligations and oversight with respect to the products we or our collaborators commercialize. If we or our collaborators fail to maintain regulatory compliance for any of such products, the applicable marketing approval may be withdrawn, which would materially harm our business, prospects, operating results, and financial condition.</w:t>
      </w:r>
    </w:p>
    <w:p>
      <w:pPr>
        <w:spacing w:after="0" w:line="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We and our collaborators are subject to significant ongoing regulatory obligations and oversight with respect to the products we or they commercialize for the products' currently approved indications in the United States, EU, and other countries where such products are approved. If we or our collaborators fail to maintain regulatory compliance for such products' currently approved indications (including because the product does not meet the relevant endpoints of any required post-approval studies, or for any of the reasons discussed below under "Risks Related to Maintaining Approval of Our Marketed Products and the Development and Obtaining Approval of Our Product Candidates and New Indications for Our Marketed Products - </w:t>
      </w:r>
      <w:r>
        <w:rPr>
          <w:rFonts w:ascii="Arial" w:cs="Arial" w:eastAsia="Arial" w:hAnsi="Arial"/>
          <w:sz w:val="17"/>
          <w:szCs w:val="17"/>
          <w:i w:val="1"/>
          <w:iCs w:val="1"/>
          <w:color w:val="auto"/>
        </w:rPr>
        <w:t>Obtaining and maintaining</w:t>
      </w:r>
      <w:r>
        <w:rPr>
          <w:rFonts w:ascii="Arial" w:cs="Arial" w:eastAsia="Arial" w:hAnsi="Arial"/>
          <w:sz w:val="17"/>
          <w:szCs w:val="17"/>
          <w:color w:val="auto"/>
        </w:rPr>
        <w:t xml:space="preserve"> </w:t>
      </w:r>
      <w:r>
        <w:rPr>
          <w:rFonts w:ascii="Arial" w:cs="Arial" w:eastAsia="Arial" w:hAnsi="Arial"/>
          <w:sz w:val="17"/>
          <w:szCs w:val="17"/>
          <w:i w:val="1"/>
          <w:iCs w:val="1"/>
          <w:color w:val="auto"/>
        </w:rPr>
        <w:t>regulatory approval for drug products is costly, time-consuming, and highly uncertain</w:t>
      </w:r>
      <w:r>
        <w:rPr>
          <w:rFonts w:ascii="Arial" w:cs="Arial" w:eastAsia="Arial" w:hAnsi="Arial"/>
          <w:sz w:val="17"/>
          <w:szCs w:val="17"/>
          <w:color w:val="auto"/>
        </w:rPr>
        <w:t>"), the applicable marketing approval may be withdrawn, which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would materially harm our business, prospects, operating results, and financial condition. Failure to comply may also subject us to sanctions, product recalls, or withdrawals of previously approved marketing applications. See also "Risks Related to Manufacturing and Supply - </w:t>
      </w:r>
      <w:r>
        <w:rPr>
          <w:rFonts w:ascii="Arial" w:cs="Arial" w:eastAsia="Arial" w:hAnsi="Arial"/>
          <w:sz w:val="17"/>
          <w:szCs w:val="17"/>
          <w:i w:val="1"/>
          <w:iCs w:val="1"/>
          <w:color w:val="auto"/>
        </w:rPr>
        <w:t>Our or our collaborators'</w:t>
      </w:r>
      <w:r>
        <w:rPr>
          <w:rFonts w:ascii="Arial" w:cs="Arial" w:eastAsia="Arial" w:hAnsi="Arial"/>
          <w:sz w:val="17"/>
          <w:szCs w:val="17"/>
          <w:color w:val="auto"/>
        </w:rPr>
        <w:t xml:space="preserve"> </w:t>
      </w:r>
      <w:r>
        <w:rPr>
          <w:rFonts w:ascii="Arial" w:cs="Arial" w:eastAsia="Arial" w:hAnsi="Arial"/>
          <w:sz w:val="17"/>
          <w:szCs w:val="17"/>
          <w:i w:val="1"/>
          <w:iCs w:val="1"/>
          <w:color w:val="auto"/>
        </w:rPr>
        <w:t>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Arial" w:cs="Arial" w:eastAsia="Arial" w:hAnsi="Arial"/>
          <w:sz w:val="17"/>
          <w:szCs w:val="17"/>
          <w:color w:val="auto"/>
        </w:rPr>
        <w:t>" below.</w:t>
      </w:r>
    </w:p>
    <w:p>
      <w:pPr>
        <w:spacing w:after="0" w:line="1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Sales of our marketed products are dependent on the availability and extent of reimbursement from third-party payors, and changes to such reimbursement may materially harm our business, prospects, operating results, and financial condition.</w:t>
      </w:r>
    </w:p>
    <w:p>
      <w:pPr>
        <w:spacing w:after="0" w:line="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of our marketed products in the United States are dependent, in large part, on the availability and extent of reimbursement from third-party payors, including private payor healthcare and insurance programs, health maintenance organizations, pharmacy benefit management companies ("PBMs"), and government programs such as Medicare and Medicaid. Sales of our marketed products in other countries are dependent, in large part, on similar reimbursement mechanisms and programs in those countries.</w:t>
      </w:r>
    </w:p>
    <w:p>
      <w:pPr>
        <w:spacing w:after="0" w:line="11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future revenues and profitability will be adversely affected in a material manner if such third-party payors do not adequately defray or reimburse the cost of our marketed products to patients. If these entities do not provide coverage and reimbursement with respect to our marketed products or provide an insufficient level of coverage and reimbursement, such products may be too costly for many patients to afford them, and physicians may not prescribe them. Many third-party payors cover only selected drugs, or may prefer selected drugs, making drugs that are not covered or preferred by such payors more expensive for patients. Third-party payors may also require prior authorization for reimbursement, or require failure on another type of treatment before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4" w:name="page45"/>
    <w:bookmarkEnd w:id="4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covering a particular drug, particularly with respect to higher-priced drugs. As our currently marketed products and product candidates are biologics, bringing them to market may cost more than bringing traditional, small-molecule drugs to market due to the complexity associated with the research, development, production, supply, and regulatory review of such products. Given cost sensitivities in many health care systems (which will likely be exacerbated as a result of the COVID-19 pandemic), our currently marketed products and product candidates are likely to be subject to continued pricing pressures, which may have an adverse impact on our business, prospects, operating results, and financial condition.</w:t>
      </w:r>
    </w:p>
    <w:p>
      <w:pPr>
        <w:spacing w:after="0" w:line="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in order for private insurance and governmental payors (such as Medicare and Medicaid in the United States) to reimburse the cost of our marketed products, we must maintain, among other things, our FDA registration and our National Drug Code, formulary approval by PBMs, and recognition by insurance companies and CMS. There is no certainty that we will be able to obtain or maintain the applicable requirements for reimbursement (including relevant formulary coverage, as discussed further below) of our current and future marketed products, which may have a material adverse effect on our business.</w:t>
      </w:r>
    </w:p>
    <w:p>
      <w:pPr>
        <w:spacing w:after="0" w:line="12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Government and other third-party payors (including PBMs) are challenging the prices charged for healthcare products and increasingly limiting, and attempting to limit, both coverage and level of reimbursement for prescription drugs, such as by requiring outcomes-based or other pay-for-performance pricing arrangements. They are also imposing restrictions on eligible patient populations and the reimbursement process, including by means of required prior authorizations and utilization management criteria, such as step therapy (</w:t>
      </w:r>
      <w:r>
        <w:rPr>
          <w:rFonts w:ascii="Arial" w:cs="Arial" w:eastAsia="Arial" w:hAnsi="Arial"/>
          <w:sz w:val="16"/>
          <w:szCs w:val="16"/>
          <w:i w:val="1"/>
          <w:iCs w:val="1"/>
          <w:color w:val="auto"/>
        </w:rPr>
        <w:t>i.e.</w:t>
      </w:r>
      <w:r>
        <w:rPr>
          <w:rFonts w:ascii="Arial" w:cs="Arial" w:eastAsia="Arial" w:hAnsi="Arial"/>
          <w:sz w:val="16"/>
          <w:szCs w:val="16"/>
          <w:color w:val="auto"/>
        </w:rPr>
        <w:t>, requiring the use of less costly medications before more costly medications are approved for coverage). Some states are also considering legislation that would control the prices and reimbursement of prescription drugs, and state Medicaid programs are increasingly requesting manufacturers to pay supplemental rebates and requiring prior authorization by the state program for use of any prescription drug for which supplemental rebates are not being paid. It is likely that federal and state legislatures and health agencies will continue to focus on additional health care reform measures in the future that will impose additional constraints on prices and reimbursements for our marketed products; this trend may be further accelerated as a result of the COVID-19 pandemic.</w:t>
      </w:r>
    </w:p>
    <w:p>
      <w:pPr>
        <w:spacing w:after="0" w:line="9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Further, there have been several recent U.S. Congressional inquiries and proposed federal and state legislation and policies designed to, among other things, bring more transparency to drug pricing, review the relationship between pricing and manufacturer patient programs, reduce the out-of-pocket cost of prescription drugs, and reform government program reimbursement methodologies for drugs. At the federal level, some of the prior budget proposals contained drug price control measures that may be included in future legislation, including, for example, measures to permit Medicare Part D plans to negotiate the price of certain drugs under Medicare Part B (such as EYLEA); to allow some states to negotiate drug prices under Medicaid; and to eliminate cost sharing for generic drugs for low-income patients. Additionally, the HHS and CMS have been soliciting feedback on some of these measures and may implement others impacting our business under their existing authority. CMS has also sought public comment on how best to leverage its authority provided under the Competitive Acquisition Program and introduce competition into Medicare Part B by allowing CMS to bring on vendors to negotiate payment amounts for Medicare Part B drugs. In addition, since January 1, 2019, CMS has allowed Medicare Advantage ("MA") plans to use step therapy for Part B drugs (such as EYLEA). In addition, in September 2020, the Executive Order of the President entitled "Lowering Drug Prices by Putting America First" (the "MFN Executive Order") was issued. The MFN Executive Order provides that it is "the policy of the United States that the Medicare program should not pay more for costly Part B or Part D prescription drugs or biological products than the most-favored-nation price" within the member countries of the Organization for Economic Co-operation and Development (the "MFN Price"); and directs the Secretary of the HHS to implement rulemaking to test a payment model (the "MFN Model") pursuant to which Medicare would pay no more than the MFN Price for certain drugs covered by Medicare Parts B and D. On November 20, 2020, HHS, acting through CMS, issued an interim final rule with comment period to implement the MFN Model (the "MFN Interim Final Rule"), which was intended to commence on January 1, 2021. The MFN Interim Final Rule has been challenged in court by various groups and individual companies, including Regeneron. See Note 15 to our Consolidated Financial Statements for further details regarding the lawsuit relating to the MFN Interim Final Rule filed by Regeneron. While preliminary injunctive relief preventing the MFN Interim Final Rule from becoming effective on January 1, 2021 has been granted and such relief has not been appealed, if the MFN Interim Final Rule is not permanently enjoined or repealed or the MFN Model is otherwise implemented, this would have a material adverse impact on the extent of Medicare reimbursements for EYLEA and our results of operations. Similarly, President Biden and various members of the current U.S. Congress have indicated that lowering drug prices continues to be a legislative and political priority, and some have introduced proposals aimed at drug pricing. At the state level, legislatures are becoming increasingly aggressive in passing legislation and implementing regulations designed to control pharmaceutical and biological product pricing, including price or patient reimbursement constraints, discounts, restrictions on certain product access, and price and marketing cost disclosure and transparency measures. In some cases, these measures are designed to encourage importation from other countries and bulk purchasing. A reduction in the availability or extent of reimbursement from U.S. government programs (including as a result of the proposals, initiatives, and developments described above) could have a material adverse effect on the sales of EYLEA or our other marketed products. Economic pressure on state budgets may also have a similar impact.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5" w:name="page46"/>
    <w:bookmarkEnd w:id="4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PBMs often develop formularies to reduce their cost for medications. The breadth of the products covered by formularies varies considerably from one PBM to another. Failure to be included in such formularies or to achieve favorable formulary status may negatively impact the utilization and market share of our marketed products. If our marketed products are not included within an adequate number of formularies, adequate reimbursement levels are not provided, the eligible insured patient population for our products is limited, or a key payor refuses to provide reimbursement for our products in a particular jurisdiction altogether, this could have a material adverse effect on our and our collaborators' ability to commercialize the applicable product.</w:t>
      </w:r>
    </w:p>
    <w:p>
      <w:pPr>
        <w:spacing w:after="0" w:line="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certain foreign countries,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marketed products in those countries. In some foreign countries, the proposed pricing for a drug must be approved before it may be lawfully marketed. The requirements governing drug pricing and reimbursement vary widely from country to country, and may take into account the clinical effectiveness, cost, and service impact of existing, new, and emerging drugs and treatments.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or our collaborators are unable to market our products in foreign countries or if coverage and reimbursement for our marketed products in foreign countries is limited or delayed.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commercial success of our products and product candidates is subject to significant competition.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Marketed Products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is substantial competition in the biotechnology and pharmaceutical industries from biotechnology, pharmaceutical, and chemical companies. Many of our competitors have substantially greater research, preclinical and clinical product development and manufacturing capabilities, as well as financial, marketing, and human resources, than we do. Our smaller competitors may also enhance their competitive position if they acquire or discover patentable inventions, form collaborative arrangements, or merge with larger pharmaceutical or biotechnology companies. There is significant actual and potential future competition for each of our marketed products.</w:t>
      </w:r>
    </w:p>
    <w:p>
      <w:pPr>
        <w:spacing w:after="0" w:line="12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EYLEA faces significant competition in the marketplace. For example, EYLEA competes in one or more of its approved indications with other VEGF inhibitors, including Novartis and Genentech/Roche's Lucentis and Novartis' Beovu. Ophthalmologists are also using off-label, third-party repackaged versions of Genentech/Roche's approved VEGF antagonist, bevacizumab, for the treatment of certain of EYLEA's indications, and we are aware of another company developing an ophthalmic formulation of such product. In DME and RVO, EYLEA also competes with intravitreal implants of corticosteroids. We are also aware of a number of companies working on the development of product candidates and extended delivery devices for the potential treatment of one or more of EYLEA's indications, including those that act by blocking VEGF and VEGF receptors (including therapies designed to extend the treatment interval) and/or other targets (such as Ang2). In addition, we are aware of several companies developing biosimilar versions of EYLEA and other approved anti-VEGF treatments. Other potentially competitive products in development include products for use in combination with EYLEA and/or other anti-VEGF treatments, small-molecule tyrosine kinase inhibitors, gene therapies, and other eye-drop formulations, devices, and oral therapies. There also is a risk that third parties repackage ZALTRAP for off-label use and sale for the treatment of diseases of the eye, even though ZALTRAP has not been manufactured and formulated for use in intravitreal injections. We are aware of claims by third parties, including those based on published clinical data, alleging that ZALTRAP may be safely administered to the eye.</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market for Dupixent's current and potential future indications is also competitive. In atopic dermatitis, there are several topical ointments or agents either approved or in development. There is also a systemic JAK inhibitor approved for atopic dermatitis and others are in development. In addition, a number of companies are developing antibodies against IL-13, IL-13Ra1, OX40, IL-31R, and/or IL-1alpha. In asthma, competitors to Dupixent include antibodies against the IL-5 ligand or the IL-5 receptor or immunoglobulin E; and some of these antibodies are either approved or in development for indications that also compete or may compete in the future with Dupixent in CRSwNP. There are several other potentially competitive products in development that may compete with Dupixent in asthma, as well as potential future indications, including antibodies against thymic stromal lymphopoietin ("TSLP"), the IL-33 ligand, or the IL-33 receptor (ST2). Dupixent also faces competition from orally administered small molecule agents and inhaled products in asthma and potential future indications.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Libtayo also faces significant competition. There are several competitors that are marketing and/or developing antibodies against PD-1 and/or PDL-1, including Merck's Keytruda, Bristol-Myers Squibb's Opdivo, Roche's Tecentriq, and AstraZeneca's Imfinzi.</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is also significant actual and potential future competition for other products marketed or otherwise commercialized by us and/or our collaborators under our collaboration agreements with them. For example, there are several companies that are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6" w:name="page47"/>
    <w:bookmarkEnd w:id="4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marketing and/or developing antibodies or other molecules (such as small interfering RNA molecules, or siRNAs) against PCSK9 and IL-6 and/or IL-6R, which currently (or, for product candidates in development, may in the future if approved) compete with Praluent and Kevzara, respectively.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Candidates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VelocImmune</w:t>
      </w:r>
      <w:r>
        <w:rPr>
          <w:rFonts w:ascii="Arial" w:cs="Arial" w:eastAsia="Arial" w:hAnsi="Arial"/>
          <w:sz w:val="25"/>
          <w:szCs w:val="25"/>
          <w:i w:val="1"/>
          <w:iCs w:val="1"/>
          <w:color w:val="auto"/>
          <w:vertAlign w:val="superscript"/>
        </w:rPr>
        <w:t>®</w:t>
      </w:r>
      <w:r>
        <w:rPr>
          <w:rFonts w:ascii="Arial" w:cs="Arial" w:eastAsia="Arial" w:hAnsi="Arial"/>
          <w:sz w:val="16"/>
          <w:szCs w:val="16"/>
          <w:color w:val="auto"/>
        </w:rPr>
        <w:t xml:space="preserve"> technology, other antibody generation technologies, and late-stage and earlier-stage clinical candidates face competition from many pharmaceutical and biotechnology companies using various technologies, including antibody generation technologies and other approaches such as RNA interference (RNAi) and chimeric antigen receptor T cell (CAR-T cell) technologies. For example, we are aware of other pharmaceutical and biotechnology companies actively engaged in the research and development of antibody-based products against targets that are also the targets of our early- and late-stage product candidates. We are also aware of other companies developing or marketing small molecules that may compete with our antibody-based product candidates in various indications, if such product candidates obtain regulatory approval in those indications. 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 In addition, the first product to reach the market in a therapeutic area is often at a significant competitive advantage relative to later entrants to the market. Accordingly, the relative speed with which we, or our collaborators, can develop our product candidates, complete the clinical trials and approval processes, and, if such product candidates are approved for marketing and sale, supply commercial quantities to the market is expected to continue to be an important competitive factor. Due to the uncertainties associated with developing biopharmaceutical products, we may not be the first to obtain marketing approval for a product against any particular target, which may have a material adverse effect on our business or future prospects.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our collaborations with Bayer and Sanofi for commercializing some of our marketed products.</w:t>
      </w:r>
    </w:p>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While we have established our own sales and marketing organization for EYLEA in the United States for its currently approved indications, we have no sales, marketing, commercial, or distribution capabilities for EYLEA outside the United States. Under the terms of our license and collaboration agreement with Bayer (which is terminable by Bayer at any time upon six or twelve months' advance notice, depending on the circumstances giving rise to termination), we rely on Bayer (and, in Japan, Santen pursuant to a Co-Promotion and Distribution Agreement with Bayer's Japanese affiliate, as in effect from time to time) for sales, marketing, and distribution of EYLEA in countries outside the United States.</w:t>
      </w:r>
    </w:p>
    <w:p>
      <w:pPr>
        <w:spacing w:after="0" w:line="10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under the terms of our Antibody Collaboration and our IO Collaboration, we and Sanofi co-commercialize Dupixent and Libtayo in the United States. As a result, we rely in part on Sanofi's sales and marketing organization in the United States for these products. If we and Sanofi fail to coordinate our United States sales and marketing efforts effectively, sales of any of such products may be materially affected. Sanofi also maintains other important responsibilities relating to Dupixent in the United States. For example, Sanofi records product sales for Dupixent in the United States and leads negotiations with payors relating to this product. We also rely on Sanofi for sales, marketing, and distribution of Dupixent and Libtayo in countries outside the United States. Effective April 1, 2020, we and Sanofi amended the Antibody Collaboration to remove Praluent from the LCA such that, among other things, the LCA no longer governs the development, manufacture, or commercialization of Praluent. Effective as of the same date, we and Sanofi entered into the Praluent Cross License &amp; Commercialization Agreement whereby we, at our sole cost, are solely responsible for the development and commercialization of Praluent in the United States, and Sanofi, at its sole cost, is solely responsible for the development and commercialization of Praluent outside of the United States; and Sanofi pays us a 5% royalty on Sanofi's net product sales of Praluent outside the United States until March 31, 2032.</w:t>
      </w:r>
    </w:p>
    <w:p>
      <w:pPr>
        <w:spacing w:after="0" w:line="10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If we and our collaborators are unsuccessful in continuing to commercialize the marketed products subject to such collaborations, or if Bayer or Sanofi terminate their respective collaborations with us, our business, prospects, operating results, and financial condition would be materially impaired. We have limited commercial capabilities outside the United States and would have to develop or outsource these capabilities. Therefore, termination of the Bayer collaboration agreement, our Antibody Collaboration, or our IO Collaboration would create substantial new and additional risks to the successful commercialization of the applicable products, particularly outside the United States. For additional information regarding our collaborations with Bayer and</w:t>
      </w:r>
    </w:p>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Sanofi, see "Risks Related to Our Reliance on Third Parties - </w:t>
      </w:r>
      <w:r>
        <w:rPr>
          <w:rFonts w:ascii="Arial" w:cs="Arial" w:eastAsia="Arial" w:hAnsi="Arial"/>
          <w:sz w:val="18"/>
          <w:szCs w:val="18"/>
          <w:i w:val="1"/>
          <w:iCs w:val="1"/>
          <w:color w:val="auto"/>
        </w:rPr>
        <w:t>If our collaboration with Bayer for EYLEA is terminated, or Bayer materially breaches its</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obligations thereunder, our business, prospects, operating results, and financial condition, and our ability to continue to develop EYLEA and commercialize EYLEA outside the United States in the time expected, or at all, would be materially harmed</w:t>
      </w:r>
      <w:r>
        <w:rPr>
          <w:rFonts w:ascii="Arial" w:cs="Arial" w:eastAsia="Arial" w:hAnsi="Arial"/>
          <w:sz w:val="18"/>
          <w:szCs w:val="18"/>
          <w:color w:val="auto"/>
        </w:rPr>
        <w:t>" below and "Risks Related to Our Reliance 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Third Parties - </w:t>
      </w:r>
      <w:r>
        <w:rPr>
          <w:rFonts w:ascii="Arial" w:cs="Arial" w:eastAsia="Arial" w:hAnsi="Arial"/>
          <w:sz w:val="18"/>
          <w:szCs w:val="18"/>
          <w:i w:val="1"/>
          <w:iCs w:val="1"/>
          <w:color w:val="auto"/>
        </w:rPr>
        <w:t>If our Antibody Collaboration or our IO Collaboration with Sanofi is terminated, our business, prospects, operating results, and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our ability to develop, manufacture, and commercialize certain of our products and product candidates in the time expected, or at all, would be materially harmed</w:t>
      </w:r>
      <w:r>
        <w:rPr>
          <w:rFonts w:ascii="Arial" w:cs="Arial" w:eastAsia="Arial" w:hAnsi="Arial"/>
          <w:sz w:val="18"/>
          <w:szCs w:val="18"/>
          <w:color w:val="auto"/>
        </w:rPr>
        <w:t>" below.</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7" w:name="page48"/>
    <w:bookmarkEnd w:id="4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Sales of our marketed products recorded by us and our collaborators could be reduced by imports from countries where such products may be available at lower prices.</w:t>
      </w:r>
    </w:p>
    <w:p>
      <w:pPr>
        <w:spacing w:after="0" w:line="8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sales of products we commercialize in the United States and our collaborators' sales of products they commercialize under our collaboration agreements with them in the United States and other countries (which impact our share of any profits or losses from the commercialization of these products under the relevant collaboration agreements and, therefore, our results of operations) may be reduced if the applicable product is imported into those countries from lower priced markets, whether legally or illegally (a practice known as parallel trading or reimportation). Parallel traders (who may repackage or otherwise alter the original product or sell it through alternative channels such as mail order or the Internet) take advantage of the price differentials between markets arising from factors including sales costs, market conditions (such as intermediate trading stages), tax rates, or national regulation of prices. Under our arrangement with Bayer, pricing and reimbursement for EYLEA outside the United States is the responsibility of Bayer. Similarly, under our Antibody Collaboration and IO Collaboration with Sanofi, pricing and reimbursement for the products commercialized thereunder outside the United States are the responsibility of Sanofi. Prices for our marketed products in jurisdictions outside the United States are based on local market economics and competition and are likely to differ from country to country. In the United States, prices for pharmaceuticals are generally higher than in the bordering nations of Canada and Mexico and sales of our marketed products in the United States may be reduced if the applicable product marketed in those bordering nations is imported into the United States. In addition, there are proposals to legalize the import of pharmaceuticals from outside the United States into the United States. If such proposals were implemented, our future revenues derived from sales of our marketed products could be reduced. Parallel-trading practices also are of particular relevance to the EU, where they have been encouraged by the current regulatory framework. These types of imports may exert pressure on the pricing of our marketed products in a particular market or reduce sales recorded by us or our collaborators, thereby adversely affecting our results of operations.</w:t>
      </w:r>
    </w:p>
    <w:p>
      <w:pPr>
        <w:spacing w:after="0" w:line="11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payors and on our and our collaborators' ability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commercial success of our products may also be adversely affected by guidelines or recommendations to healthcare providers, administrators, payors, and patient communities that result in decreased use of our products. Such guidelines or recommendations may be published not only by governmental agencies, but also professional societies, practice management groups, private foundations, and other interested parties.</w:t>
      </w:r>
    </w:p>
    <w:p>
      <w:pPr>
        <w:spacing w:after="0" w:line="9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product candidates are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8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sell EYLEA, Libtayo, Praluent, and ARCALYST in the United States to several distributors and specialty pharmacies, as applicable. Under this distribution model, the distributors and specialty pharmacies generally take physical delivery of product and generally sell the product directly to healthcare providers or other pharmacies (as applicable). For the year ended December 31, 2020, our gross product sales of such products to two customers accounted on a combined basis for 83% of our total gross product revenue. We expect this significant customer concentration to continue for the foreseeable future. Our ability to generate and grow sales of these products will depend, in part, on the extent to which our distributors and specialty pharmacies are able to provide adequate distribution of these products to healthcare providers. Although we believe we can find additional distributors, if necessary, our revenue during any period of disruption could suffer and we might incur additional costs. In addition, these customers are responsible for a significant portion of our net trade accounts receivable balances. The loss of any large customer, a significant reduction in sales we make to them, any cancellation of orders they have made with us, or any failure to pay for the products we have shipped to them could adversely affect our results of operations.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8" w:name="page49"/>
    <w:bookmarkEnd w:id="4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If we are unable to establish commercial capabilities outside the United States for products we intend to commercialize or co-commercialize outside the United States, our business, prospects, operating results, and financial condition may be adversely affected.</w:t>
      </w:r>
    </w:p>
    <w:p>
      <w:pPr>
        <w:spacing w:after="0" w:line="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limited commercial capabilities outside the United States and do not currently have an organization for the sales, marketing, and distribution of marketed products outside the United States. We will need to establish commercial capabilities outside the United States if we decide to co-commercialize a product outside the United States. For example, we recently exercised our option under the Antibody Collaboration to co-commercialize Dupixent in certain jurisdictions outside the United States. In addition, there may be other circumstances in which we need to establish commercial capabilities outside the United States, including because we decide to commercialize a particular product independently; we are unable to find an appropriate collaborator; or our existing collaborator decides not to opt in, decides to opt out, or breaches its obligations to us with respect to a particular product.</w:t>
      </w:r>
    </w:p>
    <w:p>
      <w:pPr>
        <w:spacing w:after="0" w:line="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order to commercialize or co-commercialize any products outside the United States, we must build our sales, marketing, distribution, managerial, and other non-technical capabilities in the relevant markets or make arrangements with third parties to perform these services, which would likely be expensive and time consuming and could delay product launch or the co-commercialization of a product in one or more markets outside the United States. We cannot be certain that we will be able to successfully develop commercial capabilities outside the United States within an acceptable time frame or at all. These and other difficulties relating to commercializing our products outside the United States may severely harm our business, prospects, operating results, and financial condition.</w:t>
      </w:r>
    </w:p>
    <w:p>
      <w:pPr>
        <w:spacing w:after="0" w:line="1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Risks Related to Maintaining Approval of Our Marketed Products and the Development and Obtaining Approval of Our Product Candidates and New Indications for Our Marketed Products</w:t>
      </w:r>
    </w:p>
    <w:p>
      <w:pPr>
        <w:spacing w:after="0" w:line="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or our collaborators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cannot sell or market products without regulatory approval. If we or our collaborators do not maintain regulatory approval for our marketed products, and obtain regulatory approval for our product candidates or new indications of our marketed products (or are materially delayed in doing so), the value of our Company and our business, prospects, operating results, and financial condition may be materially harmed.</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Obtaining and maintaining regulatory approval for drug products is costly, time-consuming, and highly uncertain.</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the United States, we (which, for purposes of this risk factor, includes our collaborators, unless otherwise stated or required by the context) must obtain and maintain approval from the FDA for each drug we intend to sell. Obtaining FDA approval is typically a lengthy and expensive process, and approval is highly uncertain. We cannot predict with certainty if or when we might submit for regulatory approval for any of our product candidates currently under development. Any approvals we may obtain may not cover all of the clinical indications for which we are seeking approval. Also, an approval might contain significant limitations in the form of narrow indications, warnings, precautions, or contra-indications with respect to conditions of use. Additionally, the FDA may determine that a Risk Evaluation and Mitigation Strategy ("REMS") is necessary to ensure that the benefits of a new product outweigh its risks, and the product can therefore be approved. A REMS may include various elements, ranging from a medication guide or patient package insert to limitations on who may prescribe or dispense the drug, depending on what the FDA considers necessary for the safe use of the drug. The FDA has substantial discretion in the approval process (including with respect to setting specific conditions for submission) and may either refuse to accept an application for substantive review or may form the opinion after review of an application that the application is insufficient to allow approval of a product candidate. If the FDA does not accept our application for review or approve our application, it may require that we conduct additional clinical, preclinical, or manufacturing validation studies and submit the data before it will reconsider our application. Depending on the extent of these or any other studies that might be required, approval of any applications that we submit may be delayed significantly, or we may be required to expend more resources. It is also possible that any such additional studies, if performed and completed, may not be considered sufficient by the FDA to make our applications approvable. If any of these outcomes occur, we may be forced to delay or abandon our applications for approval.</w:t>
      </w:r>
    </w:p>
    <w:p>
      <w:pPr>
        <w:spacing w:after="0" w:line="10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certain instances (such as when we use a biomarker-based test to identify and enroll specific patients in a clinical trial), regulatory approval of a companion diagnostic to our therapeutic product candidate may be required as a condition to regulatory approval of the therapeutic product candidate. We may need to rely on third parties to provide companion diagnostics for use with our product candidates. Such third parties may be unable or unwilling on terms acceptable to us to provide such companion diagnostics or to obtain timely regulatory approval of such companion diagnostics, which could negatively impact regulatory approval of our product candidates or may result in increased development costs or delays.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9" w:name="page50"/>
    <w:bookmarkEnd w:id="4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FDA may also require us to conduct additional clinical trials after granting approval of a product. Its ability to do so has been enhanced by the Food and Drug Administration Amendments Act of 2007, pursuant to which the FDA has the explicit authority to require postmarketing studies (also referred to as post-approval or Phase 4 studies), labeling changes based on new safety information, and compliance with FDA-approved risk evaluation and mitigation strategies. Post-approval studies, whether conducted by us or by others and whether mandated by regulatory agencies or voluntary, and other data about our marketed products (or data about products similar to our marketed products that implicate an entire class of products or are perceived to do so) may result in changes in product labeling, restrictions on use, product withdrawal or recall, loss of approval, or lower sales of our products. Obligations equivalent in scope, but which can vary widely in application, apply in foreign countries.</w:t>
      </w:r>
    </w:p>
    <w:p>
      <w:pPr>
        <w:spacing w:after="0" w:line="9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According to the FDA policies under the Prescription Drug User Fee Act, the FDA system of review times for new drugs includes standard review and priority review. The FDA's goal for a standard review is to review the application within a 10-month time frame from the time the application is filed by the FDA (filing date), which typically occurs approximately 60 days following submission of the application by the applicant. The FDA has stated the goal to act on 90% of standard new molecular entity ("NME") New Drug Application ("NDA") and original BLA submissions within 10 months of the filing date. A priority review designation is given to drugs that treat a serious condition and offer major advances in treatment, or provide a treatment where no adequate therapy exists, and may also be afforded to a human drug application based on a priority review voucher. The FDA has stated the goal to act on 90% of priority NME NDA and original BLA submissions within six months of the filing date. However, the FDA's review goals are subject to change and the duration of the FDA's review depends on a number of factors, including the number and types of other applications that are submitted to the FDA around the same time period or are pending. Even if any of our applications receives a priority review designation, we may not ultimately be able to obtain approval of our application within a time frame consistent with the FDA's stated review goals or at all, and such designation may not actually lead to a faster development or regulatory review or approval process. Procedures that are equivalent in scope, but which can vary widely in application, apply in foreign countries.</w:t>
      </w:r>
    </w:p>
    <w:p>
      <w:pPr>
        <w:spacing w:after="0" w:line="1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FDA and comparable foreign regulatory authorities enforce GCPs and other regulations and legal requirements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could result in non-approval of our product candidates by the FDA or foreign regulatory authorities such as the EC, or we or the FDA or such other regulatory authorities may decide to conduct additional inspections or require additional clinical studies, which would delay our development programs, require us to incur additional costs, and could substantially harm our business, prospects, operating results, and financial condition.</w:t>
      </w:r>
    </w:p>
    <w:p>
      <w:pPr>
        <w:spacing w:after="0" w:line="9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Before approving a new drug or biologic product, the FDA and such comparable foreign regulatory authorities require that the facilities at which the product will be manufactured or advanced through the supply chain be in compliance with current Good Manufacturing Practices, or cGMP, requirements and regulations governing the manufacture, shipment, and storage of the product. Additionally, manufacturers of biological products and their facilities are subject to payment of substantial user fees and continual review and periodic inspections by the FDA and other regulatory authorities for compliance with cGMP regulations and adherence to any commitments made in the applicable BLA. These cGMP requirements and regulations are not prescriptive instructions on how to manufacture products, but rather a series of principles that must be observed during manufacturing; as a result, their implementation may not be clearly delineated and may present a challenging task. Manufacturing product candidates in compliance with these regulatory requirements is complex, time-consuming, and expensive. To be successful, our products must be manufactured in compliance with regulatory requirements, and at competitive costs. If we or any of our third-party manufacturers, product packagers, labelers, or other parties performing steps in the supply chain are unable to maintain regulatory compliance with cGMP, the FDA and comparable foreign regulatory authorities can impose monetary penalties or other civil or criminal sanctions, including, among other things, refusal to approve a pending application for a new drug or biologic product, or revocation of a pre-existing approval. For additional information, see "Risks Related to Manufacturing and Supply - </w:t>
      </w:r>
      <w:r>
        <w:rPr>
          <w:rFonts w:ascii="Arial" w:cs="Arial" w:eastAsia="Arial" w:hAnsi="Arial"/>
          <w:sz w:val="16"/>
          <w:szCs w:val="16"/>
          <w:i w:val="1"/>
          <w:iCs w:val="1"/>
          <w:color w:val="auto"/>
        </w:rPr>
        <w:t>Our or our collaborators' failure to meet the stringent</w:t>
      </w:r>
      <w:r>
        <w:rPr>
          <w:rFonts w:ascii="Arial" w:cs="Arial" w:eastAsia="Arial" w:hAnsi="Arial"/>
          <w:sz w:val="16"/>
          <w:szCs w:val="16"/>
          <w:color w:val="auto"/>
        </w:rPr>
        <w:t xml:space="preserve"> </w:t>
      </w:r>
      <w:r>
        <w:rPr>
          <w:rFonts w:ascii="Arial" w:cs="Arial" w:eastAsia="Arial" w:hAnsi="Arial"/>
          <w:sz w:val="16"/>
          <w:szCs w:val="16"/>
          <w:i w:val="1"/>
          <w:iCs w:val="1"/>
          <w:color w:val="auto"/>
        </w:rPr>
        <w:t>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Arial" w:cs="Arial" w:eastAsia="Arial" w:hAnsi="Arial"/>
          <w:sz w:val="16"/>
          <w:szCs w:val="16"/>
          <w:color w:val="auto"/>
        </w:rPr>
        <w:t>" Our business, prospects, operating results, and financial condition may be materially harmed as</w:t>
      </w:r>
      <w:r>
        <w:rPr>
          <w:rFonts w:ascii="Arial" w:cs="Arial" w:eastAsia="Arial" w:hAnsi="Arial"/>
          <w:sz w:val="16"/>
          <w:szCs w:val="16"/>
          <w:i w:val="1"/>
          <w:iCs w:val="1"/>
          <w:color w:val="auto"/>
        </w:rPr>
        <w:t xml:space="preserve"> </w:t>
      </w:r>
      <w:r>
        <w:rPr>
          <w:rFonts w:ascii="Arial" w:cs="Arial" w:eastAsia="Arial" w:hAnsi="Arial"/>
          <w:sz w:val="16"/>
          <w:szCs w:val="16"/>
          <w:color w:val="auto"/>
        </w:rPr>
        <w:t>a result of noncompliance with the requirements and regulations described in this paragraph.</w:t>
      </w:r>
    </w:p>
    <w:p>
      <w:pPr>
        <w:spacing w:after="0" w:line="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also subject to ongoing requirements imposed by the FDA and comparable foreign regulatory authorities governing the labeling, packaging, storage, distribution, safety surveillance, advertising, promotion, record-keeping, and reporting of safety and other post-marketing information. The holder of an approved BLA or foreign equivalent is obligated to monitor and report adverse events and any failure of a product to meet the specifications in the BLA. The holder of an approved BLA or foreign equivalent must also submit new or supplemental applications and obtain FDA approval for certain changes to the approved product, product labeling, or manufacturing process. Advertising and promotional materials must comply with FDA regulations and those of foreign regulatory authorities and may be subject to other potentially applicable federal and state laws. The</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0" w:name="page51"/>
    <w:bookmarkEnd w:id="5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color w:val="auto"/>
        </w:rPr>
        <w:t>applicable regulations in countries outside the U.S. grant similar powers to the competent authorities and impose similar obligations on companies.</w:t>
      </w:r>
    </w:p>
    <w:p>
      <w:pPr>
        <w:spacing w:after="0" w:line="1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the standard drug approval process, the FDA has the authority to grant an EUA to allow unapproved medical products to be used in an emergency to diagnose, treat, or prevent serious or life-threatening diseases or conditions when, based on the totality of scientific evidence, there is evidence of effectiveness of the medical product, and there are no adequate, approved, and available alternatives. In November 2020, REGEN-COV received an EUA from the FDA for the treatment of mild to moderate COVID-19. However, the FDA may revoke this EUA (or any other EUA we may be granted in the future) if it is determined that the underlying health emergency no longer exists or warrants such authorization; therefore, we cannot predict how long this EUA (or any other EUA we may be granted in the future) will remain in effect. Such revocation could adversely impact our business in a variety of ways, including by having to absorb related manufacturing and overhead costs as well as potential inventory write-offs if regulatory approval is not obtained timely or at all.</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is similarly a lengthy and expensive process, the result of which is highly uncertain, and foreign regulatory requirements include all of the risks associated with FDA approval as well as country specific regulations. We and our collaborators must maintain regulatory compliance for the products we or they commercialize in foreign jurisdictions. From time to time, we may hold a product's marketing approval in a jurisdiction outside the United States where we may have less experience and where our regulatory capabilities may be more limited. In addition, actions by a regulatory agency in a country or region with respect to a product candidate may have an impact on the approval process for that product candidate in another country or region. Foreign regulatory authorities often also have the authority to require post-approval studies, such as a PASS and/or PAES, which involve various risks similar to those described above, and may ask for additional data in order to begin a clinical study including phase 3 clinical trials required to submit a MAA in the EU. Whether or not we obtain FDA approval for a product in the United States, we must obtain approval of the product by the comparable regulatory authorities in foreign countries before we can market that product or any other product in those countries.</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Furthermore, in the EEA, if we do not manage to retain a QPPV, to maintain a PSMF, or to comply with other pharmacovigilance obligations, we may be at risk of our clinical trials being closed prematurely, our marketing authorization being suspended, and we may be subject to other enforcement actions by the national competent authorities of the EEA or the EC.</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exact requirements concerning pharmacovigilance reporting may differ in the numerous countries in which we conduct clinical trials. Failure to comply with the related pharmacovigilance requirements may result in the premature closure of the clinical trials and other enforcement actions by the relevant regulatory authorities.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(or prior or concurrent exposure to other products or product candidates), difficulty in enrolling and maintaining subjects in a clinical trial, clinical trial design that may not make it possible to enroll or retain a sufficient number of patients to achieve a statistically significant result or the desired level of statistical significance for the endpoint in question, lack of sufficient supplies of the product candidate or comparator drug, and the failure of clinical investigators, trial monitors, contractors, consultants, or trial subjects to comply with the trial plan, protocol, or applicable regulations related to the FDA's GLPs or GCPs. A clinical trial may also fail because the dose(s) of the investigational drug included in the trial were either too low or too high to determine the optimal effect of the investigational drug in the disease setting.</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1" w:name="page52"/>
    <w:bookmarkEnd w:id="5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Furthermore, some of our products and product candidates (such as Libtayo and Dupixent) are studied in combination with agents and treatments developed by us or our collaborators. There may be additional risks and unforeseen safety issues resulting from such combined administration, any of which may materially adversely impact clinical development of these product candidates and our ability to obtain regulatory approval.</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some jurisdictions such as the EU, initiating phase 3 clinical trials and clinical trials in the pediatric population is subject to a requirement to obtain approval or a waiver from the competent authorities of the EU Member States and/or the EMA. If we do not obtain such approval, our ability to conduct clinical trials and obtain marketing authorizations or approvals may be severely impaired and our business may be adversely impacted.</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Successful development of our current and future product candidates is uncertain.</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Only a small minority of all research and development programs ultimately result in commercially successful drugs. Clinical trials may not demonstrate statistically sufficient effectiveness and safety to obtain the requisite regulatory approvals for these product candidates in these indications. Many companies in the biopharmaceutical industry, including our Company, have suffered significant setbacks in clinical trials, even after promising results have been obtained in earlier trials. In a number of instances, we have terminated the development of product candidates due to a lack of or only modest effectiveness, and clinical trials evaluating our product candidates failed to meet the relevant endpoints. For example, in August 2017, we reported that the Phase 3 study evaluating suptavumab, an antibody to RSV, did not meet its primary endpoint of preventing medically-attended RSV infections in infants; as a result, we have discontinued further clinical development of this antibody. Moreover, even if we obtain positive results from preclinical testing or clinical trials, we may not achieve the same success in future trials, or the FDA and analogous foreign regulatory authorities may deem the results insufficient for an approval.</w:t>
      </w:r>
    </w:p>
    <w:p>
      <w:pPr>
        <w:spacing w:after="0" w:line="11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Many of our clinical trials are conducted under the oversight of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For example, in August 2020, we discontinued actively treating patients with fasinumab (which at such time only involved dosing in an optional second-year extension phase of one trial) following a recommendation from the responsible IDMC that the program be terminated based on available evidence to date. The recommended termination or material modification of any of our ongoing late-stage clinical trials by an IDMC could negatively impact the future development of our product candidate(s), and our business, prospects, operating results, and financial condition may be materially harmed.</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studying our antibody-based product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p>
    <w:p>
      <w:pPr>
        <w:spacing w:after="0" w:line="10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clinical programs,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be delayed or fail, or, if the product candidate has received regulatory approval, such approval may be revoked, which would severely harm our business, prospects, operating results, and financial condition.</w:t>
      </w:r>
    </w:p>
    <w:p>
      <w:pPr>
        <w:spacing w:after="0" w:line="11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With respect to EYLEA, there are many potential safety concerns associated with significant blockade of VEGF that may limit our ability to further successfully commercialize EYLEA. These serious and potentially life-threatening risks, based on clinical and preclinical experience of VEGF inhibitors, include bleeding, intestinal perforation, hypertension, proteinuria, congestive heart failure, heart attack, and stroke. Other VEGF blockers have reported side effects that became evident only after large-scale trials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2" w:name="page53"/>
    <w:bookmarkEnd w:id="5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or after marketing approval when large numbers of patients were treated. There are risks inherent in the intravitreal administration of drugs like aflibercept (such as intraocular inflammation ("IOI"), sterile and culture positive endophthalmitis, corneal decomposition, retinal detachment, and retinal tear), which can cause injury to the eye and other complications. The side effects previously reported for EYLEA include conjunctival hemorrhage, macular degeneration, eye pain, retinal hemorrhage, and vitreous floaters. In addition, commercialization of EYLEA or our other products may be impacted by actions of third parties on which we rely, such as manufacturers of syringes or other devices used in the administration of our products. For example, in February 2018, we issued a letter to healthcare professionals providing updated guidance relating to reports of IOI following EYLEA injections. In this letter, we noted that while our review did not identify any association of IOI rates with the EYLEA drug itself, an association was seen with certain batches of the syringe that were included in specific lots of final packaged EYLEA kits. These and other complications or issues or side effects could harm further development and/or commercialization of EYLEA.</w:t>
      </w:r>
    </w:p>
    <w:p>
      <w:pPr>
        <w:spacing w:after="0" w:line="10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Dupixent and Libtayo are being studied in additional indications, as shown in the table under Part I, Item 1. "Business - Programs in Clinical Development." There is no guarantee that marketing approval of Dupixent or Libtayo (as applicable) in any of these indications will be successfully obtained. The side effects previously reported for Dupixent include hypersensitivity reactions, conjunctivitis and keratitis, injection-site reactions, eye and eyelid inflammation, cold sores, oropharyngeal pain, and eosinophilia; and the side effects previously reported for Libtayo include certain immune-mediated adverse reactions, such as pneumonitis, colitis, hepatitis, endocrinopathies, nephritis, and dermatologic reactions, as well as infusion-related reactions, cellulitis, sepsis, pneumonia, urinary tract infection, fatigue, rash, and diarrhea. These and other complications or side effects could harm further development and/or commercialization of Dupixent and Libtayo (as applicable).</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also are risks inherent in subcutaneous injections (which are used for administering most of our antibody-based products and product candidates), such as injection-site reactions (including redness, itching, swelling, pain, and tenderness) and other side effects. These and other complications or side effects could harm further development and/or commercialization of our antibody-based products and product candidates utilizing this method of administration.</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cross-react with the patient's own proteins, resulting in an "auto-immune" type disease. Whether antibodies will be created can often not be predicted from preclinical or clinical experiments, and their detection or appearance is often delayed, so neutralizing antibodies may be detected at a later date, in some cases even after pivotal clinical trials have been completed.</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 prospects, operating results, and financial condition.</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are unable to continue to develop suitable product formulations or manufacturing processes to support large-scale clinical testing of our product candidates, including our antibody-based product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Many of our products are intended to be used and, if approved, our product candidates may be used in combination with drug-delivery devices, which may result in additional regulatory, commercialization, and other risks.</w:t>
      </w:r>
    </w:p>
    <w:p>
      <w:pPr>
        <w:spacing w:after="0" w:line="10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Many of our products are used and some of our products and product candidates may be used, if approved, in combination with a drug-delivery device, including a pre-filled syringe, patch pump, auto-injector, or other delivery system. For example, in the United States and the EU, EYLEA is approved in the 2mg pre-filled syringe. The success of our products and product candidates may depend to a significant extent on the performance of such devices, some of which may be novel or comprised of complex components. Given the increased complexity of the review process when approval of the product and device is sought under a single marketing application and the additional risks resulting from a product candidate's designation as a combination product discussed below, our product candidates used with such drug-delivery devices may be substantially delayed in receiving regulatory approval or may not be approved at all. The FDA review process and criteria for such applications are not well established, which could also lead to delays in the approval process. In addition, some of these drug-delivery devices may be provided by single-source, third-party providers or our collaborators. In any such case, we may be dependent on the sustained</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3" w:name="page54"/>
    <w:bookmarkEnd w:id="5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cooperation of those third-party providers or collaborators to supply and manufacture the devices; to conduct the studies and prepare related documentation required for approval or clearance by the applicable regulatory agencies; and to continue to meet the applicable regulatory and other requirements to maintain approval or clearance once it has been received. In addition, other parties may allege that our drug-delivery devices infringe patents or other intellectual property rights. For example, we are currently party to patent infringement and other proceedings relating to the EYLEA pre-filled syringe, as described in Note 15 to our Consolidated Financial Statements. Failure to successfully develop or supply the devices, delays in or failure of the studies conducted by us, our collaborators, or third-party providers, or failure of our Company, our collaborators, or the third-party providers to obtain or maintain regulatory approval or clearance of the devices could result in increased development costs, delays in or failure to obtain regulatory approval, and associated delays in a product or product candidate reaching the market. Loss of regulatory approval or clearance of a device that is used with our product may also result in the removal of our product from the market. Further, failure to successfully develop or supply and manufacture these devices, or to gain or maintain their approval, could adversely affect sales of the related products.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United States, each component of a combination product is subject to the requirements established by the FDA for that type of component, whether a drug, biologic, or device. The determination whether a product is a combination product or two separately regulated products is made by the FDA on a case-by-case basis. Although a single marketing application is generally sufficient for the approval, clearance, or licensure of a combination product, the FDA may determine that separate marketing applications are necessary. In addition, submitting separate marketing applications may be necessary to receive some benefit that accrues only from approval under a particular type of application. This could significantly increase the resources and time required to bring a particular combination product to market.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and Market Exclusivity</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or other means of defending our intellectual property are insufficient to protect our proprietary rights, our business and competitive position will be harmed.</w:t>
      </w:r>
    </w:p>
    <w:p>
      <w:pPr>
        <w:spacing w:after="0" w:line="8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Our business requires using sensitive and proprietary technology and other information that we protect as trade secrets. We seek to prevent improper disclosure of these trade secrets through confidentiality agreements and other means. If our trade secrets are improperly disclosed, by our current or former employees, our collaborators, or otherwise, it could help our competitors and adversely affect our business. We will be able to protect our proprietary rights only to the extent that our proprietary technologies and other information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held to be unenforceable, or circumvented. Patent applications filed outside the United States may be challenged by other parties, for example, by filing third-party observations that argue against patentability or an opposition. Such opposition proceedings are increasingly common in the EU and are costly to defend. For example, our European Patent No. 2,264,163 (which concerns genetically engineered mice capable of producing chimeric antibodies that are part human and part mouse) is the subject of opposition proceedings in the European Patent Office (the "EPO") (currently pending before its Boards of Appeal). We have pending patent applications in the United States Patent and Trademark Office (the "USPTO"), the EPO, and the patent offices of other foreign jurisdictions, and it is likely that we will need to defend patents from challenges by others from time to time in the future. Certain of our U.S. patents may also be challenged by parties who file a request for post-grant review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under the America Invents Act of 2011 or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For example, on February 11, 2020, anonymous parties filed two requests for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of two of our patents - U.S. Patent Nos. 10,406,226 (the "'226 Patent") and 10,464,992 (the "'992 Patent"). The '226 Patent concerns methods for manufacturing VEGF antagonist fusion proteins, including aflibercept, and the '992 Patent concerns formulations and vials containing VEGF antagonist fusion proteins, including aflibercept. The USPTO has granted both requests to initiate reexamination proceedings. Post-grant proceedings are increasingly common in the United States and are costly to defend.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10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also currently hold issued trademark registrations and have trademark applications pending in the United States and other jurisdictions, any of which may be the subject of a governmental or third-party objection, which could prevent the maintenance or issuance of the trademark. As our products mature, our reliance on our trademarks to differentiate us from our competitors increases and as a result, if we are unable to prevent third parties from adopting, registering, or using trademarks that infringe, dilute or otherwise violate our trademark rights, our business could be adversely affected.</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restricted in our development, manufacturing, and/or commercialization activities by patents or other proprietary rights of others, and could be subject to awards of damages if we are found to have infringed such patents or rights.</w:t>
      </w:r>
    </w:p>
    <w:p>
      <w:pPr>
        <w:spacing w:after="0" w:line="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commercial success depends significantly on our ability to operate without infringing the patents and other proprietary rights of others (including those relating to trademarks, copyrights, and trade secrets). Other parties may allege that they own blocking</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4" w:name="page55"/>
    <w:bookmarkEnd w:id="5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patents to our products in clinical development or even to products that have received regulatory approval and are being or have been commercialized, either because they claim to hold proprietary rights to the composition of a product or the way it is manufactured or the way it is used. Moreover, other parties may allege that they have blocking patents to antibody-based products made using our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 or any other of our technologies, either because of the way the antibodies are discovered or produced or because of a proprietary composition covering an antibody or the antibody's target.</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been in the past, are currently, and may in the future be involved in patent litigation and other proceedings involving patents and other intellectual property. For example, we and/or Sanofi are currently party to patent infringement proceedings initiated by Amgen against us and/or Sanofi relating to Praluent and patent infringement proceedings relating to Dupixent, as described in Note 15 to our Consolidated Financial Statements. In addition, we are currently party to patent infringement and other proceedings relating to EYLEA and REGEN-COV, as described in Note 15 to our Consolidated Financial Statements.</w:t>
      </w:r>
    </w:p>
    <w:p>
      <w:pPr>
        <w:spacing w:after="0" w:line="12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are aware of patents and pending patent applications owned by others that respectively claim antibodies to IL-4R and methods of treating conditions including atopic dermatitis and asthma with such antibodies; antibodies to IL-6R and methods of treating conditions including rheumatoid arthritis with such antibodies; antibodies to PCSK9 and methods of treating hypercholesterolemia with such antibodies; and antibodies to PD-1 and methods of treating cancer with such antibodies. In addition to Dupixent (dupilumab), Libtayo (cemiplimab), Praluent (alirocumab), and Kevzara (sarilumab), our late-stage antibody-based pipeline includes REGEN-COV, a novel investigational antibody cocktail treatment designed to prevent and treat infection from the SARS-CoV-2 virus; fasinumab, an antibody to NGF; Evkeeza (evinacumab), an antibody to ANGPTL3; garetosmab, an antibody to Activin A; pozelimab, an antibody to C5; odronextamab, a bispecific antibody targeting CD20 and CD3; itepekimab, an antibody to IL-33; REGN5458, a bispecific antibody targeting BCMA and CD3; and REGN5713-5714-5715, a multi-antibody therapy to Betv1.</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Although we do not believe that any of our products or our late-stage antibody-based product candidates infringe any valid claim in these patents or patent applications, these other parties could initiate lawsuits for patent infringement and assert that their patents are valid and cover our products or our late-stage antibody-based product candidates, similar to the patent infringement proceedings referred to above. Further, we are aware of a number of patent applications of others that, if granted with claims as currently drafted, may cover our current or planned activities. It could be determined that our products and/or actions in manufacturing or selling our products or product candidates infringe such patents.</w:t>
      </w:r>
    </w:p>
    <w:p>
      <w:pPr>
        <w:spacing w:after="0" w:line="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Patent holders could assert claims against us for damages and seek to prevent us from manufacturing, selling, or developing our products or product candidates, and a court may find that we are infringing validly issued patents of others. In the event that the manufacture, use, or sale of any of our products or product candidates infringes on the patents or violates other proprietary rights of others, we may be prevented from pursuing product development, manufacturing, and commercialization of those drugs and may be required to pay costly damages. In addition, in the event that we assert our patent rights against other parties that we believe are infringing our patent rights, such parties may challenge the validity of our patents and we may become the target of litigation, which may result in an outcome that is unfavorable to us. Any of these adverse developments may materially harm our business, prospects, operating results, and financial condition. In any event, legal disputes are likely to be costly and time consuming to defend.</w:t>
      </w:r>
    </w:p>
    <w:p>
      <w:pPr>
        <w:spacing w:after="0" w:line="9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seek to obtain licenses to patents when, in our judgment, such licenses are needed or advisable. For example, in August 2018, we and Sanofi entered into a license agreement with Bristol-Myers Squibb, E. R. Squibb &amp; Sons, and Ono Pharmaceutical to obtain a license under certain patents owned and/or exclusively licensed by one or more of these parties that includes the right to develop and sell Libtayo. If any licenses are required, we may not be able to obtain such licenses on commercially reasonable terms, if at all. The failure to obtain any such license could prevent us from developing or commercializing any one or more of our products or product candidates, which could severely harm our business.</w:t>
      </w:r>
    </w:p>
    <w:p>
      <w:pPr>
        <w:spacing w:after="0" w:line="1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Loss or limitation of patent rights, and regulatory pathways for biosimilar competition, could reduce the duration of market exclusivity for our products.</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11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Arial" w:cs="Arial" w:eastAsia="Arial" w:hAnsi="Arial"/>
          <w:sz w:val="16"/>
          <w:szCs w:val="16"/>
          <w:i w:val="1"/>
          <w:iCs w:val="1"/>
          <w:color w:val="auto"/>
        </w:rPr>
        <w:t>If we cannot protect the</w:t>
      </w:r>
      <w:r>
        <w:rPr>
          <w:rFonts w:ascii="Arial" w:cs="Arial" w:eastAsia="Arial" w:hAnsi="Arial"/>
          <w:sz w:val="16"/>
          <w:szCs w:val="16"/>
          <w:color w:val="auto"/>
        </w:rPr>
        <w:t xml:space="preserve"> </w:t>
      </w:r>
      <w:r>
        <w:rPr>
          <w:rFonts w:ascii="Arial" w:cs="Arial" w:eastAsia="Arial" w:hAnsi="Arial"/>
          <w:sz w:val="16"/>
          <w:szCs w:val="16"/>
          <w:i w:val="1"/>
          <w:iCs w:val="1"/>
          <w:color w:val="auto"/>
        </w:rPr>
        <w:t>confidentiality of our trade secrets, or our patents or other means of defending our intellectual property are insufficient to protect our proprietary rights, our business and competitive position will be harmed,</w:t>
      </w:r>
      <w:r>
        <w:rPr>
          <w:rFonts w:ascii="Arial" w:cs="Arial" w:eastAsia="Arial" w:hAnsi="Arial"/>
          <w:sz w:val="16"/>
          <w:szCs w:val="16"/>
          <w:color w:val="auto"/>
        </w:rPr>
        <w:t>" the scope and enforceability of our patent rights may vary from country to country. The failure to</w:t>
      </w:r>
      <w:r>
        <w:rPr>
          <w:rFonts w:ascii="Arial" w:cs="Arial" w:eastAsia="Arial" w:hAnsi="Arial"/>
          <w:sz w:val="16"/>
          <w:szCs w:val="16"/>
          <w:i w:val="1"/>
          <w:iCs w:val="1"/>
          <w:color w:val="auto"/>
        </w:rPr>
        <w:t xml:space="preserve"> </w:t>
      </w:r>
      <w:r>
        <w:rPr>
          <w:rFonts w:ascii="Arial" w:cs="Arial" w:eastAsia="Arial" w:hAnsi="Arial"/>
          <w:sz w:val="16"/>
          <w:szCs w:val="16"/>
          <w:color w:val="auto"/>
        </w:rPr>
        <w:t>obtain patent and other intellectual property rights, or limitations on the use, or the loss, of such rights could materially harm us. Absent patent protection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5" w:name="page56"/>
    <w:bookmarkEnd w:id="5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or regulatory exclusivity for our products, it is possible, both in the United States and elsewhere, that generic, biosimilar, and/or interchangeable versions of those products may be approved and marketed, which would likely result in substantial and rapid reductions in revenues from sales of those products.</w:t>
      </w:r>
    </w:p>
    <w:p>
      <w:pPr>
        <w:spacing w:after="0" w:line="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PPACA, there is an abbreviated path in the United States for regulatory approval of products that are demonstrated to be "biosimilar" or "interchangeable" with an FDA-approved biological product. The PPACA provides a regulatory mechanism that allows for FDA approval of biologic drugs that are similar to innovative drugs on the basis of less extensive data than is required by a full BLA. Under this regulation, an application for approval of a biosimilar may be filed four years after approval of the innovator product. However, qualified innovative biological products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 if, for example, the PPACA is amended.</w:t>
      </w:r>
    </w:p>
    <w:p>
      <w:pPr>
        <w:spacing w:after="0" w:line="12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 number of jurisdictions outside of the United States have also established abbreviated pathways for regulatory approval of biological products that are biosimilar to earlier versions of biological products. For example, the EU has had an established regulatory pathway for biosimilars since 2005.</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increased likelihood of biosimilar competition has increased the risk of loss of innovators' market exclusivity. It is also not possible to predict changes in United States regulatory law that might reduce biological product regulatory exclusivity. Due to this risk, and uncertainties regarding patent protection, it is not possible to predict the length of market exclusivity for any particular product we currently or may in the future commercialize with certainty based solely on the expiration of the relevant patent(s) or the current forms of regulatory exclusivity. We are aware of several companies developing biosimilar versions of EYLEA. In the United States, the regulatory exclusivity period for EYLEA (</w:t>
      </w:r>
      <w:r>
        <w:rPr>
          <w:rFonts w:ascii="Arial" w:cs="Arial" w:eastAsia="Arial" w:hAnsi="Arial"/>
          <w:sz w:val="17"/>
          <w:szCs w:val="17"/>
          <w:i w:val="1"/>
          <w:iCs w:val="1"/>
          <w:color w:val="auto"/>
        </w:rPr>
        <w:t>i.e.</w:t>
      </w:r>
      <w:r>
        <w:rPr>
          <w:rFonts w:ascii="Arial" w:cs="Arial" w:eastAsia="Arial" w:hAnsi="Arial"/>
          <w:sz w:val="17"/>
          <w:szCs w:val="17"/>
          <w:color w:val="auto"/>
        </w:rPr>
        <w:t>, the period during which no biosimilar product can be approved by the FDA) expires on November 18, 2023, with the possibility of an additional six months of regulatory exclusivity (</w:t>
      </w:r>
      <w:r>
        <w:rPr>
          <w:rFonts w:ascii="Arial" w:cs="Arial" w:eastAsia="Arial" w:hAnsi="Arial"/>
          <w:sz w:val="17"/>
          <w:szCs w:val="17"/>
          <w:i w:val="1"/>
          <w:iCs w:val="1"/>
          <w:color w:val="auto"/>
        </w:rPr>
        <w:t>i.e.</w:t>
      </w:r>
      <w:r>
        <w:rPr>
          <w:rFonts w:ascii="Arial" w:cs="Arial" w:eastAsia="Arial" w:hAnsi="Arial"/>
          <w:sz w:val="17"/>
          <w:szCs w:val="17"/>
          <w:color w:val="auto"/>
        </w:rPr>
        <w:t>, until May 18, 2024) if the FDA grants pediatric exclusivity based on our completion of certain studies evaluating EYLEA in pediatric patients with retinopathy of prematurity and submission of the data from these studies to the FDA no later than 15 months before the date on which regulatory exclusivity would otherwise expire. The loss of market exclusivity for a product (such as EYLEA) would likely materially and negatively affect revenues from product sales of that product and thus our financial results and condition.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 and Supply</w:t>
      </w:r>
    </w:p>
    <w:p>
      <w:pPr>
        <w:spacing w:after="0" w:line="1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on limited internal and contracted manufacturing and supply chain capacity, which could adversely affect our ability to commercialize our marketed products and, if approved, our product candidates and to advance our clinical pipeline.</w:t>
      </w:r>
    </w:p>
    <w:p>
      <w:pPr>
        <w:spacing w:after="0" w:line="10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have large-scale manufacturing operations in Rensselaer, New York and Limerick, Ireland. Manufacturing facilities operated by us and by third-party contract manufacturers engaged by us would be inadequate to produce the active pharmaceutical ingredients of our current marketed products and our product candidates in sufficient clinical quantities if our clinical pipeline advances as planned. For example, our internal manufacturing capacity may not be sufficient to cover the demand for REGEN-COV, our novel investigational antibody cocktail treatment designed to prevent and treat infection from the SARS-CoV-2 virus, which in November 2020 received an EUA from the FDA for the treatment of mild to moderate COVID-19. In addition to expanding our internal capacity, we intend to continue to rely on our collaborators, and may also rely on contract manufacturers, to produce commercial quantities of drug material needed for commercialization of our products. For example, as described in Part I, Item 1. "Business," in August 2020, we announced a collaboration agreement with Roche to develop, manufacture, and distribute REGEN-COV. We cannot be certain that the technology transfer process required to allow Roche to manufacture REGEN-COV will be completed in the expected time frame or at all nor can we be certain that this collaboration will result in the anticipated increase in the current manufacturing and distribution capacity for REGEN-COV or that any increased manufacturing and distribution capacity will be sufficient. As we increase our production in anticipation of potential regulatory approval for our product candidates, our current manufacturing capacity will likely not be sufficient, and our dependence on our collaborators and/or contract manufacturers may increase, to produce adequate quantities of drug material for both commercial and clinical purposes. We rely entirely on other parties and our collaborators for filling and finishing services, including with respect to drug-delivery devices (such as a pre-filled syringe, patch pump, auto-injector, or other delivery system).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 we are unable to directly or through other parties manufacture and supply sufficient commercial and clinical quantities of our products on acceptable terms, or if we should encounter delays or other difficulties with our collaborators, contract manufacturers, warehouses, shipping, testing laboratories, or other parties involved in our supply chain which adversely affect the timely manufacture and supply of our products or product candidates, our business, prospects, operating results, and financial condition may be materially harmed.</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6" w:name="page57"/>
    <w:bookmarkEnd w:id="5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Expanding our manufacturing capacity and establishing fill/finish capabilities will be costly and we may be unsuccessful in doing so in a timely manner, which could delay or prevent the launch and successful commercialization of our marketed products and product candidates or other indications for our marketed products if they are approved for marketing and could jeopardize our current and future clinical development programs.</w:t>
      </w:r>
    </w:p>
    <w:p>
      <w:pPr>
        <w:spacing w:after="0" w:line="5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addition to our existing manufacturing facilities in Rensselaer, New York and Limerick, Ireland, we may lease, operate, purchase, or construct additional facilities to conduct expanded manufacturing or other related activities in the future. Expanding our manufacturing capacity to supply commercial quantities of the active pharmaceutical ingredients for our marketed products and our product candidates if they are approved for marketing, and to supply clinical drug material to support the continued growth of our clinical programs, will require substantial additional expenditures, time, and various regulatory approvals and permits. This also holds true for establishing fill/finish capabilities in the future, for which we have taken initial steps. Further, we will need to hire and train significant numbers of employees and managerial personnel to staff our expanding manufacturing and supply chain operations, as well as any future fill/finish activities.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and any future fill/finish activities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or any future fill/finish capabilities or manufacture our products economically or in compliance with cGMPs and other regulatory requirements, and we and our collaborators may not be able to build or procure additional capacity in the required timeframe to meet commercial demand for our product candidates if they receive regulatory approval, and to continue to meet the requirements of our clinical programs. This would interfere with our efforts to successfully commercialize our marketed products, and could also delay or require us to discontinue one or more of our clinical development programs. As a result, our business, prospects, operating results, and financial condition could be materially harmed.</w:t>
      </w:r>
    </w:p>
    <w:p>
      <w:pPr>
        <w:spacing w:after="0" w:line="1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ability to manufacture products may be impaired if any of our or our collaborators' manufacturing activities, or the activities of other third parties involved in our manufacture and supply chain, are found to infringe patents of others.</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ability to continue to manufacture products in our Rensselaer, New York and Limerick, Ireland facilities and at additional facilities (if any) in the future (including our ability to conduct any fill/finish activities in the future), the ability of our collaborators to manufacture products at their facilities, and our ability to utilize other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others. Other parties may allege that our or our collaborators' manufacturing activities, or the activities of other third parties involved in our manufacture and supply chain (which may be located in jurisdictions outside the United States), infringe patents or other intellectual property rights. For example, we are currently party to patent infringement and other proceedings relating to the EYLEA pre-filled syringe, as described in Note 15 to our Consolidated Financial Statements. A judicial or regulatory decision in favor of one or more parties making such allegations could directly or indirectly preclude the manufacture of our products to which those intellectual property rights apply on a temporary or permanent basis, which could materially harm our business, prospects, operating results, and financial condition.</w:t>
      </w:r>
    </w:p>
    <w:p>
      <w:pPr>
        <w:spacing w:after="0" w:line="9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sales of our marketed products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use our manufacturing facilities primarily to produce bulk product for commercial supply of our marketed products and clinical and preclinical candidates for ourselves and our collaborations. We also plan to use such facilities to produce bulk product for commercial supply of new indications of our marketed products and new product candidates if they are approved for marketing.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one hundred percent of related overhead costs and inefficiencies, as well as similar costs of third-party contract manufacturers performing services for us. In addition, if we or our collaborators experience excess inventory, it may be necessary to write down or write off such excess inventory or incur an impairment charge with respect to the facility where such product is manufactured, which could adversely affect our operating results.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7" w:name="page58"/>
    <w:bookmarkEnd w:id="5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Third-party service or supply failures, or other failures, business interruptions, or other disasters affecting our manufacturing facilities in Rensselaer, New York and Limerick, Ireland, the manufacturing facilities of our collaborators, or the facilities of any other party participating in the supply chain, would adversely affect our ability to supply our products.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Bulk drug materials are currently manufactured at our manufacturing facilities in Rensselaer, New York and Limerick, Ireland, as well as at our collaborators' facilities. We and our collaborators would be unable to manufacture these materials if the relevant facility were to cease production due to regulatory requirements or actions, business interruptions, labor shortages or disputes, contaminations, fire, natural disasters, acts of war or terrorism, or other problems.</w:t>
      </w:r>
    </w:p>
    <w:p>
      <w:pPr>
        <w:spacing w:after="0" w:line="11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Many of our products and product candidates are very difficult to manufacture. As our products and product candidates are biologics, they require processing steps that are more difficult than those required for most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or our collaborators in a timely manner), could lead to product defects or manufacturing failures, resulting in lot failures, product recalls, product liability claims, and insufficient inventory. Also, the complexity of our manufacturing process may make it difficult, time-consuming, and expensive to transfer our technology to our collaborators or contract manufacturers.</w:t>
      </w:r>
    </w:p>
    <w:p>
      <w:pPr>
        <w:spacing w:after="0" w:line="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Also, certain raw materials or other products necessary for the manufacture and formulation of our marketed products and product candidates, some of which are difficult to source, are provided by single-source unaffiliated third-party suppliers. In addition, we rely on certain third parties or our collaborators to perform filling, finishing, distribution, laboratory testing, and other services related to the manufacture of our marketed products and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contaminations, business interruptions, or labor shortages or disputes (in each case, including as a result of the COVID-19 pandemic). In any such circumstances, we may not be able to engage a backup or alternative supplier or service provider in a timely manner or at all. This, in turn, could materially and adversely affect our or our collaborators' ability to manufacture or supply marketed products and product candidates, which could materially and adversely affect our business and future prospects.</w:t>
      </w:r>
    </w:p>
    <w:p>
      <w:pPr>
        <w:spacing w:after="0" w:line="10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Certain of the raw materials required in the manufacture and testing of our products and product candidates may be derived from biological sources, including mammalian tissues, bovine serum, and human serum albumin. There are certain regulatory restrictions on using these biological source materials. If we or our collaborators are required to substitute for these sources to comply with such regulatory requirements, our clinical development or commercial activities may be delayed or interrupted.</w:t>
      </w:r>
    </w:p>
    <w:p>
      <w:pPr>
        <w:spacing w:after="0" w:line="11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Our or our collaborators'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p>
    <w:p>
      <w:pPr>
        <w:spacing w:after="0" w:line="8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and our collaborators and other third-party providers are required to maintain compliance with cGMPs, and are subject to inspections by the FDA or comparable agencies in other jurisdictions to confirm such compliance. Changes of suppliers or modifications of methods of manufacturing may require amending our application(s) to the FDA or such comparable foreign agencies and acceptance of the change by the FDA or such comparable foreign agencies prior to release of product(s). Because we produce multiple products and product candidates at our facilities in Rensselaer, New York and Limerick, Ireland, there are increased risks associated with cGMP compliance. Our inability, or the inability of our collaborators and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product candidates or new indications for our marketed products. Any delay, interruption, or other issue that arises in the manufacture, fill/finish, packaging, or storage of any drug product or product candidate as a result of a failure of our facilities or the facilities or operations of our collaborators or other third parties to pass any regulatory agency inspection or maintain cGMP compliance could significantly impair our ability to develop, obtain approval for, and successfully commercialize our products, which would substantially harm our business, prospects, operating results, and financial condition.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w:t>
      </w:r>
    </w:p>
    <w:p>
      <w:pPr>
        <w:spacing w:after="0" w:line="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revenue from any marketed products, which could be seriously detrimental to our business, prospects, operating results, and financial condition. Significant noncompliance could also result in the imposition of monetary penalties or other civil or criminal sanctions and damage our reputation.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8" w:name="page59"/>
    <w:bookmarkEnd w:id="5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Regulatory and Litigation Risks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testing or use of our products harms people, or is perceived to harm them even when such harm is unrelated to our products, we could be subject to costly and damaging product liability claims.</w:t>
      </w:r>
    </w:p>
    <w:p>
      <w:pPr>
        <w:spacing w:after="0" w:line="10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may also be subject to claims by patients who use our approved products, or our product candidates if those product candidates receive regulatory approval and become commercially available, that they have been injured by a side effect associated with the drug. Even in a circumstance in which we do not believe that an adverse event is related to our products or product candidates, the related investigation may be time consuming or inconclusive and may have a negative impact on our reputation or business. We may face product liability claims and be found responsible even if injury arises from the acts or omissions of third parties who provide fill/finish or other services. To the extent we maintain product liability insurance in relevant periods, such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business activities have been, and may in the future be, challenged under federal or state healthcare laws, which may subject us to civil or criminal proceedings, investigations, or penalties.</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FDA regulates the marketing and promotion of our products, which must comply with the Food, Drug, and Cosmetic Act and applicable FDA implementing standards. The FDA's review of promotional activities includes healthcare provider-directed and direct-to-consumer advertising, communications regarding unapproved uses, industry-sponsored scientific and educational activities, and sales representatives' communications. Failure to comply with applicable FDA requirements and restrictions in this area may subject a company to adverse publicity and enforcement action by the FDA, the Department of Justice, or the Office of the Inspector General of the HHS, as well as state authorities. This could subject a company to a range of penalties that could have a significant commercial impact, including civil and criminal fines and agreements that materially restrict the manner in which a company promotes or distributes a drug. The FDA may take enforcement action for promoting unapproved uses of a product or other violations of its advertising laws and regulations. The applicable regulations in countries outside the U.S. grant similar powers to the competent authorities and impose similar obligations on companies.</w:t>
      </w:r>
    </w:p>
    <w:p>
      <w:pPr>
        <w:spacing w:after="0" w:line="1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to FDA and related regulatory requirements, we are subject to health care "fraud and abuse" laws, such as the federal civil False Claims Act, the anti-kickback provisions of the federal Social Security Act, and other state and federal laws and regulations. The U.S. federal healthcare program anti-kickback statute (the "AKS") prohibits, among other things, knowingly and willfully offering, paying, soliciting, or receiving payments or other remuneration, directly or indirectly, to induce or reward someone to purchase, prescribe, endorse, arrange for, or recommend a product or service that is reimbursed under federal healthcare programs such as Medicare or Medicaid. If we provide payments or other remuneration to a healthcare professional to induce the prescribing of our products, we could face liability under state and federal anti-kickback laws. Recently, the Bipartisan Budget Act of 2018 increased the criminal and civil penalties that can be imposed for violating certain federal health care laws, including the federal anti-kickback statute.</w:t>
      </w:r>
    </w:p>
    <w:p>
      <w:pPr>
        <w:spacing w:after="0" w:line="9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federal civil False Claims Act prohibits any person from, among other things, knowingly presenting, or causing to be presented, a false claim for payment to the federal government, or knowingly making, or causing to be made, a false statement to get a false claim paid. The False Claims Act also permits a private individual acting as a "whistleblower" to bring actions on behalf of the federal government alleging violations of the statute and to share in any monetary recovery. Pharmaceutical companies have been investigated and/or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 Pharmaceutical and other healthcare companies also are subject to other federal false claims laws, including, among others, federal criminal fraud and false statement statutes that extend to non-government health benefit programs.</w:t>
      </w:r>
    </w:p>
    <w:p>
      <w:pPr>
        <w:spacing w:after="0" w:line="107"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majority of states also have statutes or regulations similar to the federal anti-kickback law and false claims laws, which apply to items and services reimbursed under Medicaid and other state programs, or, in several states, apply regardless of the payor. Sanctions under these federal and state laws may include civil monetary penalties, damages, exclusion of a manufacturer's products from reimbursement under government programs, criminal fines, and</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imprisonment for individuals and the curtailment or restructuring of operations. Even if it is determined that we have not violated these laws, government investigations into these issues typically require the expenditure of significant resources and generate negative publicity, which would harm our business, prospects, operating results, and financial condition. Because of the breadth of these laws and the narrowness of the safe harbors, it is possible that some of our business activities could be challenged under one or more of such laws. As described further in Note 15 to our Consolidated Financial Statements included in this report, we are party to a civil complaint filed in June 2020 by</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9" w:name="page60"/>
    <w:bookmarkEnd w:id="5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the U.S. Attorney's Office for the District of Massachusetts concerning our support of 501(c)(3) organizations that provide financial assistance to patients; and we are cooperating with a pending government investigation concerning certain other business activities. Any adverse decision, finding, allegation, or</w:t>
      </w:r>
    </w:p>
    <w:p>
      <w:pPr>
        <w:jc w:val="both"/>
        <w:spacing w:after="0" w:line="277" w:lineRule="auto"/>
        <w:rPr>
          <w:sz w:val="20"/>
          <w:szCs w:val="20"/>
          <w:color w:val="auto"/>
        </w:rPr>
      </w:pPr>
      <w:r>
        <w:rPr>
          <w:rFonts w:ascii="Arial" w:cs="Arial" w:eastAsia="Arial" w:hAnsi="Arial"/>
          <w:sz w:val="18"/>
          <w:szCs w:val="18"/>
          <w:color w:val="auto"/>
        </w:rPr>
        <w:t>exercise of enforcement or regulatory discretion in any such proceedings or investigations could harm our business, prospects, operating results, and financial condition.</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As part of the PPACA, the federal government requires that pharmaceutical manufacturers record any "transfers of value" made to U.S. prescribers and</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other healthcare providers and teaching hospitals as well as ownership and investment interests held by physicians and their immediate family members. Information provided by companies is aggregated and posted annually on an "Open Payments" website, which is managed by CMS, the agency responsible for implementing these disclosure requirements. Beginning in 2022, applicable manufacturers also will be required to report information (starting with information collected during 2021) regarding payments and transfers of value provided to physician assistants, nurse practitioners, clinical nurse specialists, certified nurse anesthetists, and certified nurse-midwives.</w:t>
      </w:r>
    </w:p>
    <w:p>
      <w:pPr>
        <w:spacing w:after="0" w:line="1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continue to dedicate significant resources to comply with these requirements and need to be prepared to comply with additional reporting obligations outside of the United States that may apply in the future. In addition, several states have legislation requiring pharmaceutical companies to establish marketing compliance programs, file periodic reports with the state, or make periodic public disclosures on sales, marketing, pricing, clinical trials, and other activities; restrict when pharmaceutical companies may provide meals or gifts to prescribers or engage in other marketing-related activities; require identification or licensing of sales representatives; and restrict the ability of manufacturers to offer co-pay support to patients for certain prescription drugs. Many of these requirements and standards are new or uncertain, and the penalties for failure to comply with these requirements may be unclear. If we are found not to be in full compliance with these laws, we could face enforcement actions, fines, and other penalties, and could receive adverse publicity, which would harm our business, prospects, operating results, and financial condition. Additionally, access to such data by fraud-and-abuse investigators and industry critics may draw scrutiny to our collaborations with reported entities.</w:t>
      </w:r>
    </w:p>
    <w:p>
      <w:pPr>
        <w:spacing w:after="0" w:line="11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future prospects.</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participate in the Medicaid Drug Rebate program, the 340B program, the VA FSS pricing program, and the Tricare Retail Pharmacy Program. See Part I, Item 1, "Business – Government Regulation – Pricing and Reimbursement" for a description of these programs.</w:t>
      </w:r>
    </w:p>
    <w:p>
      <w:pPr>
        <w:spacing w:after="0" w:line="1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Pricing and rebate calculations vary across products and programs, are complex, and are often subject to interpretation by us, governmental or regulatory agencies, and the courts. Such interpretation can change and evolve over time.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w:t>
      </w:r>
    </w:p>
    <w:p>
      <w:pPr>
        <w:spacing w:after="0" w:line="11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Civil monetary penalties can be applied if we are found to have knowingly submitted any false price or product information to the government, if we are found to have made a misrepresentation in the reporting of our average sales price, if we fail to submit the required price data on a timely basis, or if we are found to have charged 340B covered entities more than the statutorily mandated ceiling price. The CMS could also decide to terminate our Medicaid drug rebate agreement, in which case federal payments may not be available under Medicaid or Medicare Part B for our covered outpatient drugs.</w:t>
      </w:r>
    </w:p>
    <w:p>
      <w:pPr>
        <w:spacing w:after="0" w:line="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failure to comply with our reporting and payment obligations under the Medicaid Drug Rebate program and other governmental programs could negatively impact our financial results. CMS issued a final regulation, which became effective on April 1, 2016, to implement the changes to the Medicaid Drug Rebate program under the PPACA. The issuance of the final regulation, as well as any other regulations and coverage expansion by various governmental agencies relating to the Medicaid Drug Rebate program, has increased and will continue to increase our costs and the complexity of compliance, has been and will continue to be time-consuming to implement, and could have a material adverse effect on our results of operations, particularly if CMS challenges the approach we take in our implementation of the final regulation.</w:t>
      </w:r>
    </w:p>
    <w:p>
      <w:pPr>
        <w:spacing w:after="0" w:line="11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HRSA issued a final regulation regarding the calculation of the 340B ceiling price and the imposition of civil monetary penalties on manufacturers that knowingly and intentionally overcharge covered entities, which became effective on January 1, 2019. Implementation of this regulation could affect our obligations and potential liability under the 340B program in ways we cannot anticipate. We are also required to report the 340B ceiling prices for our covered outpatient drugs to HRSA, which then publishes them to 340B covered entities. Any charge by HRSA that we have violated the requirements of the program or the regulation could negatively impact our financial results. Moreover, under a final regulation effective January 13, 2021, HRSA</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0" w:name="page61"/>
    <w:bookmarkEnd w:id="6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newly established an ADR process for claims by covered entities that a manufacturer has engaged in overcharging, and by manufacturers that a covered entity violated the prohibitions against diversion or duplicate discounts. Such claims are to be resolved through an ADR panel of government officials rendering a decision that could be appealed only in federal court. An ADR proceeding could subject us to onerous procedural requirements and could result in additional liability. Further, any additional future changes to the definition of average manufacturer price and the Medicaid rebate amount under the PPACA or otherwise could affect our 340B ceiling price calculations and negatively impact our results of operations.</w:t>
      </w:r>
    </w:p>
    <w:p>
      <w:pPr>
        <w:spacing w:after="0" w:line="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obligations to report the average sales price for certain of our drugs to the Medicare program. Statutory or regulatory changes or CMS guidance could affect the average sales price calculations for our products and the resulting Medicare payment rate, and could negatively impact our results of operations.</w:t>
      </w:r>
    </w:p>
    <w:p>
      <w:pPr>
        <w:spacing w:after="0" w:line="116"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Pursuant to applicable law, knowing provision of false information in connection with price reporting or contract</w:t>
      </w:r>
      <w:r>
        <w:rPr>
          <w:rFonts w:ascii="MS PGothic" w:cs="MS PGothic" w:eastAsia="MS PGothic" w:hAnsi="MS PGothic"/>
          <w:sz w:val="18"/>
          <w:szCs w:val="18"/>
          <w:color w:val="auto"/>
        </w:rPr>
        <w:t>‑</w:t>
      </w:r>
      <w:r>
        <w:rPr>
          <w:rFonts w:ascii="Arial" w:cs="Arial" w:eastAsia="Arial" w:hAnsi="Arial"/>
          <w:sz w:val="18"/>
          <w:szCs w:val="18"/>
          <w:color w:val="auto"/>
        </w:rPr>
        <w:t>based requirements under the VA/FSS and/or Tricare programs can subject a manufacturer to civil monetary penalties. These program and contract-based obligations also contain extensive disclosure and certification requirements. If we overcharge the government in connection with our arrangements with FSS or Tricare, we are required to refund the difference to the government. Failure to make necessary disclosures or to identify contract overcharges can result in allegations against us under the False Claims Act and other laws and regulations. Unexpected refunds to the government, and/or response to a government investigation or enforcement action, would be expensive and time-consuming, and could have a material adverse effect on our business, financial condition, results of operations, and future prospects.</w:t>
      </w:r>
    </w:p>
    <w:p>
      <w:pPr>
        <w:spacing w:after="0" w:line="1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trade restrictions and sanctions, environmental, competition, and privacy laws and regulations. Such improper actions could subject us to civil or criminal investigations, and monetary and injunctive penalties, and could adversely impact our ability to conduct business, operating results, and reputation.</w:t>
      </w:r>
    </w:p>
    <w:p>
      <w:pPr>
        <w:spacing w:after="0" w:line="12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particular, our business activities outside of the United States are subject to the Foreign Corrupt Practices Act, or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Securities and Exchange Commission, or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expand internationally, our ability to attract and retain employees, and our business, prospects, operating results, and financial condition.</w:t>
      </w:r>
    </w:p>
    <w:p>
      <w:pPr>
        <w:spacing w:after="0" w:line="1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operations are subject to environmental, health, and safety laws and regulations, including those governing the use of hazardous materials. Compliance with these laws and regulations is costly, and we may incur substantial liability arising from our activities involving the use of hazardous materials.</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fully integrated biotechnology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infectious agents (such as viruses, bacteria, and fungi),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1" w:name="page62"/>
    <w:bookmarkEnd w:id="6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increasingly complex corporate governance, public disclosure, and accounting requirements and regulations that could adversely affect our business, operating results, and financial condition.</w:t>
      </w:r>
    </w:p>
    <w:p>
      <w:pPr>
        <w:spacing w:after="0" w:line="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subject to changing rules and regulations of various federal and state governmental authorities as well as the stock exchange on which our Common Stock is listed. These entities, including the SEC and The NASDAQ Stock Market LLC, have issued a significant number of new and increasingly complex requirements and regulations over the course of the last several years and continue to develop additional requirements and regulations in response to laws enacted by Congress, including the Sarbanes-Oxley Act of 2002 and the Dodd-Frank Wall Street Reform and Protection Act, or the Dodd-Frank Act. There are significant corporate governance and executive compensation-related provisions in the Dodd-Frank Act that expressly authorized or required the SEC to adopt additional rules in these areas, a number of which have yet to be fully implemented. Our efforts to comply with these requirements and regulations have resulted in, and are likely to continue to result in, an increase in expenses and a diversion of management's time from other business activities.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and regulations affecting the healthcare industry could adversely affect our business.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aspects of our business, including research and development, manufacturing, marketing, pricing, sales, intellectual property rights, and the framework for dispute resolution and asserting our rights against others, are subject to extensive legislation and regulation. Changes in applicable federal and state laws and agency regulations could have a materially negative impact on our business. These include:</w:t>
      </w:r>
    </w:p>
    <w:p>
      <w:pPr>
        <w:spacing w:after="0" w:line="103" w:lineRule="exact"/>
        <w:rPr>
          <w:sz w:val="20"/>
          <w:szCs w:val="20"/>
          <w:color w:val="auto"/>
        </w:rPr>
      </w:pPr>
    </w:p>
    <w:p>
      <w:pPr>
        <w:ind w:left="660" w:right="20" w:hanging="328"/>
        <w:spacing w:after="0" w:line="258"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FDA and foreign regulatory processes for new therapeutics that may delay or prevent the approval of any of our current or future product candidates;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FDA and foreign regulations that may require additional safety monitoring prior to or after the introduction of new products to market, which could materially increase our costs of doing business; and</w:t>
      </w:r>
    </w:p>
    <w:p>
      <w:pPr>
        <w:ind w:left="660" w:hanging="328"/>
        <w:spacing w:after="0" w:line="26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FDA and foreign cGMP requirements that may make it more difficult and costly for us to maintain regulatory compliance and/or manufacture our marketed product and product candidates in accordance with cGMPs.</w:t>
      </w:r>
    </w:p>
    <w:p>
      <w:pPr>
        <w:spacing w:after="0" w:line="11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The U.S. government could carry out other significant changes in legislation, regulation, and government policy, including with respect to government reimbursement changes and drug price control measures (such as those discussed above under "Risks Related to Commercialization of Our Marketed Products, Product Candidates, and New Indications for Our Marketed Products - </w:t>
      </w:r>
      <w:r>
        <w:rPr>
          <w:rFonts w:ascii="Arial" w:cs="Arial" w:eastAsia="Arial" w:hAnsi="Arial"/>
          <w:sz w:val="16"/>
          <w:szCs w:val="16"/>
          <w:i w:val="1"/>
          <w:iCs w:val="1"/>
          <w:color w:val="auto"/>
        </w:rPr>
        <w:t>Sales of our marketed products are dependent on the availability and</w:t>
      </w:r>
      <w:r>
        <w:rPr>
          <w:rFonts w:ascii="Arial" w:cs="Arial" w:eastAsia="Arial" w:hAnsi="Arial"/>
          <w:sz w:val="16"/>
          <w:szCs w:val="16"/>
          <w:color w:val="auto"/>
        </w:rPr>
        <w:t xml:space="preserve"> </w:t>
      </w:r>
      <w:r>
        <w:rPr>
          <w:rFonts w:ascii="Arial" w:cs="Arial" w:eastAsia="Arial" w:hAnsi="Arial"/>
          <w:sz w:val="16"/>
          <w:szCs w:val="16"/>
          <w:i w:val="1"/>
          <w:iCs w:val="1"/>
          <w:color w:val="auto"/>
        </w:rPr>
        <w:t>extent of reimbursement from third-party payors, and changes to such reimbursement may materially harm our business, prospects, operating results, and financial condition</w:t>
      </w:r>
      <w:r>
        <w:rPr>
          <w:rFonts w:ascii="Arial" w:cs="Arial" w:eastAsia="Arial" w:hAnsi="Arial"/>
          <w:sz w:val="16"/>
          <w:szCs w:val="16"/>
          <w:color w:val="auto"/>
        </w:rPr>
        <w:t>"). While it is not possible to predict whether and when any such changes will occur, changes in the laws, regulations, and policies</w:t>
      </w:r>
      <w:r>
        <w:rPr>
          <w:rFonts w:ascii="Arial" w:cs="Arial" w:eastAsia="Arial" w:hAnsi="Arial"/>
          <w:sz w:val="16"/>
          <w:szCs w:val="16"/>
          <w:i w:val="1"/>
          <w:iCs w:val="1"/>
          <w:color w:val="auto"/>
        </w:rPr>
        <w:t xml:space="preserve"> </w:t>
      </w:r>
      <w:r>
        <w:rPr>
          <w:rFonts w:ascii="Arial" w:cs="Arial" w:eastAsia="Arial" w:hAnsi="Arial"/>
          <w:sz w:val="16"/>
          <w:szCs w:val="16"/>
          <w:color w:val="auto"/>
        </w:rPr>
        <w:t>governing the development and approval of our product candidates and the commercialization, importation, and reimbursement of our products could adversely affect our business. In addition, our development and commercialization activities could be harmed or delayed by a shutdown of the U.S. government, including the FDA. For example, a prolonged shutdown may significantly delay the FDA's ability to timely review and process any submissions we have filed or may file or cause other regulatory delays, which could materially and adversely affect our business.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associated with our operations outside of the United States could adversely affect our business.</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operations and conduct business outside the United States and we plan to expand these activities. Consequently, we are, and will continue to be, subject to risks related to operating in foreign countries, which include:</w:t>
      </w:r>
    </w:p>
    <w:p>
      <w:pPr>
        <w:spacing w:after="0" w:line="103"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unfamiliar foreign laws or regulatory requirements or unexpected changes to those laws or requirements;</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laws and regulatory requirements to which our business activities abroad are subject, such as the FCPA and the U.K. Bribery Act (discussed in greater detail above under "</w:t>
      </w:r>
      <w:r>
        <w:rPr>
          <w:rFonts w:ascii="Arial" w:cs="Arial" w:eastAsia="Arial" w:hAnsi="Arial"/>
          <w:sz w:val="18"/>
          <w:szCs w:val="18"/>
          <w:i w:val="1"/>
          <w:iCs w:val="1"/>
          <w:color w:val="auto"/>
        </w:rPr>
        <w:t>Risks from the improper conduct of employees, agents, contractors, or collaborators could adversely affect our</w:t>
      </w:r>
      <w:r>
        <w:rPr>
          <w:rFonts w:ascii="Arial" w:cs="Arial" w:eastAsia="Arial" w:hAnsi="Arial"/>
          <w:sz w:val="18"/>
          <w:szCs w:val="18"/>
          <w:color w:val="auto"/>
        </w:rPr>
        <w:t xml:space="preserve"> </w:t>
      </w:r>
      <w:r>
        <w:rPr>
          <w:rFonts w:ascii="Arial" w:cs="Arial" w:eastAsia="Arial" w:hAnsi="Arial"/>
          <w:sz w:val="18"/>
          <w:szCs w:val="18"/>
          <w:i w:val="1"/>
          <w:iCs w:val="1"/>
          <w:color w:val="auto"/>
        </w:rPr>
        <w:t>reputation and our business, prospects, operating results, and financial condition</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political or economic condition of a specific country or region;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fluctuations in the value of foreign currency versus the U.S. dollar;</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2" w:name="page63"/>
    <w:bookmarkEnd w:id="6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right="20" w:hanging="328"/>
        <w:spacing w:after="0" w:line="258"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tariffs, trade protection measures, import or export licensing requirements, trade embargoes, and sanctions (including those administered by the Office of Foreign Assets Control of the U.S. Department of the Treasury), and other trade barriers;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difficulties in attracting and retaining qualified personnel;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cultural differences in the conduct of business.</w:t>
      </w:r>
    </w:p>
    <w:p>
      <w:pPr>
        <w:spacing w:after="0" w:line="1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example, effective January 31, 2020, the United Kingdom commenced an exit from the EU, commonly referred to as "Brexit." The transition period for Brexit expired on December 31, 2020 following the entry into a trade agreement that now governs the United Kingdom's relationship with the EU. We do not know to what extent Brexit will ultimately impact the business and regulatory environment in the United Kingdom, the rest of the EU, or other countries. For example, the impact of Brexit on the ongoing validity in the United Kingdom of current EU authorizations for medicinal products and on the future process for obtaining marketing authorization for pharmaceutical products manufactured or sold in the United Kingdom remains uncertain. We have large-scale manufacturing operations in Limerick, Ireland and have also established an office in the vicinity of London. Changes impacting our ability to conduct business in the United Kingdom or other EU countries, or changes to the regulatory regime applicable to our operations in those countries (such as with respect to the approval of our product candidates), may materially and adversely impact our business, prospects, operating results, and financial condition.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additional tax liabilities related to our operations.</w:t>
      </w:r>
    </w:p>
    <w:p>
      <w:pPr>
        <w:spacing w:after="0" w:line="15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are subject to income tax in the United States and various foreign jurisdictions. Significant judgment is required in determining our worldwide tax liabilities, and our effective tax rate is derived from a combination of the applicable statutory rates in the various jurisdictions in which we operate. We record liabilities for uncertain tax positions that involve significant management judgment as to the application of law. The Internal Revenue Service or other domestic or foreign taxing authorities have previously disagreed, and may in the future disagree, with our interpretation of tax law as applied to the operations of Regeneron and its subsidiaries or with the positions we may take with respect to particular tax issues on our tax returns (see also Note 14 to our Consolidated Financial Statements included in this report). Consequently, our reported effective tax rate and our after-tax cash flows may be materially and adversely affected by tax assessments or judgments in excess of accrued amounts we have estimated in preparing our financial statements. Further, our effective tax rate may also be adversely affected by numerous other factors, including changes in the mix of our profitability from country to country, changes in tax laws and regulations, and tax effects of the accounting for stock-based compensation (which depend in part on the price of our stock and, therefore, are beyond our control). Due to the results of the recent U.S. Presidential and Congressional elections, the potential for U.S. tax law changes exists, including as a result of proposals to increase the income tax rate on both domestic and foreign income. Increases to the income tax rate or other changes to the tax law could materially impact our tax provision, cash tax liability, and effective tax rate. The pressure to generate tax revenue to offset economic relief measures due to the COVID-19 pandemic could increase the likelihood of adverse tax law changes being enacted. In addition, recommendations by the Organization for Economic Co-operation and Development and the European Union could require companies to disclose more information to tax authorities on operations around the world, which may lead to greater audit scrutiny. Even though we regularly assess the information provided to tax authorities in determining the appropriateness of our tax reserves, such tax authorities could take a position that is contrary to our expectations, and the result could adversely affect our provision for income tax and our current rate.</w:t>
      </w:r>
    </w:p>
    <w:p>
      <w:pPr>
        <w:spacing w:after="0" w:line="10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face potential liability related to the personal information we collect from individuals, data brokers, or research institutions or obtain from clinical trials sponsored by us or our collaborators.</w:t>
      </w:r>
    </w:p>
    <w:p>
      <w:pPr>
        <w:spacing w:after="0" w:line="8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Most U.S. health care providers, including research institutions from which we or our collaborators obtain clinical trial data, are subject to privacy and security regulations promulgated under HIPAA. For example, as part of our human genetics initiative, our wholly-owned subsidiary, Regeneron Genetics Center LLC, has entered into collaborations with research institutions, including the Geisinger Health System, which are subject to such regulations. Regeneron is not currently classified as a covered entity or business associate under HIPAA and thus is not subject to its requirements or penalties. However, we could potentially be subject to criminal penalties if we, our affiliates, or our agents knowingly obtain, use, or disclose individually identifiable health information maintained by a HIPAA-covered entity in a manner that is not authorized or permitted by HIPAA. Consequently, depending on the facts and circumstances, we could face substantial criminal penalties if we knowingly receive individually identifiable health information from a HIPAA-covered health care provider or research institution that has not satisfied HIPAA's requirements for disclosure of individually identifiable health information. There are instances where we collect and maintain sensitive personally identifiable information, which may include health information outside of the scope of HIPAA. This information may be received throughout the clinical trial process, in the course of our research collaborations, directly from individuals who enroll in our patient assistance programs, and from our own employees in a pandemic response process (such as in connection with the COVID-19 pandemic). In the case of a breach of personal information we may be subject to state breach notification laws requiring notification of affected individuals and state regulators.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3" w:name="page64"/>
    <w:bookmarkEnd w:id="6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Our patient assistance programs and product marketing activities as part of which we collect California resident personal data are subject to the CCPA. The CCPA, which became effective on January 1, 2020, is a consumer protection law that establishes certain requirements for data use and sharing transparency</w:t>
      </w:r>
    </w:p>
    <w:p>
      <w:pPr>
        <w:jc w:val="both"/>
        <w:spacing w:after="0" w:line="245" w:lineRule="auto"/>
        <w:rPr>
          <w:sz w:val="20"/>
          <w:szCs w:val="20"/>
          <w:color w:val="auto"/>
        </w:rPr>
      </w:pPr>
      <w:r>
        <w:rPr>
          <w:rFonts w:ascii="Arial" w:cs="Arial" w:eastAsia="Arial" w:hAnsi="Arial"/>
          <w:sz w:val="18"/>
          <w:szCs w:val="18"/>
          <w:color w:val="auto"/>
        </w:rPr>
        <w:t>and provides California residents with personal data privacy rights regarding the use, disclosure, and retention of their personal data. The CCPA requires us, among other things, to update our notices and develop new processes internally and with our partners. Amendments to the CCPA and legislative proposals at the federal and state level could impose new obligations or limitations in areas affecting our business. These laws and regulations are constantly evolving and may impose limitations on our business activities. Several other U.S. states have introduced similar consumer protection laws that may go into effect in the near future.</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clinical trial programs and research collaborations outside the U.S. (such as our consortium with a group of companies to fund the generation of genetic exome sequence data from the UK Biobank health resource) implicate international data protection laws, including the GDPR. The GDPR has created a range of new compliance obligations, including increased transparency requirements and new data subject rights. Violations of the GDPR carry significant financial penalties for noncompliance (including possible fines of up to 4% of global annual turnover for the preceding financial year or €20 million (whichever is higher)). In addition to the GDPR, certain EU Member States have issued or will be issuing their own implementation legislation. While we continue to monitor these developments, there remains some uncertainty surrounding the legal and regulatory environment for these evolving privacy and data protection laws. Complying with varying jurisdictional requirements could increase the costs and complexity of compliance, including the risk of substantial financial penalties for insufficient notice and consent, failure to respond to data subject rights requests, lack of a legal basis for the transfer of personal information out of the EU, or improper processing of personal data under the GDPR. Failure by our collaborators to comply with the strict rules on the transfer of personal data outside of the EU into the U.S. may result in the imposition of criminal and administrative sanctions on such collaborators, which could adversely affect our business and could create liability for us.</w:t>
      </w:r>
    </w:p>
    <w:p>
      <w:pPr>
        <w:spacing w:after="0" w:line="10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Furthermore, health privacy laws, data breach notification laws, consumer protection laws, data localization laws, and genetic testing laws may apply directly to our operations and/or those of our collaborators and may impose restrictions on our collection, use, and dissemination of individuals' health and other personal information. Moreover, individuals about whom we or our collaborators obtain health or other personal information, as well as the providers and third parties who share this information with us, may have statutory or contractual limits that impact our ability to use and disclose the information. We are likely to be required to expend significant capital and other resources to ensure ongoing compliance with applicable privacy and data security laws both inside and outside the United States. Many of these laws differ from each other in significant ways and have different effects. Many of the state laws enable a state attorney general to bring actions and provide private rights of action to consumers as enforcement mechanisms. Compliance with these laws requires a flexible privacy framework as they are constantly evolving. Failure to comply with these laws and regulations could result in government enforcement actions and create liability for us (which could include civil and/or criminal penalties), private litigation, and/or adverse publicity. Federal regulators, state attorneys general, and plaintiffs' attorneys have been active in this space.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we or any collaborators fail to comply with applicable federal, state, local, or foreign regulatory requirements, we could be subject to a range of regulatory actions that could affect our or any collaborators' ability to commercialize our products and could harm, prevent, or substantially increase the cost of marketing and sales of any affected products that we are able to commercialize. Any threatened or actual government enforcement action could also generate adverse publicity and require that we devote substantial resources that could otherwise be used in other aspects of our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use of social media could give rise to liability, breaches of data security, or reputational damage.</w:t>
      </w:r>
    </w:p>
    <w:p>
      <w:pPr>
        <w:spacing w:after="0" w:line="14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and our employees are increasingly utilizing social media tools as a means of communication both internally and externally. Despite our efforts to monitor evolving social media communication guidelines and comply with applicable rules, there is a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 Any of these events could have a material adverse effect on our business, prospects, operating results, and financial condition and could adversely affect the price of our Common Stock.</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4" w:name="page65"/>
    <w:bookmarkEnd w:id="6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our Antibody Collaboration or our IO Collaboration with Sanofi is terminated, our business, prospects, operating results, and financial condition, and our ability to develop, manufacture, and commercialize certain of our products and product candidates in the time expected, or at all, would be materially harmed.</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funding and support from Sanofi to develop, manufacture, and commercialize certain of our products and product candidates. With respect to the products that we are co-developing with Sanofi under our Antibody Collaboration (currently consisting of Dupixent, Kevzara, and itepekimab), Sanofi funds a significant portion of development expenses incurred in connection with the development of these products. In addition, we rely on Sanofi to lead much of the clinical development efforts, assist with or lead efforts to obtain and maintain regulatory approvals, and lead the commercialization efforts for these products and product candidates.</w:t>
      </w:r>
    </w:p>
    <w:p>
      <w:pPr>
        <w:spacing w:after="0" w:line="12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are developing MUC16xCD3 Program antibodies (such as REGN4018) and BCMAxCD3 Program antibodies (such as REGN5458 and REGN5459) under the amended and restated IO Discovery and Development Agreement with Sanofi and Sanofi has the right to elect to co-develop these antibodies under our IO Collaboration. If Sanofi does not elect to co-develop MUC16xCD3 Program antibodies or BCMAxCD3 Program antibodies under our IO Collaboration, or opts out of their development under our IO Collaboration, we will be required to fund and conduct on our own all such efforts to support those product candidates, unless we enter into arrangements with other parties.</w:t>
      </w:r>
    </w:p>
    <w:p>
      <w:pPr>
        <w:spacing w:after="0" w:line="1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Sanofi elects to co-develop BCMAxCD3 Program antibodies and/or MUC16xCD3 Program antibodies under our IO Collaboration, Sanofi will initially fund the development expenses incurred in connection with the development of BCMAxCD3 Program antibodies, for which Sanofi will be the principal controlling party, and half of the development expenses incurred in connection with the clinical development of MUC16xCD3 Program antibodies, for which we will be the principal controlling party. Under our IO Collaboration, Sanofi also funds half of the development expenses incurred in connection with the clinical development of Libtayo, subject to an agreed-upon development budget. In addition, if Sanofi elects to co-develop BCMAxCD3 Program antibodies, Sanofi will lead much of the clinical development efforts and assist with obtaining and maintaining regulatory approval. We also rely on Sanofi to lead commercialization efforts outside the United States for Libtayo. Following regulatory approval, we will rely on Sanofi to lead (i) the commercialization efforts in the United States for BCMAxCD3 Program antibodies and (ii) the commercialization efforts outside the United States for MUC16xCD3 Program antibodies and BCMAxCD3 Program antibodies.</w:t>
      </w:r>
    </w:p>
    <w:p>
      <w:pPr>
        <w:spacing w:after="0" w:line="11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If Sanofi terminates the Antibody Collaboration or the IO Collaboration or fails to comply with its payment obligations under any of our collaborations, our business, prospects, operating results, and financial condition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If Sanofi does not perform its obligations with respect to the product candidates that it elects to co-develop, our ability to develop, manufacture, and commercialize these product candidates will be significantly adversely affected. We have limited commercial capabilities outside the United States and would have to develop or outsource these capabilities for products commercialized under our Antibody Collaboration or our IO Collaboration (see also "Risks Related to Commercialization of Our Marketed Products, Product Candidates, and New Indications for Our Marketed Products - </w:t>
      </w:r>
      <w:r>
        <w:rPr>
          <w:rFonts w:ascii="Arial" w:cs="Arial" w:eastAsia="Arial" w:hAnsi="Arial"/>
          <w:sz w:val="16"/>
          <w:szCs w:val="16"/>
          <w:i w:val="1"/>
          <w:iCs w:val="1"/>
          <w:color w:val="auto"/>
        </w:rPr>
        <w:t>If we are unable to establish commercial capabilities outside the United States for</w:t>
      </w:r>
      <w:r>
        <w:rPr>
          <w:rFonts w:ascii="Arial" w:cs="Arial" w:eastAsia="Arial" w:hAnsi="Arial"/>
          <w:sz w:val="16"/>
          <w:szCs w:val="16"/>
          <w:color w:val="auto"/>
        </w:rPr>
        <w:t xml:space="preserve"> </w:t>
      </w:r>
      <w:r>
        <w:rPr>
          <w:rFonts w:ascii="Arial" w:cs="Arial" w:eastAsia="Arial" w:hAnsi="Arial"/>
          <w:sz w:val="16"/>
          <w:szCs w:val="16"/>
          <w:i w:val="1"/>
          <w:iCs w:val="1"/>
          <w:color w:val="auto"/>
        </w:rPr>
        <w:t>products we intend to commercialize or co-commercialize outside the United States, our business, prospects, operating results, and financial condition may be adversely affected</w:t>
      </w:r>
      <w:r>
        <w:rPr>
          <w:rFonts w:ascii="Arial" w:cs="Arial" w:eastAsia="Arial" w:hAnsi="Arial"/>
          <w:sz w:val="16"/>
          <w:szCs w:val="16"/>
          <w:color w:val="auto"/>
        </w:rPr>
        <w:t>" above). Termination of the Antibody Collaboration or the IO Collaboration would create substantial new and additional risks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successful development and commercialization of the products subject to such collaborations, particularly outside the United States.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5" w:name="page66"/>
    <w:bookmarkEnd w:id="6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If our collaboration with Bayer for EYLEA is terminated, or Bayer materially breaches its obligations thereunder, our business, prospects, operating results, and financial condition, and our ability to continue to commercialize EYLEA outside the United States would be materially harmed.</w:t>
      </w:r>
    </w:p>
    <w:p>
      <w:pPr>
        <w:spacing w:after="0" w:line="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We rely heavily on Bayer with respect to the commercialization of EYLEA outside the United States. Bayer is responsible for obtaining and maintaining regulatory approval outside the United States, as well as providing all sales, marketing, and commercial support for the product outside the United States. In particular, Bayer has responsibility for selling EYLEA outside the United States using its sales force and, in Japan, in cooperation with Santen pursuant to a Co-Promotion and Distribution Agreement, as in effect from time to time, with Bayer's Japanese affiliate. If Bayer and, in Japan, Santen do not perform their obligations in a timely manner, or at all, our ability to commercialize EYLEA outside the United States will be significantly adversely affected. Bayer has the right to terminate its collaboration agreement with us at any time upon six or twelve months' advance notice, depending on the circumstances giving rise to termination. If Bayer were to terminate its collaboration agreement with us, we may not have the resources or skills to replace those of our collaborator, which could require us to seek another collaboration that might not be available on favorable terms or at all, and could cause significant issues for the commercialization of EYLEA outside the United States and result in substantial additional costs and/or lower revenues to us. We have limited commercial capabilities outside the United States and would have to develop or outsource these capabilities (see also "Risks Related to Commercialization of Our Marketed Products, Product Candidates, and New Indications for Our Marketed Products - </w:t>
      </w:r>
      <w:r>
        <w:rPr>
          <w:rFonts w:ascii="Arial" w:cs="Arial" w:eastAsia="Arial" w:hAnsi="Arial"/>
          <w:sz w:val="16"/>
          <w:szCs w:val="16"/>
          <w:i w:val="1"/>
          <w:iCs w:val="1"/>
          <w:color w:val="auto"/>
        </w:rPr>
        <w:t>If we are unable to establish</w:t>
      </w:r>
      <w:r>
        <w:rPr>
          <w:rFonts w:ascii="Arial" w:cs="Arial" w:eastAsia="Arial" w:hAnsi="Arial"/>
          <w:sz w:val="16"/>
          <w:szCs w:val="16"/>
          <w:color w:val="auto"/>
        </w:rPr>
        <w:t xml:space="preserve"> </w:t>
      </w:r>
      <w:r>
        <w:rPr>
          <w:rFonts w:ascii="Arial" w:cs="Arial" w:eastAsia="Arial" w:hAnsi="Arial"/>
          <w:sz w:val="16"/>
          <w:szCs w:val="16"/>
          <w:i w:val="1"/>
          <w:iCs w:val="1"/>
          <w:color w:val="auto"/>
        </w:rPr>
        <w:t>commercial capabilities outside the United States for products we intend to commercialize or co-commercialize outside the United States, our business, prospects, operating results, and financial condition may be adversely affected</w:t>
      </w:r>
      <w:r>
        <w:rPr>
          <w:rFonts w:ascii="Arial" w:cs="Arial" w:eastAsia="Arial" w:hAnsi="Arial"/>
          <w:sz w:val="16"/>
          <w:szCs w:val="16"/>
          <w:color w:val="auto"/>
        </w:rPr>
        <w:t>" above). Termination of the Bayer collaboration agreement would create</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 new and additional risks to the successful commercialization of EYLEA outside the United States.</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10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depend upon third-party collaborators, including Sanofi and Bayer, and service providers such as CROs, outside testing laboratories, clinical investigator sites, third-party manufacturers, fill/finish providers, and product packagers and labelers, to assist us in the manufacture and preclinical and clinical development of our product candidates. We also depend, or will depend, on some of these third parties in connection with the commercialization of our marketed products and our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(including as a result of its inability to perform due to financial or other relevant constraints) or in compliance with applicable GMPs, GLPs, or GCP standards, we could experience additional costs, delays, and difficulties in the manufacture or development of, or in obtaining approval by regulatory authorities for, or successfully commercializing our product candidates.</w:t>
      </w:r>
    </w:p>
    <w:p>
      <w:pPr>
        <w:spacing w:after="0" w:line="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and our collaborators rely on third-party service providers to support the distribution of our marketed products and for many other related activities in connection with the commercialization of these marketed products. Despite our or our collaborators' arrangements with them, these third parties may not perform adequately. If these service providers do not perform their services adequately, sales of our marketed products will suffer.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Employees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highly dependent on certain of our executive officers, other key members of our senior management team, and our Chairman. If we are not able to retain (or for any other reason lose the services of) any of these persons, our business may suffer. In particular, we depend on the services of P. Roy Vagelos, M.D., the Chairman of our board of directors; Leonard S. Schleifer, M.D., Ph.D., our President and Chief Executive Officer; and George D. Yancopoulos, M.D., Ph.D., our President and Chief Scientific Officer. We are also highly dependent on the expertise and services of other senior management members leading our research, development, manufacturing, and commercialization efforts. There is intense competition in the biotechnology industry for qualified scientists and managerial personnel in the research, development, manufacture, and commercialization of drugs. We may not be able to continue to attract and retain the qualified personnel necessary to continue to advance our business and achieve our strategic objectives.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6" w:name="page67"/>
    <w:bookmarkEnd w:id="6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Risks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disruptions of information technology systems or breaches of data security could adversely affect our business.</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business is increasingly dependent on critical, complex, and interdependent information technology systems, including Internet-based systems, to support business processes as well as internal and external communications. These systems are also critical to enable remote working arrangements, which have been growing in importance due in part to the COVID-19 pandemic and our implementation of work-from-home policies for a significant part of our employees. The size and complexity of our computer systems make us potentially vulnerable to IT system breakdowns, internal and external malicious intrusion, and computer viruses and ransomware, which may impact product production and key business processes. We also have outsourced significant elements of our information technology infrastructure and operations to third parties, which may allow them to access our confidential information and may also make our systems vulnerable to service interruptions or to security breaches from inadvertent or intentional actions by such third parties or others.</w:t>
      </w:r>
    </w:p>
    <w:p>
      <w:pPr>
        <w:spacing w:after="0" w:line="9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our systems are potentially vulnerable to data security breaches - whether by employees or others - which may expose sensitive data to unauthorized persons. Data security breaches could lead to the loss of trade secrets or other intellectual property, result in demands for ransom or other forms of blackmail, or lead to the public exposure of personal information (including sensitive personal information) of our employees, clinical trial patients, customers, and others. Such attacks are of ever-increasing levels of sophistication and are made by groups and individuals with a wide range of motives (including industrial espionage or extortion) and expertise, including by organized criminal groups, "hacktivists," nation states, and others. As a company with an increasingly global presence, our systems are subject to frequent attacks. Due to the nature of some of these attacks, there is a risk that an attack may remain undetected for a period of time. While we continue to make investments to improve the protection of data and information technology, and to oversee and monitor the security measures of our third-party service providers, there can be no assurance that our efforts will prevent service interruptions or security breaches. In addition, we depend in part on third-party security measures over which we do not have full control to protect against data security breaches.</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or our third-party service providers fail to maintain or protect our information technology systems and data security effectively, or fail to anticipate, plan for, or manage significant disruptions to these systems, we or our third-party service providers could have difficulty preventing, detecting, or controlling such disruptions or security breaches, which could result in legal proceedings, liability under laws that protect the privacy of personal information, disruptions to our operations, and damage to our reputation, which could have a material adverse effect on our business, prospects, operating results, and financial condition.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Liquidity, and Need for Additional Financing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sustain profitability, our business, prospects, operating results, and financial condition would be materially harmed.</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cannot sustain profitability, we may be unable to continue our operations. In the absence of substantial revenue from the sale of products on an ongoing basis, including our net product sales of EYLEA and funding we receive under our collaboration agreements (including our share of profits in connection with commercialization of EYLEA and Dupixent under our collaboration agreements with Bayer and Sanofi, respectively), or from other sources, the amount, timing, nature, or source of which cannot be predicted, we may incur substantial losses again as we conduct our research and development activities, commercialize our approved products, and prepare for possible commercialization of our other product candidates and new indications of our marketed products.</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10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expend substantial resources for research and development, including costs associated with clinical testing of our product candidates and new indications of our marketed products, the commercialization of products, and capital expenditures. We believe our existing capital resources and borrowing availability under our revolving credit facility, together with funds generated by our current and anticipated EYLEA net product sales and funding we are entitled to receive under our collaboration agreements (including our share of profits in connection with commercialization of EYLEA and Dupixent under our collaboration agreements with Bayer and Sanofi, respectively), will enable us to meet our anticipated operating needs for the foreseeable future. However, one or more of our collaboration agreements may terminate, our revenues may fall short of our projections or be delayed, or our expenses may increase, any of which could result in our capital being consumed significantly faster than anticipated. Our expenses may increase for many reasons, including expenses in connection with the commercialization of our marketed products and the potential commercial launches of our product candidates and new indications for our marketed products, manufacturing scale-up, expenses related to clinical trials testing of antibody-based product candidates we are developing on our own (without a collaborator), and expenses for which we are responsible in accordance with the terms of our collaboration agreements.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7" w:name="page68"/>
    <w:bookmarkEnd w:id="6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cannot be certain that our existing capital resources and our current and anticipated revenues will be sufficient to meet our operating needs. We may require additional financing in the future and we may not be able to raise additional funds on acceptable terms or at all. For example, there is no guarantee that we will have the ability to pay the principal amount due on the Notes at maturity or redeem, repurchase, or refinance the Notes prior to maturity on acceptable terms or at all. In addition, in March 2017, we completed a $720.0 million lease financing for our existing corporate headquarters and other rentable area consisting of approximately 150 acres of predominately office buildings and laboratory space located in Tarrytown, New York, which will become due and payable in full on the five-year anniversary of the closing date unless extended with the consent of all the participants and subject to certain other conditions. Our ability to refinance or to obtain additional financing could be adversely affected if there is a significant decline in the demand for our products or other significantly unfavorable changes in economic conditions. Volatility in the financial markets could increase borrowing costs or affect our ability to raise capital. If additional financing is necessary and we obtain it through the sale of equity securities, such sales will likely be dilutive to our shareholders. Debt financing arrangements may require us to pledge certain assets or enter into covenants that would restrict our business activities or our ability to incur further indebtedness and may be at interest rates and contain other terms that are not favorable to our shareholders. Should we require and be unable to raise sufficient funds (i) to complete the development of our product candidates, (ii) to successfully commercialize our product candidates or new indications for our marketed products if they obtain regulatory approval, and (iii) to continue our manufacturing and marketing of our marketed products, we may face delay, reduction, or elimination of our research and development or preclinical or clinical programs and our commercialization activities, which would significantly limit our potential to generate revenue.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impact our business.</w:t>
      </w:r>
    </w:p>
    <w:p>
      <w:pPr>
        <w:spacing w:after="0" w:line="14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have certain indebtedness and contingent liabilities, including milestone and royalty payment obligations. As of December 31, 2020, we had an aggregate of $2.696 billion of outstanding indebtedness under the Notes and the lease financing facility. We may also incur additional debt in the future. Any such indebtedness could:</w:t>
      </w:r>
    </w:p>
    <w:p>
      <w:pPr>
        <w:spacing w:after="0" w:line="114"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 our ability to access capital markets and incur additional debt in the future;</w:t>
      </w:r>
    </w:p>
    <w:p>
      <w:pPr>
        <w:spacing w:after="0" w:line="11" w:lineRule="exact"/>
        <w:rPr>
          <w:rFonts w:ascii="Arial" w:cs="Arial" w:eastAsia="Arial" w:hAnsi="Arial"/>
          <w:sz w:val="18"/>
          <w:szCs w:val="18"/>
          <w:color w:val="auto"/>
        </w:rPr>
      </w:pPr>
    </w:p>
    <w:p>
      <w:pPr>
        <w:ind w:left="660" w:hanging="328"/>
        <w:spacing w:after="0" w:line="264" w:lineRule="auto"/>
        <w:tabs>
          <w:tab w:leader="none" w:pos="6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require us to dedicate a substantial portion of our cash flow from operations to payments on our indebtedness, thereby reducing the availability of our cash flow for other purposes, including business development efforts, research and development, and mergers and acquisitions; and</w:t>
      </w:r>
    </w:p>
    <w:p>
      <w:pPr>
        <w:ind w:left="660" w:hanging="328"/>
        <w:spacing w:after="0" w:line="243"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 thereby placing us at a competitive disadvantage compared to competitors that have less debt.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foreign currency exchange rates could have a material adverse effect on our operating results.</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revenue from outside of the United States will increase as our products, whether marketed or otherwise commercialized by us or our collaborators, gain marketing approval in such jurisdictions. Our primary foreign currency exposure relates to movements in the Japanese yen, euro, British pound sterling, Canadian dollar, and Australian dollar. If the U.S. dollar weakens against a specific foreign currency, our revenues will increase, having a positive impact on net income, but our overall expenses will increase, having a negative impact. Conversely, if the U.S. dollar strengthens against a specific foreign currency, our revenues will decrease, having a negative impact on net income, but our overall expenses will decrease, having a positive impact. Therefore, significant changes in foreign exchange rates can impact our operating results and the financial condition of our Company.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are subject to risks and other external factors that may result in losses or affect the liquidity of these investments.</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December 31, 2020, we had $2.194 billion in cash and cash equivalents and $4.529 billion in marketable securities (including $839.8 million in equity securities). Our investments consist primarily of debt securities, including investment-grade corporate bonds. These fixed-income investments are subject to external factors that may adversely affect their market value or liquidity, such as interest rate, liquidity, market, and issuer credit risks, including actual or anticipated changes in credit ratings. The equity securities we hold may experience significant volatility and may decline in value or become worthless if the issuer experiences an adverse development. Furthermore, our equity investments could be subject to dilution (and decline in value) as a result of the issuance of additional equity interests by the applicable issuer. If any of our investments suffer market price declines, such declines may have an adverse effect on our financial condition and operating results.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8" w:name="page69"/>
    <w:bookmarkEnd w:id="6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elimination of LIBOR could adversely affect our business, operating results, and financial condition.</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subject to risks related to uncertainty regarding the London Interbank Offered Rate ("LIBOR"). LIBOR is the subject of recent national, international, and other regulatory guidance and proposals for reform, which may cause LIBOR to cease to exist after 2021 or to perform differently than in the past. While we expect that alternatives to LIBOR will be implemented prior to the 2021 target date or that the 2021 cessation date may be extended, we cannot predict the consequences and timing of these developments. The U.S. Federal Reserve, in conjunction with the Alternative Reference Rates Committee, a steering committee comprised of large U.S. financial institutions, has identified the Secured Overnight Financing Rate ("SOFR"), a new index calculated by short-term repurchase agreements, backed by Treasury securities, as its preferred alternative rate for LIBOR. At this time, it is not possible to predict how markets will respond to SOFR or other alternative reference rates as the transition away from LIBOR is anticipated in coming years. There is currently no definitive information regarding the future utilization of LIBOR or of any particular replacement rate. A transition away from LIBOR as a benchmark for establishing the applicable interest rate may adversely affect our outstanding variable-rate indebtedness and interest rate swaps, as well as floating-rate debt securities we hold. For example, if a published U.S. dollar LIBOR is unavailable after 2021, the rent payments for the leased facilities in Tarrytown, New York and interest for borrowings (if any) with an interest rate based on the LIBOR rate under our revolving credit facility, all of which are indexed to LIBOR, will be determined using various alternative methods, any of which may result in interest obligations which are more than, or do not otherwise correlate over time with, the payments that would have been made on such debt if U.S. dollar LIBOR was available in its current form.</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9" w:name="page70"/>
    <w:bookmarkEnd w:id="6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extremely volatile.</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103" w:lineRule="exact"/>
        <w:rPr>
          <w:sz w:val="20"/>
          <w:szCs w:val="20"/>
          <w:color w:val="auto"/>
        </w:rPr>
      </w:pPr>
    </w:p>
    <w:p>
      <w:pPr>
        <w:ind w:left="660" w:hanging="328"/>
        <w:spacing w:after="0" w:line="258"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product sales of our marketed products (as recorded by us or our collaborators), in particular EYLEA, Dupixent, and Libtayo, as well as our overall operating results;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any of our product candidates or our new indications for our marketed products receive regulatory approval, net product sales of, and profits from, these product candidates and new indications;</w:t>
      </w: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market acceptance of, and the market share for, our marketed products, especially EYLEA, Dupixent, and Libtayo;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our net product sales and net profits underperform, meet, or exceed the expectations of investors or analysts;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 of submission of an application for regulatory approval of one or more of our, or our competitors', product candidates or new indications for marketed products;</w:t>
      </w: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progress, delays, or results in clinical trials of our or our competitors' product candidates or new indications for marketed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impact of the COVID-19 pandemic on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 of technological innovations or product candidates by us or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claims by others that our products or technologies infringe their patents;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challenges by others to our patents in the EPO and in the USPTO;</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public concern as to the safety or effectiveness of any of our marketed products or product candidates or new indications for our marketed products;</w:t>
      </w:r>
    </w:p>
    <w:p>
      <w:pPr>
        <w:ind w:left="660" w:hanging="328"/>
        <w:spacing w:after="0" w:line="281" w:lineRule="auto"/>
        <w:tabs>
          <w:tab w:leader="none" w:pos="6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pricing or reimbursement actions, decisions, or recommendations by government authorities, insurers, or other organizations (such as health maintenance organizations and PBMs) affecting the coverage, reimbursement, or use of any of our marketed products or competitors' products;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raise additional capital as needed on favorable terms;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developments in our relationships with collaborators or key customers;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developments in the biotechnology industry or in government regulation of healthcare, including those relating to compounding (</w:t>
      </w:r>
      <w:r>
        <w:rPr>
          <w:rFonts w:ascii="Arial" w:cs="Arial" w:eastAsia="Arial" w:hAnsi="Arial"/>
          <w:sz w:val="18"/>
          <w:szCs w:val="18"/>
          <w:i w:val="1"/>
          <w:iCs w:val="1"/>
          <w:color w:val="auto"/>
        </w:rPr>
        <w:t>i.e.</w:t>
      </w:r>
      <w:r>
        <w:rPr>
          <w:rFonts w:ascii="Arial" w:cs="Arial" w:eastAsia="Arial" w:hAnsi="Arial"/>
          <w:sz w:val="18"/>
          <w:szCs w:val="18"/>
          <w:color w:val="auto"/>
        </w:rPr>
        <w:t>, a practice in which a pharmacist, a physician, or, in the case of an outsourcing facility, a person under the supervision of a pharmacist, combines, mixes, or alters ingredients of a drug to create a medication tailored to the needs of an individual patient);</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large sales of our Common Stock by our executive officers or other employees, directors, or significant shareholders (or the expectation of any such sales);</w:t>
      </w: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tax rates, laws, or interpretation of tax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arrivals and departures of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repurchase our Common Stock under any share repurchase program on favorable terms or at all;</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trading activity that results from the rebalancing of stock indices in which our Common Stock is included, or the inclusion or exclusion of our Common Stock from such indices;</w:t>
      </w: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factors identified in these "Risk Factors";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perception by the investment community or our shareholders of any of the foregoing factors.</w:t>
      </w:r>
    </w:p>
    <w:p>
      <w:pPr>
        <w:spacing w:after="0" w:line="2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trading price of our Common Stock has been, and could continue to be, subject to wide fluctuations in response to these and other factors, including the sale or attempted sale of a large amount of our Common Stock in the market. As discussed in greater detail under "</w:t>
      </w:r>
      <w:r>
        <w:rPr>
          <w:rFonts w:ascii="Arial" w:cs="Arial" w:eastAsia="Arial" w:hAnsi="Arial"/>
          <w:sz w:val="17"/>
          <w:szCs w:val="17"/>
          <w:i w:val="1"/>
          <w:iCs w:val="1"/>
          <w:color w:val="auto"/>
        </w:rPr>
        <w:t>Future sales of our Common Stock</w:t>
      </w:r>
      <w:r>
        <w:rPr>
          <w:rFonts w:ascii="Arial" w:cs="Arial" w:eastAsia="Arial" w:hAnsi="Arial"/>
          <w:sz w:val="17"/>
          <w:szCs w:val="17"/>
          <w:color w:val="auto"/>
        </w:rPr>
        <w:t xml:space="preserve"> </w:t>
      </w:r>
      <w:r>
        <w:rPr>
          <w:rFonts w:ascii="Arial" w:cs="Arial" w:eastAsia="Arial" w:hAnsi="Arial"/>
          <w:sz w:val="17"/>
          <w:szCs w:val="17"/>
          <w:i w:val="1"/>
          <w:iCs w:val="1"/>
          <w:color w:val="auto"/>
        </w:rPr>
        <w:t>by our significant shareholders or us may depress our stock price and impair our ability to raise funds in new share offerings</w:t>
      </w:r>
      <w:r>
        <w:rPr>
          <w:rFonts w:ascii="Arial" w:cs="Arial" w:eastAsia="Arial" w:hAnsi="Arial"/>
          <w:sz w:val="17"/>
          <w:szCs w:val="17"/>
          <w:color w:val="auto"/>
        </w:rPr>
        <w:t>" below, a large percentage of</w:t>
      </w:r>
      <w:r>
        <w:rPr>
          <w:rFonts w:ascii="Arial" w:cs="Arial" w:eastAsia="Arial" w:hAnsi="Arial"/>
          <w:sz w:val="17"/>
          <w:szCs w:val="17"/>
          <w:i w:val="1"/>
          <w:iCs w:val="1"/>
          <w:color w:val="auto"/>
        </w:rPr>
        <w:t xml:space="preserve"> </w:t>
      </w:r>
      <w:r>
        <w:rPr>
          <w:rFonts w:ascii="Arial" w:cs="Arial" w:eastAsia="Arial" w:hAnsi="Arial"/>
          <w:sz w:val="17"/>
          <w:szCs w:val="17"/>
          <w:color w:val="auto"/>
        </w:rPr>
        <w:t>our Common Stock is owned by a small number of our principal shareholders. As a result, the public float of our Common Stock (</w:t>
      </w:r>
      <w:r>
        <w:rPr>
          <w:rFonts w:ascii="Arial" w:cs="Arial" w:eastAsia="Arial" w:hAnsi="Arial"/>
          <w:sz w:val="17"/>
          <w:szCs w:val="17"/>
          <w:i w:val="1"/>
          <w:iCs w:val="1"/>
          <w:color w:val="auto"/>
        </w:rPr>
        <w:t>i.e.</w:t>
      </w:r>
      <w:r>
        <w:rPr>
          <w:rFonts w:ascii="Arial" w:cs="Arial" w:eastAsia="Arial" w:hAnsi="Arial"/>
          <w:sz w:val="17"/>
          <w:szCs w:val="17"/>
          <w:color w:val="auto"/>
        </w:rPr>
        <w:t>, the portion of our Common Stock held by public investors, as opposed to the Common Stock held by our directors, officers, and principal shareholders) may be lower than the public float of other large public companies with broader public ownership. Therefore, the trading price of our Common Stock may fluctuate significantly more than the stock market as a whole. These factors may exacerbate the volatility in the trading price of our Common Stock and may negatively impact your ability to liquidate your investment in Regeneron at the time you wish at a price you consider satisfactory. Broad market fluctuations may also adversely affect the market price of our Common Stock. In the past, securities class action litigation has often been initiated against companies following periods of volatility in their stock price. This type of litigation could result in substantial costs and divert our management's attention and resources, and could also</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0" w:name="page71"/>
    <w:bookmarkEnd w:id="7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require us to make substantial payments to satisfy judgments or to settle litigation, which may harm our business, prospects, operating results, and financial condition.</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small number of our shareholders beneficially own a substantial amount of our Common Stock. As of December 31, 2020, our five largest shareholders plus Dr. Schleifer, our Chief Executive Officer, beneficially owned approximately 39.2% of our outstanding shares of Common Stock, assuming, in the case of our Chief Executive Officer, the conversion of his Class A Stock into Common Stock and the exercise of all options held by him which are exercisable within 60 days of December 31, 2020. If our significant shareholders or we sell substantial amounts of our Common Stock in the public market, or there is a perception that such sales may occur, the market price of our Common Stock could fall. Sales of Common Stock by our significant shareholders also might make it more difficult for us to raise funds by selling equity or equity-related securities in the future at a time and price that we deem appropriate.</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can be no assurance that we will repurchase shares of our Common Stock or that we will repurchase shares at favorable prices.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2021, our board of directors authorized a share repurchase program to repurchase up to $1.5 billion of our Common Stock. Any share repurchases will depend upon, among other factors, our cash balances and potential future capital requirements, our results of operations and financial condition, the price of our Common Stock on the NASDAQ Global Select Market, and other factors that we may deem relevant. We can provide no assurance that we will repurchase shares of our Common Stock at favorable prices, if at all.</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existing shareholders may be able to exert substantial influence over matters requiring shareholder approval and over our management.</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Holders of Class A Stock, who are generally the shareholders who purchased their stock from us before our initial public offering, are entitled to ten votes per share, while holders of Common Stock are entitled to one vote per share. As of December 31, 2020, holders of Class A Stock held 15.0% of the combined voting power of all shares of Common Stock and Class A Stock then outstanding. These shareholders, if acting together, would be in a position to substantially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December 31, 2020:</w:t>
      </w:r>
    </w:p>
    <w:p>
      <w:pPr>
        <w:spacing w:after="0" w:line="110" w:lineRule="exact"/>
        <w:rPr>
          <w:sz w:val="20"/>
          <w:szCs w:val="20"/>
          <w:color w:val="auto"/>
        </w:rPr>
      </w:pPr>
    </w:p>
    <w:p>
      <w:pPr>
        <w:jc w:val="both"/>
        <w:ind w:left="660" w:hanging="328"/>
        <w:spacing w:after="0" w:line="269" w:lineRule="auto"/>
        <w:tabs>
          <w:tab w:leader="none" w:pos="655"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current executive officers and directors beneficially owned 8.8% of our outstanding shares of Common Stock, assuming conversion of their Class A Stock into Common Stock and the exercise of all options held by such persons which are exercisable within 60 days of December 31, 2020, and 20.0% of the combined voting power of our outstanding shares of Common Stock and Class A Stock, assuming the exercise of all options held by such persons which are exercisable within 60 days of December 31, 2020; and</w:t>
      </w:r>
    </w:p>
    <w:p>
      <w:pPr>
        <w:spacing w:after="0" w:line="1" w:lineRule="exact"/>
        <w:rPr>
          <w:rFonts w:ascii="Arial" w:cs="Arial" w:eastAsia="Arial" w:hAnsi="Arial"/>
          <w:sz w:val="17"/>
          <w:szCs w:val="17"/>
          <w:color w:val="auto"/>
        </w:rPr>
      </w:pPr>
    </w:p>
    <w:p>
      <w:pPr>
        <w:jc w:val="both"/>
        <w:ind w:left="660" w:hanging="328"/>
        <w:spacing w:after="0" w:line="292" w:lineRule="auto"/>
        <w:tabs>
          <w:tab w:leader="none" w:pos="655"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five largest shareholders plus Dr. Schleifer, our Chief Executive Officer, beneficially owned approximately 39.2% of our outstanding shares of Common Stock, assuming, in the case of our Chief Executive Officer, the conversion of his Class A Stock into Common Stock and the exercise of all options held by him which are exercisable within 60 days of December 31, 2020. In addition, these five shareholders plus our Chief Executive Officer held approximately 46.3% of the combined voting power of our outstanding shares of Common Stock and Class A Stock, assuming the exercise of all options held by our Chief Executive Officer which are exercisable within 60 days of December 31, 2020.</w:t>
      </w:r>
    </w:p>
    <w:p>
      <w:pPr>
        <w:spacing w:after="0" w:line="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The anti-takeover effects of provisions of our charter, by-laws, and of New York corporate law, as well as the contractual provisions in our investor and collaboration agreements and certain provisions of our compensation plans and agreements, could deter, delay, or prevent an acquisition or other "change of control" of us and could adversely affect the price of our Common Stock.</w:t>
      </w:r>
    </w:p>
    <w:p>
      <w:pPr>
        <w:spacing w:after="0" w:line="9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1" w:name="page72"/>
    <w:bookmarkEnd w:id="7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hanging="328"/>
        <w:spacing w:after="0" w:line="258"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staggered board of directors, so that it would take three successive annual shareholder meetings to replace all of our directors;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55"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1" w:lineRule="exact"/>
        <w:rPr>
          <w:rFonts w:ascii="Arial" w:cs="Arial" w:eastAsia="Arial" w:hAnsi="Arial"/>
          <w:sz w:val="16"/>
          <w:szCs w:val="16"/>
          <w:color w:val="auto"/>
        </w:rPr>
      </w:pPr>
    </w:p>
    <w:p>
      <w:pPr>
        <w:ind w:left="660" w:right="20" w:hanging="328"/>
        <w:spacing w:after="0" w:line="250"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requirement that any shareholder seeking to bring business before an annual meeting of shareholders must provide timely notice of this intention in writing and meet various other requirements; and</w:t>
      </w:r>
    </w:p>
    <w:p>
      <w:pPr>
        <w:jc w:val="both"/>
        <w:ind w:left="660" w:hanging="328"/>
        <w:spacing w:after="0" w:line="253"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above captioned "</w:t>
      </w:r>
      <w:r>
        <w:rPr>
          <w:rFonts w:ascii="Arial" w:cs="Arial" w:eastAsia="Arial" w:hAnsi="Arial"/>
          <w:sz w:val="18"/>
          <w:szCs w:val="18"/>
          <w:i w:val="1"/>
          <w:iCs w:val="1"/>
          <w:color w:val="auto"/>
        </w:rPr>
        <w:t>Our existing shareholders may be able to exert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influence over matters requiring shareholder approval and over our management.</w:t>
      </w:r>
      <w:r>
        <w:rPr>
          <w:rFonts w:ascii="Arial" w:cs="Arial" w:eastAsia="Arial" w:hAnsi="Arial"/>
          <w:sz w:val="18"/>
          <w:szCs w:val="18"/>
          <w:color w:val="auto"/>
        </w:rPr>
        <w:t>"</w:t>
      </w:r>
    </w:p>
    <w:p>
      <w:pPr>
        <w:spacing w:after="0" w:line="1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Further, Sanofi, Bayer, and Teva are currently bound by certain "standstill" provisions under the January 2014 amended and restated investor agreement between us and Sanofi, as amended; our 2016 ANG2 license and collaboration agreement and our 2014 PDGFR-beta license and collaboration agreement with Bayer; and our 2016 collaboration agreement with Teva, respectively. These provisions contractually prohibit Sanofi, Bayer, and Teva from seeking to directly or indirectly exert control of our Company or acquiring more than a specified percentage of our Class A Stock and Common Stock, taken together (30% in the case of Sanofi, 20% in the case of Bayer, and 5% in the case of Teva).</w:t>
      </w:r>
    </w:p>
    <w:p>
      <w:pPr>
        <w:spacing w:after="0" w:line="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our Change in Control Severance Plan and the employment agreement with our Chief Executive Officer, each as amended and restated, provide for severance benefits in the event of termination as a result of a change in control of our Company. Also, equity awards issued under our long-term incentive plans may become fully vested in connection with a "change in control" of our Company, as defined in the plans. These contractual provisions may also have the effect of deterring, delaying, or preventing an acquisition or other change in control.</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conduct our research, development, manufacturing, and administrative activities at our owned and leased facilities. A summary of our significant owned and leased properties is provided below.</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Tarrytown, New York</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At our Tarrytown, New York location, we lease approximately 1,467,000 square feet of laboratory and office space, of which approximately 1,354,000 square feet is occupied by Regeneron. Refer to Part II, Item 7. "Management's Discussion and Analysis of Financial Condition and Results of Operations - Liquidity and Capital Resources - </w:t>
      </w:r>
      <w:r>
        <w:rPr>
          <w:rFonts w:ascii="Arial" w:cs="Arial" w:eastAsia="Arial" w:hAnsi="Arial"/>
          <w:sz w:val="18"/>
          <w:szCs w:val="18"/>
          <w:i w:val="1"/>
          <w:iCs w:val="1"/>
          <w:color w:val="auto"/>
        </w:rPr>
        <w:t>Tarrytown, New York Leases</w:t>
      </w:r>
      <w:r>
        <w:rPr>
          <w:rFonts w:ascii="Arial" w:cs="Arial" w:eastAsia="Arial" w:hAnsi="Arial"/>
          <w:sz w:val="18"/>
          <w:szCs w:val="18"/>
          <w:color w:val="auto"/>
        </w:rPr>
        <w:t>" for further details. We also own an approximate 100-acre parcel of undeveloped land adjacent to our Tarrytown, New York location.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Rensselaer, New York</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own facilities in Rensselaer, New York totaling approximately 950,000 square feet of manufacturing, research, office, and warehouse space. This includes approximately 212,000 square feet of warehouse space which we constructed on a 130-acre parcel of land near our Rensselaer facility. We are in the process of further developing this property, primarily in connection with constructing a fill/finish facility.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Limerick, Ireland</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own a facility in Limerick, Ireland totaling approximately 555,000 square feet of manufacturing, warehouse, laboratory, and office space. This includes approximately 110,000 square feet of recently constructed space to support our growth and increased manufacturing capacity.</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2" w:name="page73"/>
    <w:bookmarkEnd w:id="7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called for by this item is incorporated herein by reference to the information set forth in Note 15 to our Consolidated Financial Statements included in this report.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jc w:val="both"/>
        <w:ind w:left="740" w:right="20" w:hanging="728"/>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for Registrant's Common Equity</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par value $.001 per share, is quoted on The NASDAQ Global Select Market under the symbol "REGN." Our Class A Stock, par value $.001 per share, is not publicly quoted or traded.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As of January 29, 2021, there were 162 shareholders of record of our Common Stock and 16 shareholders of record of our Class A Stock.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have never paid cash dividends on our Common Stock or Class A Stock and do not anticipate paying any in the foreseeable future.</w:t>
      </w:r>
    </w:p>
    <w:p>
      <w:pPr>
        <w:spacing w:after="0" w:line="140"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STOCK PERFORMANCE GRAPH</w:t>
      </w:r>
    </w:p>
    <w:p>
      <w:pPr>
        <w:spacing w:after="0" w:line="1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Set forth below is a line graph comparing the cumulative total shareholder return on Regeneron's Common Stock with the cumulative total return of (i) the NASDAQ US Benchmark Pharmaceuticals Total Return Index ("NQ US Pharma TR Index"), and (ii) Standard &amp; Poor's 500 Stock Index ("S&amp;P 500") for the period from December 31, 2015 through December 31, 2020. The comparison assumes that $100 was invested on December 31, 2015 in our Common Stock and in both of the foregoing indices. All values assume reinvestment of the pre-tax value of dividends paid by companies included in these indices. The historical stock price performance of our Common Stock shown in the graph below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68580</wp:posOffset>
            </wp:positionV>
            <wp:extent cx="5846445" cy="34290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46445"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3" w:name="page74"/>
    <w:bookmarkEnd w:id="7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36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12/31/2015</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12/31/2016</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12/31/2017</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12/31/2018</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12/31/2019</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12/31/2020</w:t>
            </w:r>
          </w:p>
        </w:tc>
      </w:tr>
      <w:tr>
        <w:trPr>
          <w:trHeight w:val="223"/>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Regeneron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88.99</w:t>
            </w: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S&amp;P 500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109.54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130.81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122.65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158.07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183.77</w:t>
            </w:r>
          </w:p>
        </w:tc>
      </w:tr>
      <w:tr>
        <w:trPr>
          <w:trHeight w:val="229"/>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NQ US Pharma TR Index</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160.97</w:t>
            </w:r>
          </w:p>
        </w:tc>
      </w:tr>
    </w:tbl>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performance graph shall not be deemed "filed" for purposes of Section 18 of the Securities Exchange Act of 1934, as amended, or incorporated by reference into any filing of ours under the Securities Act of 1933, as amended, or the Securities Exchange Act, except as shall be expressly set forth by specific reference to such filing.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4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The table below reflects shares of Common Stock we repurchased under the share repurchase program approved in November 2019, as well as Common Stock withheld by us for employees to satisfy their tax withholding obligations arising upon the vesting of restricted stock granted under one of our long-term incentive plans, during the three months ended December 31, 2020. Refer to Part II, Item 7. "Management's Discussion and Analysis of Financial Condition and Results of Operations - Liquidity and Capital Resources - </w:t>
      </w:r>
      <w:r>
        <w:rPr>
          <w:rFonts w:ascii="Arial" w:cs="Arial" w:eastAsia="Arial" w:hAnsi="Arial"/>
          <w:sz w:val="16"/>
          <w:szCs w:val="16"/>
          <w:i w:val="1"/>
          <w:iCs w:val="1"/>
          <w:color w:val="auto"/>
        </w:rPr>
        <w:t>Share Repurchase Program</w:t>
      </w:r>
      <w:r>
        <w:rPr>
          <w:rFonts w:ascii="Arial" w:cs="Arial" w:eastAsia="Arial" w:hAnsi="Arial"/>
          <w:sz w:val="16"/>
          <w:szCs w:val="16"/>
          <w:color w:val="auto"/>
        </w:rPr>
        <w:t>" for further details of the share repurchase program.</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0"/>
              </w:rPr>
              <w:t>Total Number of Shares</w:t>
            </w:r>
          </w:p>
        </w:tc>
        <w:tc>
          <w:tcPr>
            <w:tcW w:w="320" w:type="dxa"/>
            <w:vAlign w:val="bottom"/>
          </w:tcPr>
          <w:p>
            <w:pPr>
              <w:spacing w:after="0"/>
              <w:rPr>
                <w:sz w:val="17"/>
                <w:szCs w:val="17"/>
                <w:color w:val="auto"/>
              </w:rPr>
            </w:pPr>
          </w:p>
        </w:tc>
        <w:tc>
          <w:tcPr>
            <w:tcW w:w="2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Approximate Dollar Value</w:t>
            </w:r>
          </w:p>
        </w:tc>
        <w:tc>
          <w:tcPr>
            <w:tcW w:w="0" w:type="dxa"/>
            <w:vAlign w:val="bottom"/>
          </w:tcPr>
          <w:p>
            <w:pPr>
              <w:spacing w:after="0"/>
              <w:rPr>
                <w:sz w:val="1"/>
                <w:szCs w:val="1"/>
                <w:color w:val="auto"/>
              </w:rPr>
            </w:pPr>
          </w:p>
        </w:tc>
      </w:tr>
      <w:tr>
        <w:trPr>
          <w:trHeight w:val="176"/>
        </w:trPr>
        <w:tc>
          <w:tcPr>
            <w:tcW w:w="2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0"/>
              </w:rPr>
              <w:t>Total Number of Shares</w:t>
            </w:r>
          </w:p>
        </w:tc>
        <w:tc>
          <w:tcPr>
            <w:tcW w:w="320" w:type="dxa"/>
            <w:vAlign w:val="bottom"/>
          </w:tcPr>
          <w:p>
            <w:pPr>
              <w:spacing w:after="0"/>
              <w:rPr>
                <w:sz w:val="15"/>
                <w:szCs w:val="15"/>
                <w:color w:val="auto"/>
              </w:rPr>
            </w:pPr>
          </w:p>
        </w:tc>
        <w:tc>
          <w:tcPr>
            <w:tcW w:w="2240" w:type="dxa"/>
            <w:vAlign w:val="bottom"/>
            <w:gridSpan w:val="3"/>
            <w:vMerge w:val="restart"/>
          </w:tcPr>
          <w:p>
            <w:pPr>
              <w:jc w:val="right"/>
              <w:ind w:right="400"/>
              <w:spacing w:after="0"/>
              <w:rPr>
                <w:sz w:val="20"/>
                <w:szCs w:val="20"/>
                <w:color w:val="auto"/>
              </w:rPr>
            </w:pPr>
            <w:r>
              <w:rPr>
                <w:rFonts w:ascii="Arial" w:cs="Arial" w:eastAsia="Arial" w:hAnsi="Arial"/>
                <w:sz w:val="18"/>
                <w:szCs w:val="18"/>
                <w:b w:val="1"/>
                <w:bCs w:val="1"/>
                <w:color w:val="auto"/>
                <w:w w:val="92"/>
              </w:rPr>
              <w:t>Average Price Paid per</w:t>
            </w:r>
          </w:p>
        </w:tc>
        <w:tc>
          <w:tcPr>
            <w:tcW w:w="19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Purchased as Part of a</w:t>
            </w:r>
          </w:p>
        </w:tc>
        <w:tc>
          <w:tcPr>
            <w:tcW w:w="320" w:type="dxa"/>
            <w:vAlign w:val="bottom"/>
          </w:tcPr>
          <w:p>
            <w:pPr>
              <w:spacing w:after="0"/>
              <w:rPr>
                <w:sz w:val="15"/>
                <w:szCs w:val="15"/>
                <w:color w:val="auto"/>
              </w:rPr>
            </w:pPr>
          </w:p>
        </w:tc>
        <w:tc>
          <w:tcPr>
            <w:tcW w:w="21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0"/>
              </w:rPr>
              <w:t>of Shares that May Yet Be</w:t>
            </w:r>
          </w:p>
        </w:tc>
        <w:tc>
          <w:tcPr>
            <w:tcW w:w="0" w:type="dxa"/>
            <w:vAlign w:val="bottom"/>
          </w:tcPr>
          <w:p>
            <w:pPr>
              <w:spacing w:after="0"/>
              <w:rPr>
                <w:sz w:val="1"/>
                <w:szCs w:val="1"/>
                <w:color w:val="auto"/>
              </w:rPr>
            </w:pPr>
          </w:p>
        </w:tc>
      </w:tr>
      <w:tr>
        <w:trPr>
          <w:trHeight w:val="175"/>
        </w:trPr>
        <w:tc>
          <w:tcPr>
            <w:tcW w:w="2400" w:type="dxa"/>
            <w:vAlign w:val="bottom"/>
            <w:gridSpan w:val="2"/>
            <w:vMerge w:val="restart"/>
          </w:tcPr>
          <w:p>
            <w:pPr>
              <w:ind w:left="780"/>
              <w:spacing w:after="0"/>
              <w:rPr>
                <w:sz w:val="20"/>
                <w:szCs w:val="20"/>
                <w:color w:val="auto"/>
              </w:rPr>
            </w:pPr>
            <w:r>
              <w:rPr>
                <w:rFonts w:ascii="Arial" w:cs="Arial" w:eastAsia="Arial" w:hAnsi="Arial"/>
                <w:sz w:val="18"/>
                <w:szCs w:val="18"/>
                <w:b w:val="1"/>
                <w:bCs w:val="1"/>
                <w:color w:val="auto"/>
              </w:rPr>
              <w:t>Period</w:t>
            </w:r>
          </w:p>
        </w:tc>
        <w:tc>
          <w:tcPr>
            <w:tcW w:w="19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2240" w:type="dxa"/>
            <w:vAlign w:val="bottom"/>
            <w:gridSpan w:val="3"/>
            <w:vMerge w:val="continue"/>
          </w:tcPr>
          <w:p>
            <w:pPr>
              <w:spacing w:after="0"/>
              <w:rPr>
                <w:sz w:val="15"/>
                <w:szCs w:val="15"/>
                <w:color w:val="auto"/>
              </w:rPr>
            </w:pPr>
          </w:p>
        </w:tc>
        <w:tc>
          <w:tcPr>
            <w:tcW w:w="19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Publicly Announced</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89"/>
              </w:rPr>
              <w:t>Purchased Under the</w:t>
            </w:r>
          </w:p>
        </w:tc>
        <w:tc>
          <w:tcPr>
            <w:tcW w:w="0" w:type="dxa"/>
            <w:vAlign w:val="bottom"/>
          </w:tcPr>
          <w:p>
            <w:pPr>
              <w:spacing w:after="0"/>
              <w:rPr>
                <w:sz w:val="1"/>
                <w:szCs w:val="1"/>
                <w:color w:val="auto"/>
              </w:rPr>
            </w:pPr>
          </w:p>
        </w:tc>
      </w:tr>
      <w:tr>
        <w:trPr>
          <w:trHeight w:val="230"/>
        </w:trPr>
        <w:tc>
          <w:tcPr>
            <w:tcW w:w="2400" w:type="dxa"/>
            <w:vAlign w:val="bottom"/>
            <w:gridSpan w:val="2"/>
            <w:vMerge w:val="continue"/>
          </w:tcPr>
          <w:p>
            <w:pPr>
              <w:spacing w:after="0"/>
              <w:rPr>
                <w:sz w:val="19"/>
                <w:szCs w:val="19"/>
                <w:color w:val="auto"/>
              </w:rPr>
            </w:pPr>
          </w:p>
        </w:tc>
        <w:tc>
          <w:tcPr>
            <w:tcW w:w="1900" w:type="dxa"/>
            <w:vAlign w:val="bottom"/>
          </w:tcPr>
          <w:p>
            <w:pPr>
              <w:jc w:val="right"/>
              <w:ind w:right="450"/>
              <w:spacing w:after="0"/>
              <w:rPr>
                <w:sz w:val="20"/>
                <w:szCs w:val="20"/>
                <w:color w:val="auto"/>
              </w:rPr>
            </w:pPr>
            <w:r>
              <w:rPr>
                <w:rFonts w:ascii="Arial" w:cs="Arial" w:eastAsia="Arial" w:hAnsi="Arial"/>
                <w:sz w:val="18"/>
                <w:szCs w:val="18"/>
                <w:b w:val="1"/>
                <w:bCs w:val="1"/>
                <w:color w:val="auto"/>
              </w:rPr>
              <w:t>Purchased</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20" w:type="dxa"/>
            <w:vAlign w:val="bottom"/>
            <w:gridSpan w:val="2"/>
          </w:tcPr>
          <w:p>
            <w:pPr>
              <w:ind w:left="320"/>
              <w:spacing w:after="0"/>
              <w:rPr>
                <w:sz w:val="20"/>
                <w:szCs w:val="20"/>
                <w:color w:val="auto"/>
              </w:rPr>
            </w:pPr>
            <w:r>
              <w:rPr>
                <w:rFonts w:ascii="Arial" w:cs="Arial" w:eastAsia="Arial" w:hAnsi="Arial"/>
                <w:sz w:val="18"/>
                <w:szCs w:val="18"/>
                <w:b w:val="1"/>
                <w:bCs w:val="1"/>
                <w:color w:val="auto"/>
              </w:rPr>
              <w:t>Share</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1"/>
              </w:rPr>
              <w:t>Program</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tcPr>
          <w:p>
            <w:pPr>
              <w:jc w:val="center"/>
              <w:ind w:right="90"/>
              <w:spacing w:after="0" w:line="230" w:lineRule="exact"/>
              <w:rPr>
                <w:sz w:val="20"/>
                <w:szCs w:val="20"/>
                <w:color w:val="auto"/>
              </w:rPr>
            </w:pPr>
            <w:r>
              <w:rPr>
                <w:rFonts w:ascii="Arial" w:cs="Arial" w:eastAsia="Arial" w:hAnsi="Arial"/>
                <w:sz w:val="18"/>
                <w:szCs w:val="18"/>
                <w:b w:val="1"/>
                <w:bCs w:val="1"/>
                <w:color w:val="auto"/>
                <w:w w:val="87"/>
              </w:rPr>
              <w:t>Program</w:t>
            </w:r>
            <w:r>
              <w:rPr>
                <w:rFonts w:ascii="Arial" w:cs="Arial" w:eastAsia="Arial" w:hAnsi="Arial"/>
                <w:sz w:val="23"/>
                <w:szCs w:val="23"/>
                <w:b w:val="1"/>
                <w:bCs w:val="1"/>
                <w:color w:val="auto"/>
                <w:w w:val="87"/>
                <w:vertAlign w:val="superscript"/>
              </w:rPr>
              <w:t>(b)</w:t>
            </w:r>
          </w:p>
        </w:tc>
        <w:tc>
          <w:tcPr>
            <w:tcW w:w="0" w:type="dxa"/>
            <w:vAlign w:val="bottom"/>
          </w:tcPr>
          <w:p>
            <w:pPr>
              <w:spacing w:after="0"/>
              <w:rPr>
                <w:sz w:val="1"/>
                <w:szCs w:val="1"/>
                <w:color w:val="auto"/>
              </w:rPr>
            </w:pPr>
          </w:p>
        </w:tc>
      </w:tr>
      <w:tr>
        <w:trPr>
          <w:trHeight w:val="223"/>
        </w:trPr>
        <w:tc>
          <w:tcPr>
            <w:tcW w:w="2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10/1/2020–10/31/2020</w:t>
            </w:r>
          </w:p>
        </w:tc>
        <w:tc>
          <w:tcPr>
            <w:tcW w:w="3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72,870</w:t>
            </w:r>
          </w:p>
        </w:tc>
        <w:tc>
          <w:tcPr>
            <w:tcW w:w="3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556.23</w:t>
            </w:r>
          </w:p>
        </w:tc>
        <w:tc>
          <w:tcPr>
            <w:tcW w:w="32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72,870</w:t>
            </w:r>
          </w:p>
        </w:tc>
        <w:tc>
          <w:tcPr>
            <w:tcW w:w="3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332,144,883</w:t>
            </w:r>
          </w:p>
        </w:tc>
        <w:tc>
          <w:tcPr>
            <w:tcW w:w="0" w:type="dxa"/>
            <w:vAlign w:val="bottom"/>
          </w:tcPr>
          <w:p>
            <w:pPr>
              <w:spacing w:after="0"/>
              <w:rPr>
                <w:sz w:val="1"/>
                <w:szCs w:val="1"/>
                <w:color w:val="auto"/>
              </w:rPr>
            </w:pPr>
          </w:p>
        </w:tc>
      </w:tr>
      <w:tr>
        <w:trPr>
          <w:trHeight w:val="230"/>
        </w:trPr>
        <w:tc>
          <w:tcPr>
            <w:tcW w:w="2400" w:type="dxa"/>
            <w:vAlign w:val="bottom"/>
            <w:gridSpan w:val="2"/>
          </w:tcPr>
          <w:p>
            <w:pPr>
              <w:ind w:left="20"/>
              <w:spacing w:after="0"/>
              <w:rPr>
                <w:sz w:val="20"/>
                <w:szCs w:val="20"/>
                <w:color w:val="auto"/>
              </w:rPr>
            </w:pPr>
            <w:r>
              <w:rPr>
                <w:rFonts w:ascii="Arial" w:cs="Arial" w:eastAsia="Arial" w:hAnsi="Arial"/>
                <w:sz w:val="18"/>
                <w:szCs w:val="18"/>
                <w:color w:val="auto"/>
              </w:rPr>
              <w:t>11/1/2020–11/30/2020</w:t>
            </w:r>
          </w:p>
        </w:tc>
        <w:tc>
          <w:tcPr>
            <w:tcW w:w="1900" w:type="dxa"/>
            <w:vAlign w:val="bottom"/>
          </w:tcPr>
          <w:p>
            <w:pPr>
              <w:jc w:val="right"/>
              <w:spacing w:after="0"/>
              <w:rPr>
                <w:sz w:val="20"/>
                <w:szCs w:val="20"/>
                <w:color w:val="auto"/>
              </w:rPr>
            </w:pPr>
            <w:r>
              <w:rPr>
                <w:rFonts w:ascii="Arial" w:cs="Arial" w:eastAsia="Arial" w:hAnsi="Arial"/>
                <w:sz w:val="18"/>
                <w:szCs w:val="18"/>
                <w:color w:val="auto"/>
              </w:rPr>
              <w:t>596,867</w:t>
            </w:r>
          </w:p>
        </w:tc>
        <w:tc>
          <w:tcPr>
            <w:tcW w:w="7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524.36</w:t>
            </w: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596,867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19,172,999</w:t>
            </w:r>
          </w:p>
        </w:tc>
        <w:tc>
          <w:tcPr>
            <w:tcW w:w="0" w:type="dxa"/>
            <w:vAlign w:val="bottom"/>
          </w:tcPr>
          <w:p>
            <w:pPr>
              <w:spacing w:after="0"/>
              <w:rPr>
                <w:sz w:val="1"/>
                <w:szCs w:val="1"/>
                <w:color w:val="auto"/>
              </w:rPr>
            </w:pPr>
          </w:p>
        </w:tc>
      </w:tr>
      <w:tr>
        <w:trPr>
          <w:trHeight w:val="229"/>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12/1/2020–12/31/2020</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41,636</w:t>
            </w:r>
          </w:p>
        </w:tc>
        <w:tc>
          <w:tcPr>
            <w:tcW w:w="7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516.76</w:t>
            </w:r>
          </w:p>
        </w:tc>
        <w:tc>
          <w:tcPr>
            <w:tcW w:w="320" w:type="dxa"/>
            <w:vAlign w:val="bottom"/>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36,854</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4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900" w:type="dxa"/>
            <w:vAlign w:val="bottom"/>
          </w:tcPr>
          <w:p>
            <w:pPr>
              <w:jc w:val="right"/>
              <w:spacing w:after="0"/>
              <w:rPr>
                <w:sz w:val="20"/>
                <w:szCs w:val="20"/>
                <w:color w:val="auto"/>
              </w:rPr>
            </w:pPr>
            <w:r>
              <w:rPr>
                <w:rFonts w:ascii="Arial" w:cs="Arial" w:eastAsia="Arial" w:hAnsi="Arial"/>
                <w:sz w:val="18"/>
                <w:szCs w:val="18"/>
                <w:color w:val="auto"/>
              </w:rPr>
              <w:t>711,373</w:t>
            </w:r>
          </w:p>
        </w:tc>
        <w:tc>
          <w:tcPr>
            <w:tcW w:w="740" w:type="dxa"/>
            <w:vAlign w:val="bottom"/>
            <w:gridSpan w:val="2"/>
          </w:tcPr>
          <w:p>
            <w:pPr>
              <w:jc w:val="right"/>
              <w:ind w:right="510"/>
              <w:spacing w:after="0"/>
              <w:rPr>
                <w:sz w:val="20"/>
                <w:szCs w:val="20"/>
                <w:color w:val="auto"/>
              </w:rPr>
            </w:pPr>
            <w:r>
              <w:rPr>
                <w:rFonts w:ascii="Arial" w:cs="Arial" w:eastAsia="Arial" w:hAnsi="Arial"/>
                <w:sz w:val="12"/>
                <w:szCs w:val="12"/>
                <w:color w:val="auto"/>
                <w:w w:val="81"/>
              </w:rPr>
              <w:t>(a)</w:t>
            </w:r>
          </w:p>
        </w:tc>
        <w:tc>
          <w:tcPr>
            <w:tcW w:w="1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706,591</w:t>
            </w:r>
          </w:p>
        </w:tc>
        <w:tc>
          <w:tcPr>
            <w:tcW w:w="500" w:type="dxa"/>
            <w:vAlign w:val="bottom"/>
            <w:gridSpan w:val="2"/>
          </w:tcPr>
          <w:p>
            <w:pPr>
              <w:jc w:val="right"/>
              <w:ind w:right="250"/>
              <w:spacing w:after="0"/>
              <w:rPr>
                <w:sz w:val="20"/>
                <w:szCs w:val="20"/>
                <w:color w:val="auto"/>
              </w:rPr>
            </w:pPr>
            <w:r>
              <w:rPr>
                <w:rFonts w:ascii="Arial" w:cs="Arial" w:eastAsia="Arial" w:hAnsi="Arial"/>
                <w:sz w:val="12"/>
                <w:szCs w:val="12"/>
                <w:color w:val="auto"/>
                <w:w w:val="95"/>
              </w:rPr>
              <w:t>(a)</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220" w:right="140" w:firstLine="8"/>
        <w:spacing w:after="0"/>
        <w:tabs>
          <w:tab w:leader="none" w:pos="377"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The difference between the total number of shares purchased and the total number of shares purchased as part of a publicly announced program relates to Common Stock withheld by us for employees to satisfy their tax withholding obligations arising upon the vesting of restricted stock granted under one of our long-term incentive plans.</w:t>
      </w:r>
    </w:p>
    <w:p>
      <w:pPr>
        <w:spacing w:after="0" w:line="226" w:lineRule="exact"/>
        <w:rPr>
          <w:rFonts w:ascii="Arial" w:cs="Arial" w:eastAsia="Arial" w:hAnsi="Arial"/>
          <w:sz w:val="18"/>
          <w:szCs w:val="18"/>
          <w:color w:val="auto"/>
          <w:vertAlign w:val="superscript"/>
        </w:rPr>
      </w:pPr>
    </w:p>
    <w:p>
      <w:pPr>
        <w:ind w:left="220" w:right="100" w:firstLine="8"/>
        <w:spacing w:after="0"/>
        <w:tabs>
          <w:tab w:leader="none" w:pos="383"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In January 2021, our board of directors authorized a new share repurchase program to repurchase up to $1.5 billion of our Common Stock. See Item 7. "Liquidity and Capital Resources - Share Repurchase Program" for further details.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4" w:name="page75"/>
    <w:bookmarkEnd w:id="7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4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selected financial data set forth below for the years ended December 31, 2020, 2019, and 2018 and as of December 31, 2020 and 2019 are derived from and should be read in conjunction with our audited financial statements, including the notes thereto, included elsewhere in this report. Certain prior year amounts have been reclassified to conform to the current year's presentation, including revisions related to the change in presentation for certain amounts received from collaborators who are not deemed to be our customers; see Note 1 to our Consolidated Financial Statements for further details.</w:t>
      </w:r>
    </w:p>
    <w:p>
      <w:pPr>
        <w:spacing w:after="0" w:line="12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223"/>
        </w:trPr>
        <w:tc>
          <w:tcPr>
            <w:tcW w:w="4480" w:type="dxa"/>
            <w:vAlign w:val="bottom"/>
            <w:tcBorders>
              <w:bottom w:val="single" w:sz="8" w:color="CCEEFF"/>
            </w:tcBorders>
          </w:tcPr>
          <w:p>
            <w:pPr>
              <w:spacing w:after="0"/>
              <w:rPr>
                <w:sz w:val="20"/>
                <w:szCs w:val="20"/>
                <w:color w:val="auto"/>
              </w:rPr>
            </w:pPr>
            <w:r>
              <w:rPr>
                <w:rFonts w:ascii="Arial" w:cs="Arial" w:eastAsia="Arial" w:hAnsi="Arial"/>
                <w:sz w:val="16"/>
                <w:szCs w:val="16"/>
                <w:i w:val="1"/>
                <w:iCs w:val="1"/>
                <w:color w:val="auto"/>
              </w:rPr>
              <w:t>(In millions, except per share data)</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r>
      <w:tr>
        <w:trPr>
          <w:trHeight w:val="209"/>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Revenues: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product sales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3,338.4</w:t>
            </w:r>
          </w:p>
        </w:tc>
      </w:tr>
      <w:tr>
        <w:trPr>
          <w:trHeight w:val="229"/>
        </w:trPr>
        <w:tc>
          <w:tcPr>
            <w:tcW w:w="4480" w:type="dxa"/>
            <w:vAlign w:val="bottom"/>
          </w:tcPr>
          <w:p>
            <w:pPr>
              <w:ind w:left="160"/>
              <w:spacing w:after="0"/>
              <w:rPr>
                <w:sz w:val="20"/>
                <w:szCs w:val="20"/>
                <w:color w:val="auto"/>
              </w:rPr>
            </w:pPr>
            <w:r>
              <w:rPr>
                <w:rFonts w:ascii="Arial" w:cs="Arial" w:eastAsia="Arial" w:hAnsi="Arial"/>
                <w:sz w:val="18"/>
                <w:szCs w:val="18"/>
                <w:color w:val="auto"/>
              </w:rPr>
              <w:t>Sanofi and Bayer collaboration revenue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2,372.5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1,549.2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223.9</w:t>
            </w:r>
          </w:p>
        </w:tc>
      </w:tr>
      <w:tr>
        <w:trPr>
          <w:trHeight w:val="230"/>
        </w:trPr>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revenue</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w:t>
            </w:r>
          </w:p>
        </w:tc>
      </w:tr>
      <w:tr>
        <w:trPr>
          <w:trHeight w:val="223"/>
        </w:trPr>
        <w:tc>
          <w:tcPr>
            <w:tcW w:w="44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8,497.1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6,557.6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4,257.5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3,630.6</w:t>
            </w: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4480" w:type="dxa"/>
            <w:vAlign w:val="bottom"/>
          </w:tcPr>
          <w:p>
            <w:pPr>
              <w:ind w:left="160"/>
              <w:spacing w:after="0" w:line="23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2,735.0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2,450.0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1,297.4</w:t>
            </w:r>
          </w:p>
        </w:tc>
      </w:tr>
      <w:tr>
        <w:trPr>
          <w:trHeight w:val="229"/>
        </w:trPr>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860.9</w:t>
            </w:r>
          </w:p>
        </w:tc>
      </w:tr>
      <w:tr>
        <w:trPr>
          <w:trHeight w:val="230"/>
        </w:trPr>
        <w:tc>
          <w:tcPr>
            <w:tcW w:w="4480" w:type="dxa"/>
            <w:vAlign w:val="bottom"/>
          </w:tcPr>
          <w:p>
            <w:pPr>
              <w:ind w:left="16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194.6</w:t>
            </w:r>
          </w:p>
        </w:tc>
      </w:tr>
      <w:tr>
        <w:trPr>
          <w:trHeight w:val="229"/>
        </w:trPr>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collaboration and contract manufacturing</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r>
      <w:tr>
        <w:trPr>
          <w:trHeight w:val="230"/>
        </w:trPr>
        <w:tc>
          <w:tcPr>
            <w:tcW w:w="44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 operating (income) expense, net</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w:t>
            </w:r>
          </w:p>
        </w:tc>
      </w:tr>
      <w:tr>
        <w:trPr>
          <w:trHeight w:val="223"/>
        </w:trPr>
        <w:tc>
          <w:tcPr>
            <w:tcW w:w="44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4,920.5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4,347.8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2,299.9</w:t>
            </w:r>
          </w:p>
        </w:tc>
      </w:tr>
      <w:tr>
        <w:trPr>
          <w:trHeight w:val="88"/>
        </w:trPr>
        <w:tc>
          <w:tcPr>
            <w:tcW w:w="4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r>
      <w:tr>
        <w:trPr>
          <w:trHeight w:val="229"/>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3,576.6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1,330.7</w:t>
            </w:r>
          </w:p>
        </w:tc>
      </w:tr>
      <w:tr>
        <w:trPr>
          <w:trHeight w:val="128"/>
        </w:trPr>
        <w:tc>
          <w:tcPr>
            <w:tcW w:w="4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23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88"/>
        </w:trPr>
        <w:tc>
          <w:tcPr>
            <w:tcW w:w="4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r>
      <w:tr>
        <w:trPr>
          <w:trHeight w:val="229"/>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1,329.8</w:t>
            </w:r>
          </w:p>
        </w:tc>
      </w:tr>
      <w:tr>
        <w:trPr>
          <w:trHeight w:val="149"/>
        </w:trPr>
        <w:tc>
          <w:tcPr>
            <w:tcW w:w="4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30"/>
        </w:trPr>
        <w:tc>
          <w:tcPr>
            <w:tcW w:w="448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Income tax expense</w:t>
            </w:r>
            <w:r>
              <w:rPr>
                <w:rFonts w:ascii="Arial" w:cs="Arial" w:eastAsia="Arial" w:hAnsi="Arial"/>
                <w:sz w:val="23"/>
                <w:szCs w:val="23"/>
                <w:color w:val="auto"/>
                <w:vertAlign w:val="superscript"/>
              </w:rPr>
              <w:t>(2)</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434.3</w:t>
            </w:r>
          </w:p>
        </w:tc>
      </w:tr>
      <w:tr>
        <w:trPr>
          <w:trHeight w:val="128"/>
        </w:trPr>
        <w:tc>
          <w:tcPr>
            <w:tcW w:w="4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255"/>
        </w:trPr>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895.5</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4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29"/>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basic</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Net income per share - 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30.52</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18.46</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21.29</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7.70</w:t>
            </w:r>
          </w:p>
        </w:tc>
      </w:tr>
    </w:tbl>
    <w:p>
      <w:pPr>
        <w:spacing w:after="0" w:line="26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w w:val="88"/>
              </w:rPr>
              <w:t>As of December 31,</w:t>
            </w: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CCEEFF"/>
            </w:tcBorders>
          </w:tcPr>
          <w:p>
            <w:pPr>
              <w:spacing w:after="0"/>
              <w:rPr>
                <w:sz w:val="20"/>
                <w:szCs w:val="20"/>
                <w:color w:val="auto"/>
              </w:rPr>
            </w:pPr>
            <w:r>
              <w:rPr>
                <w:rFonts w:ascii="Arial" w:cs="Arial" w:eastAsia="Arial" w:hAnsi="Arial"/>
                <w:sz w:val="16"/>
                <w:szCs w:val="16"/>
                <w:i w:val="1"/>
                <w:iCs w:val="1"/>
                <w:color w:val="auto"/>
              </w:rPr>
              <w:t>(In millions)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480" w:type="dxa"/>
            <w:vAlign w:val="bottom"/>
          </w:tcPr>
          <w:p>
            <w:pPr>
              <w:spacing w:after="0" w:line="176" w:lineRule="exact"/>
              <w:rPr>
                <w:sz w:val="20"/>
                <w:szCs w:val="20"/>
                <w:color w:val="auto"/>
              </w:rPr>
            </w:pPr>
            <w:r>
              <w:rPr>
                <w:rFonts w:ascii="Arial" w:cs="Arial" w:eastAsia="Arial" w:hAnsi="Arial"/>
                <w:sz w:val="18"/>
                <w:szCs w:val="18"/>
                <w:color w:val="auto"/>
                <w:w w:val="95"/>
              </w:rPr>
              <w:t>Cash, cash equivalents, and marketable securities (current</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6,722.6</w:t>
            </w:r>
          </w:p>
        </w:tc>
        <w:tc>
          <w:tcPr>
            <w:tcW w:w="10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6,471.1</w:t>
            </w:r>
          </w:p>
        </w:tc>
        <w:tc>
          <w:tcPr>
            <w:tcW w:w="44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4,564.9</w:t>
            </w:r>
          </w:p>
        </w:tc>
        <w:tc>
          <w:tcPr>
            <w:tcW w:w="10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2,896.0</w:t>
            </w:r>
          </w:p>
        </w:tc>
        <w:tc>
          <w:tcPr>
            <w:tcW w:w="10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1,902.9</w:t>
            </w:r>
          </w:p>
        </w:tc>
        <w:tc>
          <w:tcPr>
            <w:tcW w:w="0" w:type="dxa"/>
            <w:vAlign w:val="bottom"/>
          </w:tcPr>
          <w:p>
            <w:pPr>
              <w:spacing w:after="0"/>
              <w:rPr>
                <w:sz w:val="1"/>
                <w:szCs w:val="1"/>
                <w:color w:val="auto"/>
              </w:rPr>
            </w:pPr>
          </w:p>
        </w:tc>
      </w:tr>
      <w:tr>
        <w:trPr>
          <w:trHeight w:val="230"/>
        </w:trPr>
        <w:tc>
          <w:tcPr>
            <w:tcW w:w="4480" w:type="dxa"/>
            <w:vAlign w:val="bottom"/>
          </w:tcPr>
          <w:p>
            <w:pPr>
              <w:ind w:left="240"/>
              <w:spacing w:after="0"/>
              <w:rPr>
                <w:sz w:val="20"/>
                <w:szCs w:val="20"/>
                <w:color w:val="auto"/>
              </w:rPr>
            </w:pPr>
            <w:r>
              <w:rPr>
                <w:rFonts w:ascii="Arial" w:cs="Arial" w:eastAsia="Arial" w:hAnsi="Arial"/>
                <w:sz w:val="18"/>
                <w:szCs w:val="18"/>
                <w:color w:val="auto"/>
              </w:rPr>
              <w:t>and non-current)</w:t>
            </w:r>
          </w:p>
        </w:tc>
        <w:tc>
          <w:tcPr>
            <w:tcW w:w="26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440" w:type="dxa"/>
            <w:vAlign w:val="bottom"/>
            <w:gridSpan w:val="3"/>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14,805.2</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6,973.5</w:t>
            </w:r>
          </w:p>
        </w:tc>
        <w:tc>
          <w:tcPr>
            <w:tcW w:w="0" w:type="dxa"/>
            <w:vAlign w:val="bottom"/>
          </w:tcPr>
          <w:p>
            <w:pPr>
              <w:spacing w:after="0"/>
              <w:rPr>
                <w:sz w:val="1"/>
                <w:szCs w:val="1"/>
                <w:color w:val="auto"/>
              </w:rPr>
            </w:pPr>
          </w:p>
        </w:tc>
      </w:tr>
      <w:tr>
        <w:trPr>
          <w:trHeight w:val="230"/>
        </w:trPr>
        <w:tc>
          <w:tcPr>
            <w:tcW w:w="4480" w:type="dxa"/>
            <w:vAlign w:val="bottom"/>
          </w:tcPr>
          <w:p>
            <w:pPr>
              <w:spacing w:after="0" w:line="230" w:lineRule="exact"/>
              <w:rPr>
                <w:sz w:val="20"/>
                <w:szCs w:val="20"/>
                <w:color w:val="auto"/>
              </w:rPr>
            </w:pPr>
            <w:r>
              <w:rPr>
                <w:rFonts w:ascii="Arial" w:cs="Arial" w:eastAsia="Arial" w:hAnsi="Arial"/>
                <w:sz w:val="18"/>
                <w:szCs w:val="18"/>
                <w:color w:val="auto"/>
              </w:rPr>
              <w:t>Long-term debt</w:t>
            </w:r>
            <w:r>
              <w:rPr>
                <w:rFonts w:ascii="Arial" w:cs="Arial" w:eastAsia="Arial" w:hAnsi="Arial"/>
                <w:sz w:val="23"/>
                <w:szCs w:val="23"/>
                <w:color w:val="auto"/>
                <w:vertAlign w:val="superscript"/>
              </w:rPr>
              <w:t>(3)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1,978.5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Finance lease liabilities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713.9</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481.1</w:t>
            </w: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11,025.3</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11,089.7</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8,757.3</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6,144.1</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4,449.2</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540" w:right="520" w:firstLine="6"/>
        <w:spacing w:after="0" w:line="262" w:lineRule="auto"/>
        <w:tabs>
          <w:tab w:leader="none" w:pos="689" w:val="left"/>
        </w:tabs>
        <w:numPr>
          <w:ilvl w:val="0"/>
          <w:numId w:val="36"/>
        </w:numPr>
        <w:rPr>
          <w:rFonts w:ascii="Arial" w:cs="Arial" w:eastAsia="Arial" w:hAnsi="Arial"/>
          <w:sz w:val="17"/>
          <w:szCs w:val="17"/>
          <w:color w:val="auto"/>
          <w:vertAlign w:val="superscript"/>
        </w:rPr>
      </w:pPr>
      <w:r>
        <w:rPr>
          <w:rFonts w:ascii="Arial" w:cs="Arial" w:eastAsia="Arial" w:hAnsi="Arial"/>
          <w:sz w:val="13"/>
          <w:szCs w:val="13"/>
          <w:color w:val="auto"/>
        </w:rPr>
        <w:t>Research and development expenses for the year ended December 31, 2019 includes a $400.0 million up-front payment to Alnylam in connection with our collaboration agreement. See Part I, Item 1. "Collaboration, License, and Other Agreements - Alnylam") for further details.</w:t>
      </w:r>
    </w:p>
    <w:p>
      <w:pPr>
        <w:spacing w:after="0" w:line="1" w:lineRule="exact"/>
        <w:rPr>
          <w:rFonts w:ascii="Arial" w:cs="Arial" w:eastAsia="Arial" w:hAnsi="Arial"/>
          <w:sz w:val="17"/>
          <w:szCs w:val="17"/>
          <w:color w:val="auto"/>
          <w:vertAlign w:val="superscript"/>
        </w:rPr>
      </w:pPr>
    </w:p>
    <w:p>
      <w:pPr>
        <w:ind w:left="540" w:right="440" w:firstLine="6"/>
        <w:spacing w:after="0" w:line="225" w:lineRule="auto"/>
        <w:tabs>
          <w:tab w:leader="none" w:pos="703" w:val="left"/>
        </w:tabs>
        <w:numPr>
          <w:ilvl w:val="0"/>
          <w:numId w:val="36"/>
        </w:numPr>
        <w:rPr>
          <w:rFonts w:ascii="Arial" w:cs="Arial" w:eastAsia="Arial" w:hAnsi="Arial"/>
          <w:sz w:val="19"/>
          <w:szCs w:val="19"/>
          <w:color w:val="auto"/>
          <w:vertAlign w:val="superscript"/>
        </w:rPr>
      </w:pPr>
      <w:r>
        <w:rPr>
          <w:rFonts w:ascii="Arial" w:cs="Arial" w:eastAsia="Arial" w:hAnsi="Arial"/>
          <w:sz w:val="15"/>
          <w:szCs w:val="15"/>
          <w:color w:val="auto"/>
        </w:rPr>
        <w:t>As a result of the Tax Cuts and Jobs Act being signed into law in December 2017, income taxes for the year ended December 31, 2017 included a charge of $326.2 million related to the re-measurement of our U.S. net deferred tax assets at the lower enacted corporate tax rate. See Note 14 to our Consolidated Financial Statements for further details.</w:t>
      </w:r>
    </w:p>
    <w:p>
      <w:pPr>
        <w:spacing w:after="0" w:line="11" w:lineRule="exact"/>
        <w:rPr>
          <w:rFonts w:ascii="Arial" w:cs="Arial" w:eastAsia="Arial" w:hAnsi="Arial"/>
          <w:sz w:val="19"/>
          <w:szCs w:val="19"/>
          <w:color w:val="auto"/>
          <w:vertAlign w:val="superscript"/>
        </w:rPr>
      </w:pPr>
    </w:p>
    <w:p>
      <w:pPr>
        <w:ind w:left="700" w:hanging="154"/>
        <w:spacing w:after="0"/>
        <w:tabs>
          <w:tab w:leader="none" w:pos="700"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In 2020, the Company issued and sold senior unsecured notes. See Item 7. "Liquidity and Capital Resources - Issuance of Senior Notes" for further details.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5" w:name="page76"/>
    <w:bookmarkEnd w:id="7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related notes included elsewhere in this report. Refer to Part II, Item 7 in our Annual Report on Form 10-K for the fiscal year ended December 31, 2019 (filed with the SEC on February 7, 2020) for additional discussion of our financial condition and results of operations for the year ended December 31, 2018, as well as our financial condition and results of operations for the year ended December 31, 2019 compared to the year ended December 31, 2018.</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 fully integrated biotechnology company that discovers, invents, develops, manufactures, and commercializes medicines for the treatment of serious diseases. Our commercialized medicines and product candidates in development are designed to help patients with eye diseases, allergic and inflammatory diseases, cancer, cardiovascular and metabolic diseases, pain, infectious diseases, and rare diseases.</w:t>
      </w:r>
    </w:p>
    <w:p>
      <w:pPr>
        <w:spacing w:after="0" w:line="1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described in Part I, Item 1. "Business," we currently have eight products that have received marketing approval and approximately 30 product candidates in clinical development, almost all of which were homegrown in our laboratories. In addition, REGEN-COV received Emergency Use Authorization from the FDA for the treatment of mild to moderate COVID-19 in certain patients at high-risk for progressing to severe COVID-19 and/or hospitalization. Refer to Part I, Item 1. "Business - Products" and "Business - Programs in Clinical Development" for additional information.</w:t>
      </w:r>
    </w:p>
    <w:p>
      <w:pPr>
        <w:spacing w:after="0" w:line="10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ability to generate profits and to generate positive cash flow from operations over the next several years depends significantly on the continued success in commercializing EYLEA and Dupixent. We expect to continue to incur substantial expenses related to our research and development activities, a portion of which we expect to be reimbursed by our collaborators. Also, our research and development activities outside our collaborations, the costs of which are not reimbursed, are expected to expand and require additional resources. We also expect to incur substantial costs related to the commercialization of our marketed products. Our financial results may fluctuate from quarter to quarter and will depend on, among other factors, the net sales of our marketed products; the scope and progress of our research and development efforts; the timing of certain expenses; the continuation of our collaborations, in particular with Sanofi and Bayer, including our share of collaboration profits or losses from sales of commercialized products and the amount of reimbursement of our research and development expenses that we receive from collaborators; and the amount of income tax expense we incur, which is partly dependent on the profits or losses we earn in each of the countries in which we operate. We cannot predict whether or when new products or new indications for marketed products will receive regulatory approval or, if any such approval is received, whether we will be able to successfully commercialize such product(s) and whether or when they may become profitable.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summary of the significant accounting policies that impact us is provided in Note 1 to our Consolidated Financial Statements. The preparation of financial statements in accordance with accounting principles generally accepted in the United States of America ("GAAP") requires management to make estimates and assumptions that affect reported amounts and related disclosures in the financial statements. Management considers an accounting estimate to be critical if:</w:t>
      </w:r>
    </w:p>
    <w:p>
      <w:pPr>
        <w:spacing w:after="0" w:line="119" w:lineRule="exact"/>
        <w:rPr>
          <w:sz w:val="20"/>
          <w:szCs w:val="20"/>
          <w:color w:val="auto"/>
        </w:rPr>
      </w:pPr>
    </w:p>
    <w:p>
      <w:pPr>
        <w:ind w:left="700" w:hanging="328"/>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it requires an assumption (or assumptions) regarding a future outcome; and</w:t>
      </w:r>
    </w:p>
    <w:p>
      <w:pPr>
        <w:spacing w:after="0" w:line="23" w:lineRule="exact"/>
        <w:rPr>
          <w:rFonts w:ascii="Arial" w:cs="Arial" w:eastAsia="Arial" w:hAnsi="Arial"/>
          <w:sz w:val="18"/>
          <w:szCs w:val="18"/>
          <w:color w:val="auto"/>
        </w:rPr>
      </w:pPr>
    </w:p>
    <w:p>
      <w:pPr>
        <w:ind w:left="700" w:hanging="328"/>
        <w:spacing w:after="0" w:line="260" w:lineRule="auto"/>
        <w:tabs>
          <w:tab w:leader="none" w:pos="6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estimate or the use of different assumptions to prepare the estimate could have a material effect on our results of operations or financial condition.</w:t>
      </w:r>
    </w:p>
    <w:p>
      <w:pPr>
        <w:spacing w:after="0" w:line="11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 believes the current assumptions used to estimate amounts reflected in our Consolidated Financial Statements are appropriate. However, if actual experience differs from the assumptions used in estimating amounts reflected in our Consolidated Financial Statements, the resulting changes could have a material adverse effect on our results of operations, and, in certain situations, could have a material adverse effect on our liquidity and financial condition. The critical accounting estimates that impact our Consolidated Financial Statements are described below.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 Product Revenue</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revenue from product sales at a point in time when our customer is deemed to have obtained control of the product, which generally occurs upon receipt by our customer.</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amount of revenue we recognize from product sales may vary due to rebates, chargebacks, and discounts provided under governmental and other programs, distribution-related fees, and other sales-related deductions. In order to determine the transaction price, we estimate, utilizing the expected value method, the amount of variable consideration that we will be entitled to. This estimate is based upon contracts with customers and government agencies, statutorily-defined discounts applicable to</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6" w:name="page77"/>
    <w:bookmarkEnd w:id="7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government-funded programs, historical experience, estimated payor mix, and other relevant factors. Calculating these provisions involves estimates and judgments. We review our estimates of rebates, chargebacks, and other applicable provisions each period and record any necessary adjustments in the current period's net product sales. Refer to the "Results of Operations - </w:t>
      </w:r>
      <w:r>
        <w:rPr>
          <w:rFonts w:ascii="Arial" w:cs="Arial" w:eastAsia="Arial" w:hAnsi="Arial"/>
          <w:sz w:val="18"/>
          <w:szCs w:val="18"/>
          <w:i w:val="1"/>
          <w:iCs w:val="1"/>
          <w:color w:val="auto"/>
        </w:rPr>
        <w:t>Revenues</w:t>
      </w:r>
      <w:r>
        <w:rPr>
          <w:rFonts w:ascii="Arial" w:cs="Arial" w:eastAsia="Arial" w:hAnsi="Arial"/>
          <w:sz w:val="18"/>
          <w:szCs w:val="18"/>
          <w:color w:val="auto"/>
        </w:rPr>
        <w:t xml:space="preserve"> - </w:t>
      </w:r>
      <w:r>
        <w:rPr>
          <w:rFonts w:ascii="Arial" w:cs="Arial" w:eastAsia="Arial" w:hAnsi="Arial"/>
          <w:sz w:val="18"/>
          <w:szCs w:val="18"/>
          <w:i w:val="1"/>
          <w:iCs w:val="1"/>
          <w:color w:val="auto"/>
        </w:rPr>
        <w:t>Net Product Sales</w:t>
      </w:r>
      <w:r>
        <w:rPr>
          <w:rFonts w:ascii="Arial" w:cs="Arial" w:eastAsia="Arial" w:hAnsi="Arial"/>
          <w:sz w:val="18"/>
          <w:szCs w:val="18"/>
          <w:color w:val="auto"/>
        </w:rPr>
        <w:t>" section below for further details regarding our provisions, and credits/payments, for sales-related deductions.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Collaborative Arrangements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entered into various collaborative arrangements to research, develop, manufacture, and commercialize product candidates and utilize our technology platforms.</w:t>
      </w:r>
    </w:p>
    <w:p>
      <w:pPr>
        <w:spacing w:after="0" w:line="10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collaboration agreements may require us to deliver various rights, services, and/or goods across the entire life cycle of a product or product candidate. In agreements involving multiple goods or services promised to be transferred to our collaborator, we must assess, at the inception of the contract, whether each promise represents a separate obligation (</w:t>
      </w:r>
      <w:r>
        <w:rPr>
          <w:rFonts w:ascii="Arial" w:cs="Arial" w:eastAsia="Arial" w:hAnsi="Arial"/>
          <w:sz w:val="16"/>
          <w:szCs w:val="16"/>
          <w:i w:val="1"/>
          <w:iCs w:val="1"/>
          <w:color w:val="auto"/>
        </w:rPr>
        <w:t>i.e.</w:t>
      </w:r>
      <w:r>
        <w:rPr>
          <w:rFonts w:ascii="Arial" w:cs="Arial" w:eastAsia="Arial" w:hAnsi="Arial"/>
          <w:sz w:val="16"/>
          <w:szCs w:val="16"/>
          <w:color w:val="auto"/>
        </w:rPr>
        <w:t>, is "distinct"), or whether such promises should be combined as a single unit of account. When we have a combined unit of account which includes a license and providing research and development services to our collaborator, recognition of up-front payments and development milestones earned from our collaborator is deferred (as a liability) and recognized over the development period (</w:t>
      </w:r>
      <w:r>
        <w:rPr>
          <w:rFonts w:ascii="Arial" w:cs="Arial" w:eastAsia="Arial" w:hAnsi="Arial"/>
          <w:sz w:val="16"/>
          <w:szCs w:val="16"/>
          <w:i w:val="1"/>
          <w:iCs w:val="1"/>
          <w:color w:val="auto"/>
        </w:rPr>
        <w:t>i.e.</w:t>
      </w:r>
      <w:r>
        <w:rPr>
          <w:rFonts w:ascii="Arial" w:cs="Arial" w:eastAsia="Arial" w:hAnsi="Arial"/>
          <w:sz w:val="16"/>
          <w:szCs w:val="16"/>
          <w:color w:val="auto"/>
        </w:rPr>
        <w:t>, over time). In arrangements where we satisfy our obligation(s) during the development phase over time, we recognize amounts initially deferred over time typically using an input method on the basis of our research and development costs incurred relative to the total expected cost which determines the extent of our progress toward completion. We review our estimates each period and make revisions to such estimates as necessary. Due to the variability in the scope of activities and length of time necessary to develop a drug product, potential delays in development programs, changes to development plans and budgets as programs progress, including if we and our collaborators decide to expand or contract our clinical plans for a drug candidate in various disease indications, and uncertainty in the ultimate requirements to obtain governmental approval for commercialization, revisions to our estimates are likely to occur periodically and could result in material changes to amounts recognized each year in the future.</w:t>
      </w:r>
    </w:p>
    <w:p>
      <w:pPr>
        <w:spacing w:after="0" w:line="7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When we are entitled to reimbursement of all or a portion of the expenses (</w:t>
      </w:r>
      <w:r>
        <w:rPr>
          <w:rFonts w:ascii="Arial" w:cs="Arial" w:eastAsia="Arial" w:hAnsi="Arial"/>
          <w:sz w:val="18"/>
          <w:szCs w:val="18"/>
          <w:i w:val="1"/>
          <w:iCs w:val="1"/>
          <w:color w:val="auto"/>
        </w:rPr>
        <w:t>e.g.</w:t>
      </w:r>
      <w:r>
        <w:rPr>
          <w:rFonts w:ascii="Arial" w:cs="Arial" w:eastAsia="Arial" w:hAnsi="Arial"/>
          <w:sz w:val="18"/>
          <w:szCs w:val="18"/>
          <w:color w:val="auto"/>
        </w:rPr>
        <w:t>, research and development expenses) that we incur under a collaboration, we record those reimbursable amounts in the period in which such costs are incurred.</w:t>
      </w:r>
    </w:p>
    <w:p>
      <w:pPr>
        <w:spacing w:after="0" w:line="10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If both we and our collaborator perform development work or commercialization-related activities and share costs, we also recognize, as expense (</w:t>
      </w:r>
      <w:r>
        <w:rPr>
          <w:rFonts w:ascii="Arial" w:cs="Arial" w:eastAsia="Arial" w:hAnsi="Arial"/>
          <w:sz w:val="16"/>
          <w:szCs w:val="16"/>
          <w:i w:val="1"/>
          <w:iCs w:val="1"/>
          <w:color w:val="auto"/>
        </w:rPr>
        <w:t>i.e.</w:t>
      </w:r>
      <w:r>
        <w:rPr>
          <w:rFonts w:ascii="Arial" w:cs="Arial" w:eastAsia="Arial" w:hAnsi="Arial"/>
          <w:sz w:val="16"/>
          <w:szCs w:val="16"/>
          <w:color w:val="auto"/>
        </w:rPr>
        <w:t>, research and development expense or selling, general and administrative expense, as applicable) in the period when our collaborator incurs such expenses, the portion of the collaborator's expenses that we are obligated to reimburse. Our collaborators provide us with estimated expenses for the most recent fiscal quarter. Our collaborators' estimates are reconciled to their actual expenses for such quarter in the subsequent fiscal quarter, and our portion of our collaborators' expenses that we are obligated to reimburse is adjusted on a prospective basis accordingly, as necessary.</w:t>
      </w:r>
    </w:p>
    <w:p>
      <w:pPr>
        <w:spacing w:after="0" w:line="9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Under certain of the Company's collaboration agreements, product sales and cost of sales may be recorded by the Company's collaborators as they are deemed to be the principal in the transaction. In arrangements where we:</w:t>
      </w:r>
    </w:p>
    <w:p>
      <w:pPr>
        <w:spacing w:after="0" w:line="89" w:lineRule="exact"/>
        <w:rPr>
          <w:sz w:val="20"/>
          <w:szCs w:val="20"/>
          <w:color w:val="auto"/>
        </w:rPr>
      </w:pPr>
    </w:p>
    <w:p>
      <w:pPr>
        <w:jc w:val="both"/>
        <w:ind w:left="660" w:hanging="328"/>
        <w:spacing w:after="0" w:line="225"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are obligated to use commercially reasonable efforts to supply commercial product to our collaborator, we may be reimbursed for our manufacturing costs as commercial product is shipped to the collaborator; however, recognition of such cost reimbursements is deferred until the product is sold by our collaborator to third-party customers;</w:t>
      </w:r>
    </w:p>
    <w:p>
      <w:pPr>
        <w:jc w:val="both"/>
        <w:ind w:left="660" w:hanging="328"/>
        <w:spacing w:after="0" w:line="219"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share in any profits or losses arising from the commercialization of such products, we record our share of the variable consideration, representing net product sales less cost of goods sold and shared commercialization and other expenses, in the period in which such underlying sales occur and costs are incurred by the collaborator; and</w:t>
      </w: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receive royalties and/or sales-based milestone payments from our collaborator, we recognize such amounts in the period earned.</w:t>
      </w:r>
    </w:p>
    <w:p>
      <w:pPr>
        <w:spacing w:after="0" w:line="115"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Our collaborators provide us with estimates of product sales and our share of profits or losses, as applicable, for such quarter. These estimates are reconciled to actual results in the subsequent fiscal quarter, and collaboration revenue is adjusted accordingly, as necessary.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 stock-based compensation expense for equity grants under our long-term incentive plans to employees and non-employee members of our board of directors based on the grant-date fair value of those awards. The grant-date fair value of an award is generally recognized as compensation expense over the award's requisite service period.</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use the Black-Scholes model to compute the estimated fair value of stock option awards. Using this model, fair value is calculated based on assumptions with respect to (i) expected volatility of our Common Stock price, (ii) the periods of time over which employees and members of our board of directors are expected to hold their options prior to exercise (expected lives), (iii) expected dividend yield on our Common Stock, and (iv) risk-free interest rates, which are based on quoted U.S. Treasury rates for securities with maturities approximating the options' expected lives. Expected volatility has been estimated based on actual movements in our stock price over the most recent historical periods equivalent to the options' expected lives. Expected lives are principally based on our historical exercise experience with previously issued employee and board of directors option grants. The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7" w:name="page78"/>
    <w:bookmarkEnd w:id="7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expected dividend yield is zero as we have never paid dividends and do not currently anticipate paying any in the foreseeable future.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also includes an estimate, which is made at the time of grant, of the number of awards that are expected to be forfeited.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estimate is revised, if necessary, in subsequent periods if actual forfeitures differ from those estimates.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use a Monte Carlo simulation to compute the estimated fair value of performance-based restricted stock units, which are subject to vesting based on the Company's attainment of pre-established market performance goals.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assumptions used in computing the fair value of equity awards reflect our best estimates but involve uncertainties related to market and other conditions, many of which are outside of our control. Changes in any of these assumptions may materially affect the fair value of awards granted and the amount of stock-based compensation recognized in future periods.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recognize deferred tax assets and liabilities for the expected future tax consequences of events that have been included in the financial statements or tax returns, including deferred tax assets and liabilities for expected amounts of global intangible low-taxed income ("GILTI") inclusions. Deferred tax assets and liabilities are determined as the difference between the tax basis of assets and liabilities and their respective financial reporting amounts ("temporary differences") at enacted tax rates in effect for the years in which the differences are expected to reverse. A valuation allowance is established for deferred tax assets for which it is more likely than not that some portion or all of the deferred tax assets will not be realized. We periodically re-assess the need for a valuation allowance against our deferred tax assets based on all available evidence, including scheduled reversals of deferred tax liabilities, projected future taxable income, tax planning strategies, results of recent operations, and our historical earnings experience by taxing jurisdiction. Significant judgment is required in making this assessment.</w:t>
      </w:r>
    </w:p>
    <w:p>
      <w:pPr>
        <w:spacing w:after="0" w:line="1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Uncertain tax positions, for which management's assessment is that there is more than a 50% probability that the position will be sustained upon examination by a taxing authority based upon its technical merits, are subjected to certain recognition and measurement criteria. Significant judgment is required in making this assessment, and, therefore, we re-evaluate uncertain tax positions and consider various factors, including, but not limited to, changes in tax law, the measurement of tax positions taken or expected to be taken in tax returns, and changes in facts or circumstances related to a tax position. We adjust the level of the liability to reflect any subsequent changes in the relevant facts and circumstances surrounding the uncertain positions.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capitalize inventory costs associated with our products prior to regulatory approval when, based on management's judgment, future commercialization is considered probable and the future economic benefit is expected to be realized; otherwise, such costs are expensed. The determination to capitalize inventory costs is based on various factors, including status and expectations of the regulatory approval process, any known safety or efficacy concerns, potential labeling restrictions, and any other impediments to obtaining regulatory approval.</w:t>
      </w:r>
    </w:p>
    <w:p>
      <w:pPr>
        <w:spacing w:after="0" w:line="1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periodically analyze our inventory levels to identify inventory that may expire prior to expected sale or has a cost basis in excess of its estimated realizable value, and write-down such inventories as appropriate. In addition, our products are subject to strict quality control and monitoring which we perform throughout the manufacturing process. If certain batches or units of product no longer meet quality specifications or become obsolete due to expiration, we record a charge to write down such unmarketable inventory to its estimated realizable value.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accrue, based on management's judgment, for an estimated loss when the potential loss from claims or legal proceedings is considered probable and the amount can be reasonably estimated. As additional information becomes available, or, based on specific events such as the outcome of litigation or settlement of claims, we reassess the potential liability related to pending claims and litigation, and may change our estimates.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8" w:name="page79"/>
    <w:bookmarkEnd w:id="7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revisions have been made to the previously reported December 31, 2019 and 2018 amounts below in connection with changing the presentation of certain amounts earned from collaborators; see Note 1 to our Consolidated Financial Statements for further details.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75"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r>
      <w:tr>
        <w:trPr>
          <w:trHeight w:val="223"/>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i w:val="1"/>
                <w:iCs w:val="1"/>
                <w:color w:val="auto"/>
              </w:rPr>
              <w:t>(In millions, except per share data)</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2018</w:t>
            </w:r>
          </w:p>
        </w:tc>
      </w:tr>
      <w:tr>
        <w:trPr>
          <w:trHeight w:val="223"/>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5,145.6</w:t>
            </w:r>
          </w:p>
        </w:tc>
      </w:tr>
      <w:tr>
        <w:trPr>
          <w:trHeight w:val="229"/>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4,920.5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4,347.8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2,611.2</w:t>
            </w:r>
          </w:p>
        </w:tc>
      </w:tr>
      <w:tr>
        <w:trPr>
          <w:trHeight w:val="223"/>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2,534.4</w:t>
            </w:r>
          </w:p>
        </w:tc>
      </w:tr>
      <w:tr>
        <w:trPr>
          <w:trHeight w:val="229"/>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r>
      <w:tr>
        <w:trPr>
          <w:trHeight w:val="223"/>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2,553.5</w:t>
            </w:r>
          </w:p>
        </w:tc>
      </w:tr>
      <w:tr>
        <w:trPr>
          <w:trHeight w:val="229"/>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w:t>
            </w:r>
          </w:p>
        </w:tc>
      </w:tr>
      <w:tr>
        <w:trPr>
          <w:trHeight w:val="248"/>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2,444.4</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92"/>
        </w:trPr>
        <w:tc>
          <w:tcPr>
            <w:tcW w:w="1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9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140" w:type="dxa"/>
            <w:vAlign w:val="bottom"/>
          </w:tcPr>
          <w:p>
            <w:pPr>
              <w:spacing w:after="0"/>
              <w:rPr>
                <w:sz w:val="19"/>
                <w:szCs w:val="19"/>
                <w:color w:val="auto"/>
              </w:rPr>
            </w:pPr>
          </w:p>
        </w:tc>
        <w:tc>
          <w:tcPr>
            <w:tcW w:w="37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300" w:type="dxa"/>
            <w:vAlign w:val="bottom"/>
          </w:tcPr>
          <w:p>
            <w:pPr>
              <w:spacing w:after="0"/>
              <w:rPr>
                <w:sz w:val="19"/>
                <w:szCs w:val="19"/>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2020 vs. 2019</w:t>
            </w:r>
          </w:p>
        </w:tc>
        <w:tc>
          <w:tcPr>
            <w:tcW w:w="140" w:type="dxa"/>
            <w:vAlign w:val="bottom"/>
          </w:tcPr>
          <w:p>
            <w:pPr>
              <w:spacing w:after="0"/>
              <w:rPr>
                <w:sz w:val="19"/>
                <w:szCs w:val="19"/>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2019 vs. 2018</w:t>
            </w:r>
          </w:p>
        </w:tc>
      </w:tr>
      <w:tr>
        <w:trPr>
          <w:trHeight w:val="209"/>
        </w:trPr>
        <w:tc>
          <w:tcPr>
            <w:tcW w:w="14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product sales in the United States:</w:t>
            </w: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30"/>
        </w:trPr>
        <w:tc>
          <w:tcPr>
            <w:tcW w:w="140" w:type="dxa"/>
            <w:vAlign w:val="bottom"/>
          </w:tcPr>
          <w:p>
            <w:pPr>
              <w:spacing w:after="0"/>
              <w:rPr>
                <w:sz w:val="19"/>
                <w:szCs w:val="19"/>
                <w:color w:val="auto"/>
              </w:rPr>
            </w:pPr>
          </w:p>
        </w:tc>
        <w:tc>
          <w:tcPr>
            <w:tcW w:w="3760" w:type="dxa"/>
            <w:vAlign w:val="bottom"/>
          </w:tcPr>
          <w:p>
            <w:pPr>
              <w:ind w:left="220"/>
              <w:spacing w:after="0"/>
              <w:rPr>
                <w:sz w:val="20"/>
                <w:szCs w:val="20"/>
                <w:color w:val="auto"/>
              </w:rPr>
            </w:pPr>
            <w:r>
              <w:rPr>
                <w:rFonts w:ascii="Arial" w:cs="Arial" w:eastAsia="Arial" w:hAnsi="Arial"/>
                <w:sz w:val="18"/>
                <w:szCs w:val="18"/>
                <w:color w:val="auto"/>
              </w:rPr>
              <w:t>EYLEA</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4,947.2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4,644.2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4,076.7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303.0</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567.5</w:t>
            </w:r>
          </w:p>
        </w:tc>
      </w:tr>
      <w:tr>
        <w:trPr>
          <w:trHeight w:val="229"/>
        </w:trPr>
        <w:tc>
          <w:tcPr>
            <w:tcW w:w="140" w:type="dxa"/>
            <w:vAlign w:val="bottom"/>
          </w:tcPr>
          <w:p>
            <w:pPr>
              <w:spacing w:after="0"/>
              <w:rPr>
                <w:sz w:val="19"/>
                <w:szCs w:val="19"/>
                <w:color w:val="auto"/>
              </w:rPr>
            </w:pPr>
          </w:p>
        </w:tc>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Libtayo</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r>
      <w:tr>
        <w:trPr>
          <w:trHeight w:val="230"/>
        </w:trPr>
        <w:tc>
          <w:tcPr>
            <w:tcW w:w="140" w:type="dxa"/>
            <w:vAlign w:val="bottom"/>
          </w:tcPr>
          <w:p>
            <w:pPr>
              <w:spacing w:after="0"/>
              <w:rPr>
                <w:sz w:val="19"/>
                <w:szCs w:val="19"/>
                <w:color w:val="auto"/>
              </w:rPr>
            </w:pPr>
          </w:p>
        </w:tc>
        <w:tc>
          <w:tcPr>
            <w:tcW w:w="3760" w:type="dxa"/>
            <w:vAlign w:val="bottom"/>
          </w:tcPr>
          <w:p>
            <w:pPr>
              <w:ind w:left="220"/>
              <w:spacing w:after="0"/>
              <w:rPr>
                <w:sz w:val="20"/>
                <w:szCs w:val="20"/>
                <w:color w:val="auto"/>
              </w:rPr>
            </w:pPr>
            <w:r>
              <w:rPr>
                <w:rFonts w:ascii="Arial" w:cs="Arial" w:eastAsia="Arial" w:hAnsi="Arial"/>
                <w:sz w:val="18"/>
                <w:szCs w:val="18"/>
                <w:color w:val="auto"/>
              </w:rPr>
              <w:t>Praluent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140" w:type="dxa"/>
            <w:vAlign w:val="bottom"/>
          </w:tcPr>
          <w:p>
            <w:pPr>
              <w:spacing w:after="0"/>
              <w:rPr>
                <w:sz w:val="19"/>
                <w:szCs w:val="19"/>
                <w:color w:val="auto"/>
              </w:rPr>
            </w:pPr>
          </w:p>
        </w:tc>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REGEN-COV</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185.7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140" w:type="dxa"/>
            <w:vAlign w:val="bottom"/>
          </w:tcPr>
          <w:p>
            <w:pPr>
              <w:spacing w:after="0"/>
              <w:rPr>
                <w:sz w:val="19"/>
                <w:szCs w:val="19"/>
                <w:color w:val="auto"/>
              </w:rPr>
            </w:pPr>
          </w:p>
        </w:tc>
        <w:tc>
          <w:tcPr>
            <w:tcW w:w="3760" w:type="dxa"/>
            <w:vAlign w:val="bottom"/>
          </w:tcPr>
          <w:p>
            <w:pPr>
              <w:ind w:left="220"/>
              <w:spacing w:after="0"/>
              <w:rPr>
                <w:sz w:val="20"/>
                <w:szCs w:val="20"/>
                <w:color w:val="auto"/>
              </w:rPr>
            </w:pPr>
            <w:r>
              <w:rPr>
                <w:rFonts w:ascii="Arial" w:cs="Arial" w:eastAsia="Arial" w:hAnsi="Arial"/>
                <w:sz w:val="18"/>
                <w:szCs w:val="18"/>
                <w:color w:val="auto"/>
              </w:rPr>
              <w:t>ARCALYST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140" w:type="dxa"/>
            <w:vAlign w:val="bottom"/>
          </w:tcPr>
          <w:p>
            <w:pPr>
              <w:spacing w:after="0"/>
              <w:rPr>
                <w:sz w:val="19"/>
                <w:szCs w:val="19"/>
                <w:color w:val="auto"/>
              </w:rPr>
            </w:pPr>
          </w:p>
        </w:tc>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Sanofi and Bayer collaboration revenue: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140" w:type="dxa"/>
            <w:vAlign w:val="bottom"/>
          </w:tcPr>
          <w:p>
            <w:pPr>
              <w:spacing w:after="0"/>
              <w:rPr>
                <w:sz w:val="19"/>
                <w:szCs w:val="19"/>
                <w:color w:val="auto"/>
              </w:rPr>
            </w:pPr>
          </w:p>
        </w:tc>
        <w:tc>
          <w:tcPr>
            <w:tcW w:w="3760" w:type="dxa"/>
            <w:vAlign w:val="bottom"/>
          </w:tcPr>
          <w:p>
            <w:pPr>
              <w:ind w:left="220"/>
              <w:spacing w:after="0"/>
              <w:rPr>
                <w:sz w:val="20"/>
                <w:szCs w:val="20"/>
                <w:color w:val="auto"/>
              </w:rPr>
            </w:pPr>
            <w:r>
              <w:rPr>
                <w:rFonts w:ascii="Arial" w:cs="Arial" w:eastAsia="Arial" w:hAnsi="Arial"/>
                <w:sz w:val="18"/>
                <w:szCs w:val="18"/>
                <w:color w:val="auto"/>
              </w:rPr>
              <w:t>Sanofi</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782.8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529.3</w:t>
            </w:r>
          </w:p>
        </w:tc>
      </w:tr>
      <w:tr>
        <w:trPr>
          <w:trHeight w:val="230"/>
        </w:trPr>
        <w:tc>
          <w:tcPr>
            <w:tcW w:w="140" w:type="dxa"/>
            <w:vAlign w:val="bottom"/>
          </w:tcPr>
          <w:p>
            <w:pPr>
              <w:spacing w:after="0"/>
              <w:rPr>
                <w:sz w:val="19"/>
                <w:szCs w:val="19"/>
                <w:color w:val="auto"/>
              </w:rPr>
            </w:pPr>
          </w:p>
        </w:tc>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Bayer</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r>
      <w:tr>
        <w:trPr>
          <w:trHeight w:val="230"/>
        </w:trPr>
        <w:tc>
          <w:tcPr>
            <w:tcW w:w="140" w:type="dxa"/>
            <w:vAlign w:val="bottom"/>
          </w:tcPr>
          <w:p>
            <w:pPr>
              <w:spacing w:after="0"/>
              <w:rPr>
                <w:sz w:val="19"/>
                <w:szCs w:val="19"/>
                <w:color w:val="auto"/>
              </w:rPr>
            </w:pPr>
          </w:p>
        </w:tc>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383.0</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r>
      <w:tr>
        <w:trPr>
          <w:trHeight w:val="248"/>
        </w:trPr>
        <w:tc>
          <w:tcPr>
            <w:tcW w:w="140" w:type="dxa"/>
            <w:vAlign w:val="bottom"/>
          </w:tcPr>
          <w:p>
            <w:pPr>
              <w:spacing w:after="0"/>
              <w:rPr>
                <w:sz w:val="21"/>
                <w:szCs w:val="21"/>
                <w:color w:val="auto"/>
              </w:rPr>
            </w:pPr>
          </w:p>
        </w:tc>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1,939.5</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1,412.0</w:t>
            </w:r>
          </w:p>
        </w:tc>
      </w:tr>
      <w:tr>
        <w:trPr>
          <w:trHeight w:val="20"/>
        </w:trPr>
        <w:tc>
          <w:tcPr>
            <w:tcW w:w="140" w:type="dxa"/>
            <w:vAlign w:val="bottom"/>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ind w:left="460" w:hanging="97"/>
        <w:spacing w:after="0"/>
        <w:tabs>
          <w:tab w:leader="none" w:pos="460" w:val="left"/>
        </w:tabs>
        <w:numPr>
          <w:ilvl w:val="0"/>
          <w:numId w:val="39"/>
        </w:numPr>
        <w:rPr>
          <w:rFonts w:ascii="Arial" w:cs="Arial" w:eastAsia="Arial" w:hAnsi="Arial"/>
          <w:sz w:val="21"/>
          <w:szCs w:val="21"/>
          <w:color w:val="auto"/>
          <w:vertAlign w:val="superscript"/>
        </w:rPr>
      </w:pPr>
      <w:r>
        <w:rPr>
          <w:rFonts w:ascii="Arial" w:cs="Arial" w:eastAsia="Arial" w:hAnsi="Arial"/>
          <w:sz w:val="16"/>
          <w:szCs w:val="16"/>
          <w:color w:val="auto"/>
        </w:rPr>
        <w:t>Net product sales of Praluent in the United States were recorded by Sanofi prior to April 1, 2020</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Net product sales of EYLEA in the United States increased in 2020, compared to 2019, due to higher sales volume partly offset by an increase in sales-related deductions primarily due to higher rebates and discounts. Net product sales of EYLEA in the United States were lower in the second quarter of 2020, compared to the second quarter of 2019, due to lower sales volume attributable to the impact of the COVID-19 pandemic. While we observed an increase in U.S. EYLEA demand during the remainder of 2020 relative to the second quarter of 2020, we are unable to predict whether there will be additional adverse impacts on net product sales from shelter-in-place, social distancing, and other similar measures due to the COVID-19 pandemic (refer to Part I, Item 1A. "Risk Factors - </w:t>
      </w:r>
      <w:r>
        <w:rPr>
          <w:rFonts w:ascii="Arial" w:cs="Arial" w:eastAsia="Arial" w:hAnsi="Arial"/>
          <w:sz w:val="17"/>
          <w:szCs w:val="17"/>
          <w:i w:val="1"/>
          <w:iCs w:val="1"/>
          <w:color w:val="auto"/>
        </w:rPr>
        <w:t>Our business may be further adversely affected by the effects of the COVID-19 pandemic</w:t>
      </w:r>
      <w:r>
        <w:rPr>
          <w:rFonts w:ascii="Arial" w:cs="Arial" w:eastAsia="Arial" w:hAnsi="Arial"/>
          <w:sz w:val="17"/>
          <w:szCs w:val="17"/>
          <w:color w:val="auto"/>
        </w:rPr>
        <w:t xml:space="preserve">). Refer also to Part I, Item 1A. "Risk Factors - </w:t>
      </w:r>
      <w:r>
        <w:rPr>
          <w:rFonts w:ascii="Arial" w:cs="Arial" w:eastAsia="Arial" w:hAnsi="Arial"/>
          <w:sz w:val="17"/>
          <w:szCs w:val="17"/>
          <w:i w:val="1"/>
          <w:iCs w:val="1"/>
          <w:color w:val="auto"/>
        </w:rPr>
        <w:t>Sales of our marketed products are dependent on the availability and extent of reimbursement from third-party payors, and changes to such</w:t>
      </w:r>
      <w:r>
        <w:rPr>
          <w:rFonts w:ascii="Arial" w:cs="Arial" w:eastAsia="Arial" w:hAnsi="Arial"/>
          <w:sz w:val="17"/>
          <w:szCs w:val="17"/>
          <w:color w:val="auto"/>
        </w:rPr>
        <w:t xml:space="preserve"> </w:t>
      </w:r>
      <w:r>
        <w:rPr>
          <w:rFonts w:ascii="Arial" w:cs="Arial" w:eastAsia="Arial" w:hAnsi="Arial"/>
          <w:sz w:val="17"/>
          <w:szCs w:val="17"/>
          <w:i w:val="1"/>
          <w:iCs w:val="1"/>
          <w:color w:val="auto"/>
        </w:rPr>
        <w:t>reimbursement may materially harm our business, prospects, operating results, and financial condition</w:t>
      </w:r>
      <w:r>
        <w:rPr>
          <w:rFonts w:ascii="Arial" w:cs="Arial" w:eastAsia="Arial" w:hAnsi="Arial"/>
          <w:sz w:val="17"/>
          <w:szCs w:val="17"/>
          <w:color w:val="auto"/>
        </w:rPr>
        <w:t>" for information and potential future risks</w:t>
      </w:r>
      <w:r>
        <w:rPr>
          <w:rFonts w:ascii="Arial" w:cs="Arial" w:eastAsia="Arial" w:hAnsi="Arial"/>
          <w:sz w:val="17"/>
          <w:szCs w:val="17"/>
          <w:i w:val="1"/>
          <w:iCs w:val="1"/>
          <w:color w:val="auto"/>
        </w:rPr>
        <w:t xml:space="preserve"> </w:t>
      </w:r>
      <w:r>
        <w:rPr>
          <w:rFonts w:ascii="Arial" w:cs="Arial" w:eastAsia="Arial" w:hAnsi="Arial"/>
          <w:sz w:val="17"/>
          <w:szCs w:val="17"/>
          <w:color w:val="auto"/>
        </w:rPr>
        <w:t>concerning the MFN Interim Final Rule issued by the HHS on Medicare reimbursements for EYLEA.</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9" w:name="page80"/>
    <w:bookmarkEnd w:id="7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Effective April 1, 2020, the Company is solely responsible for the development and commercialization of Praluent in the United States and records net product sales of Praluent in the United States. Refer to Part I, Item. 1. "Collaboration, License, and Other Agreements - </w:t>
      </w:r>
      <w:r>
        <w:rPr>
          <w:rFonts w:ascii="Arial" w:cs="Arial" w:eastAsia="Arial" w:hAnsi="Arial"/>
          <w:sz w:val="18"/>
          <w:szCs w:val="18"/>
          <w:i w:val="1"/>
          <w:iCs w:val="1"/>
          <w:color w:val="auto"/>
        </w:rPr>
        <w:t>Sanofi</w:t>
      </w:r>
      <w:r>
        <w:rPr>
          <w:rFonts w:ascii="Arial" w:cs="Arial" w:eastAsia="Arial" w:hAnsi="Arial"/>
          <w:sz w:val="18"/>
          <w:szCs w:val="18"/>
          <w:color w:val="auto"/>
        </w:rPr>
        <w:t xml:space="preserve"> - </w:t>
      </w:r>
      <w:r>
        <w:rPr>
          <w:rFonts w:ascii="Arial" w:cs="Arial" w:eastAsia="Arial" w:hAnsi="Arial"/>
          <w:sz w:val="18"/>
          <w:szCs w:val="18"/>
          <w:i w:val="1"/>
          <w:iCs w:val="1"/>
          <w:color w:val="auto"/>
        </w:rPr>
        <w:t>Antibody</w:t>
      </w:r>
      <w:r>
        <w:rPr>
          <w:rFonts w:ascii="Arial" w:cs="Arial" w:eastAsia="Arial" w:hAnsi="Arial"/>
          <w:sz w:val="18"/>
          <w:szCs w:val="18"/>
          <w:color w:val="auto"/>
        </w:rPr>
        <w:t>" for further details.</w:t>
      </w:r>
    </w:p>
    <w:p>
      <w:pPr>
        <w:spacing w:after="0" w:line="10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During the third and fourth quarters of 2020, net product sales of REGEN-COV were recorded in connection with our July 2020 agreement with the U.S. government. In January 2021, the Company announced an agreement to manufacture and deliver additional filled and finished drug product of REGEN-COV to the U.S. government. Refer to Part I, Item 1. "Agreements Related to COVID-19 - </w:t>
      </w:r>
      <w:r>
        <w:rPr>
          <w:rFonts w:ascii="Arial" w:cs="Arial" w:eastAsia="Arial" w:hAnsi="Arial"/>
          <w:sz w:val="16"/>
          <w:szCs w:val="16"/>
          <w:i w:val="1"/>
          <w:iCs w:val="1"/>
          <w:color w:val="auto"/>
        </w:rPr>
        <w:t>U.S. Government</w:t>
      </w:r>
      <w:r>
        <w:rPr>
          <w:rFonts w:ascii="Arial" w:cs="Arial" w:eastAsia="Arial" w:hAnsi="Arial"/>
          <w:sz w:val="16"/>
          <w:szCs w:val="16"/>
          <w:color w:val="auto"/>
        </w:rPr>
        <w:t>" section above for further details.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from product sales is recorded net of applicable provisions for rebates, chargebacks, and discounts; distribution-related fees; and other sales-related deductions. The following table summarizes the provisions, and credits/payments, for sales-related deductions.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Rebates,</w:t>
            </w:r>
          </w:p>
        </w:tc>
        <w:tc>
          <w:tcPr>
            <w:tcW w:w="180" w:type="dxa"/>
            <w:vAlign w:val="bottom"/>
          </w:tcPr>
          <w:p>
            <w:pPr>
              <w:spacing w:after="0"/>
              <w:rPr>
                <w:sz w:val="17"/>
                <w:szCs w:val="17"/>
                <w:color w:val="auto"/>
              </w:rPr>
            </w:pPr>
          </w:p>
        </w:tc>
        <w:tc>
          <w:tcPr>
            <w:tcW w:w="1300" w:type="dxa"/>
            <w:vAlign w:val="bottom"/>
            <w:gridSpan w:val="2"/>
            <w:vMerge w:val="restart"/>
          </w:tcPr>
          <w:p>
            <w:pPr>
              <w:jc w:val="right"/>
              <w:ind w:right="150"/>
              <w:spacing w:after="0"/>
              <w:rPr>
                <w:sz w:val="20"/>
                <w:szCs w:val="20"/>
                <w:color w:val="auto"/>
              </w:rPr>
            </w:pPr>
            <w:r>
              <w:rPr>
                <w:rFonts w:ascii="Arial" w:cs="Arial" w:eastAsia="Arial" w:hAnsi="Arial"/>
                <w:sz w:val="18"/>
                <w:szCs w:val="18"/>
                <w:b w:val="1"/>
                <w:bCs w:val="1"/>
                <w:color w:val="auto"/>
                <w:w w:val="97"/>
              </w:rPr>
              <w:t>Distribution-</w:t>
            </w:r>
          </w:p>
        </w:tc>
        <w:tc>
          <w:tcPr>
            <w:tcW w:w="120" w:type="dxa"/>
            <w:vAlign w:val="bottom"/>
          </w:tcPr>
          <w:p>
            <w:pPr>
              <w:spacing w:after="0"/>
              <w:rPr>
                <w:sz w:val="17"/>
                <w:szCs w:val="17"/>
                <w:color w:val="auto"/>
              </w:rPr>
            </w:pPr>
          </w:p>
        </w:tc>
        <w:tc>
          <w:tcPr>
            <w:tcW w:w="14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Other Sales-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2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1580" w:type="dxa"/>
            <w:vAlign w:val="bottom"/>
            <w:gridSpan w:val="3"/>
          </w:tcPr>
          <w:p>
            <w:pPr>
              <w:jc w:val="center"/>
              <w:ind w:right="120"/>
              <w:spacing w:after="0" w:line="176" w:lineRule="exact"/>
              <w:rPr>
                <w:sz w:val="20"/>
                <w:szCs w:val="20"/>
                <w:color w:val="auto"/>
              </w:rPr>
            </w:pPr>
            <w:r>
              <w:rPr>
                <w:rFonts w:ascii="Arial" w:cs="Arial" w:eastAsia="Arial" w:hAnsi="Arial"/>
                <w:sz w:val="18"/>
                <w:szCs w:val="18"/>
                <w:b w:val="1"/>
                <w:bCs w:val="1"/>
                <w:color w:val="auto"/>
                <w:w w:val="88"/>
              </w:rPr>
              <w:t>Chargebacks, and</w:t>
            </w:r>
          </w:p>
        </w:tc>
        <w:tc>
          <w:tcPr>
            <w:tcW w:w="18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4"/>
          </w:tcPr>
          <w:p>
            <w:pPr>
              <w:jc w:val="center"/>
              <w:spacing w:after="0" w:line="176" w:lineRule="exact"/>
              <w:rPr>
                <w:sz w:val="20"/>
                <w:szCs w:val="20"/>
                <w:color w:val="auto"/>
              </w:rPr>
            </w:pPr>
            <w:r>
              <w:rPr>
                <w:rFonts w:ascii="Arial" w:cs="Arial" w:eastAsia="Arial" w:hAnsi="Arial"/>
                <w:sz w:val="18"/>
                <w:szCs w:val="18"/>
                <w:b w:val="1"/>
                <w:bCs w:val="1"/>
                <w:color w:val="auto"/>
                <w:w w:val="89"/>
              </w:rPr>
              <w:t>Related</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3"/>
            <w:vMerge w:val="restart"/>
          </w:tcPr>
          <w:p>
            <w:pPr>
              <w:jc w:val="right"/>
              <w:ind w:right="7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Discounts</w:t>
            </w:r>
          </w:p>
        </w:tc>
        <w:tc>
          <w:tcPr>
            <w:tcW w:w="180" w:type="dxa"/>
            <w:vAlign w:val="bottom"/>
          </w:tcPr>
          <w:p>
            <w:pPr>
              <w:spacing w:after="0"/>
              <w:rPr>
                <w:sz w:val="19"/>
                <w:szCs w:val="19"/>
                <w:color w:val="auto"/>
              </w:rPr>
            </w:pPr>
          </w:p>
        </w:tc>
        <w:tc>
          <w:tcPr>
            <w:tcW w:w="130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3"/>
              </w:rPr>
              <w:t>Related Fees</w:t>
            </w:r>
          </w:p>
        </w:tc>
        <w:tc>
          <w:tcPr>
            <w:tcW w:w="120" w:type="dxa"/>
            <w:vAlign w:val="bottom"/>
          </w:tcPr>
          <w:p>
            <w:pPr>
              <w:spacing w:after="0"/>
              <w:rPr>
                <w:sz w:val="19"/>
                <w:szCs w:val="19"/>
                <w:color w:val="auto"/>
              </w:rPr>
            </w:pPr>
          </w:p>
        </w:tc>
        <w:tc>
          <w:tcPr>
            <w:tcW w:w="14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Deductions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2017</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tcPr>
          <w:p>
            <w:pPr>
              <w:ind w:left="220"/>
              <w:spacing w:after="0"/>
              <w:rPr>
                <w:sz w:val="20"/>
                <w:szCs w:val="20"/>
                <w:color w:val="auto"/>
              </w:rPr>
            </w:pPr>
            <w:r>
              <w:rPr>
                <w:rFonts w:ascii="Arial" w:cs="Arial" w:eastAsia="Arial" w:hAnsi="Arial"/>
                <w:sz w:val="18"/>
                <w:szCs w:val="18"/>
                <w:color w:val="auto"/>
              </w:rPr>
              <w:t>Provisions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211.0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478.9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Credits/payments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4"/>
              </w:rPr>
              <w:t>(472.8)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tcPr>
          <w:p>
            <w:pPr>
              <w:ind w:left="20"/>
              <w:spacing w:after="0"/>
              <w:rPr>
                <w:sz w:val="20"/>
                <w:szCs w:val="20"/>
                <w:color w:val="auto"/>
              </w:rPr>
            </w:pPr>
            <w:r>
              <w:rPr>
                <w:rFonts w:ascii="Arial" w:cs="Arial" w:eastAsia="Arial" w:hAnsi="Arial"/>
                <w:sz w:val="18"/>
                <w:szCs w:val="18"/>
                <w:color w:val="auto"/>
              </w:rPr>
              <w:t>Balance as of December 31, 2018</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242.9</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Credits/payments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(238.5)</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4"/>
              </w:rPr>
              <w:t>(663.2)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tcPr>
          <w:p>
            <w:pPr>
              <w:ind w:left="220"/>
              <w:spacing w:after="0"/>
              <w:rPr>
                <w:sz w:val="20"/>
                <w:szCs w:val="20"/>
                <w:color w:val="auto"/>
              </w:rPr>
            </w:pPr>
            <w:r>
              <w:rPr>
                <w:rFonts w:ascii="Arial" w:cs="Arial" w:eastAsia="Arial" w:hAnsi="Arial"/>
                <w:sz w:val="18"/>
                <w:szCs w:val="18"/>
                <w:color w:val="auto"/>
              </w:rPr>
              <w:t>Provisions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279.9</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94.1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6"/>
              </w:rPr>
              <w:t>1,136.9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Credits/payments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4"/>
              </w:rPr>
              <w:t>(968.8)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tcPr>
          <w:p>
            <w:pPr>
              <w:ind w:left="20"/>
              <w:spacing w:after="0"/>
              <w:rPr>
                <w:sz w:val="20"/>
                <w:szCs w:val="20"/>
                <w:color w:val="auto"/>
              </w:rPr>
            </w:pPr>
            <w:r>
              <w:rPr>
                <w:rFonts w:ascii="Arial" w:cs="Arial" w:eastAsia="Arial" w:hAnsi="Arial"/>
                <w:sz w:val="18"/>
                <w:szCs w:val="18"/>
                <w:color w:val="auto"/>
              </w:rPr>
              <w:t>Balance as of December 31, 2020</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77.2</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12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Sanofi Collaboration Revenue</w:t>
            </w: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412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9"/>
          </w:tcPr>
          <w:p>
            <w:pPr>
              <w:jc w:val="center"/>
              <w:ind w:left="190"/>
              <w:spacing w:after="0"/>
              <w:rPr>
                <w:sz w:val="20"/>
                <w:szCs w:val="20"/>
                <w:color w:val="auto"/>
              </w:rPr>
            </w:pPr>
            <w:r>
              <w:rPr>
                <w:rFonts w:ascii="Arial" w:cs="Arial" w:eastAsia="Arial" w:hAnsi="Arial"/>
                <w:sz w:val="18"/>
                <w:szCs w:val="18"/>
                <w:b w:val="1"/>
                <w:bCs w:val="1"/>
                <w:color w:val="auto"/>
                <w:w w:val="90"/>
              </w:rPr>
              <w:t>Year Ended December 31,</w:t>
            </w: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Antibody:</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60" w:type="dxa"/>
            <w:vAlign w:val="bottom"/>
          </w:tcPr>
          <w:p>
            <w:pPr>
              <w:spacing w:after="0"/>
              <w:rPr>
                <w:sz w:val="15"/>
                <w:szCs w:val="15"/>
                <w:color w:val="auto"/>
              </w:rPr>
            </w:pPr>
          </w:p>
        </w:tc>
        <w:tc>
          <w:tcPr>
            <w:tcW w:w="6420" w:type="dxa"/>
            <w:vAlign w:val="bottom"/>
            <w:gridSpan w:val="8"/>
          </w:tcPr>
          <w:p>
            <w:pPr>
              <w:ind w:left="220"/>
              <w:spacing w:after="0" w:line="176" w:lineRule="exact"/>
              <w:rPr>
                <w:sz w:val="20"/>
                <w:szCs w:val="20"/>
                <w:color w:val="auto"/>
              </w:rPr>
            </w:pPr>
            <w:r>
              <w:rPr>
                <w:rFonts w:ascii="Arial" w:cs="Arial" w:eastAsia="Arial" w:hAnsi="Arial"/>
                <w:sz w:val="18"/>
                <w:szCs w:val="18"/>
                <w:color w:val="auto"/>
              </w:rPr>
              <w:t>Regeneron's share of profits (losses) in connection with commercialization of</w:t>
            </w:r>
          </w:p>
        </w:tc>
        <w:tc>
          <w:tcPr>
            <w:tcW w:w="720" w:type="dxa"/>
            <w:vAlign w:val="bottom"/>
            <w:gridSpan w:val="2"/>
            <w:vMerge w:val="restart"/>
          </w:tcPr>
          <w:p>
            <w:pPr>
              <w:jc w:val="right"/>
              <w:spacing w:after="0"/>
              <w:rPr>
                <w:sz w:val="20"/>
                <w:szCs w:val="20"/>
                <w:color w:val="auto"/>
              </w:rPr>
            </w:pPr>
            <w:r>
              <w:rPr>
                <w:rFonts w:ascii="Arial" w:cs="Arial" w:eastAsia="Arial" w:hAnsi="Arial"/>
                <w:sz w:val="18"/>
                <w:szCs w:val="18"/>
                <w:color w:val="auto"/>
              </w:rPr>
              <w:t>785.2</w:t>
            </w:r>
          </w:p>
        </w:tc>
        <w:tc>
          <w:tcPr>
            <w:tcW w:w="10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tcPr>
          <w:p>
            <w:pPr>
              <w:spacing w:after="0"/>
              <w:rPr>
                <w:sz w:val="15"/>
                <w:szCs w:val="15"/>
                <w:color w:val="auto"/>
              </w:rPr>
            </w:pPr>
          </w:p>
        </w:tc>
        <w:tc>
          <w:tcPr>
            <w:tcW w:w="480" w:type="dxa"/>
            <w:vAlign w:val="bottom"/>
            <w:gridSpan w:val="3"/>
            <w:vMerge w:val="restart"/>
          </w:tcPr>
          <w:p>
            <w:pPr>
              <w:jc w:val="right"/>
              <w:spacing w:after="0"/>
              <w:rPr>
                <w:sz w:val="20"/>
                <w:szCs w:val="20"/>
                <w:color w:val="auto"/>
              </w:rPr>
            </w:pPr>
            <w:r>
              <w:rPr>
                <w:rFonts w:ascii="Arial" w:cs="Arial" w:eastAsia="Arial" w:hAnsi="Arial"/>
                <w:sz w:val="18"/>
                <w:szCs w:val="18"/>
                <w:color w:val="auto"/>
                <w:w w:val="88"/>
              </w:rPr>
              <w:t>209.3</w:t>
            </w:r>
          </w:p>
        </w:tc>
        <w:tc>
          <w:tcPr>
            <w:tcW w:w="120" w:type="dxa"/>
            <w:vAlign w:val="bottom"/>
          </w:tcPr>
          <w:p>
            <w:pPr>
              <w:spacing w:after="0"/>
              <w:rPr>
                <w:sz w:val="15"/>
                <w:szCs w:val="15"/>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tcPr>
          <w:p>
            <w:pPr>
              <w:ind w:left="140"/>
              <w:spacing w:after="0"/>
              <w:rPr>
                <w:sz w:val="20"/>
                <w:szCs w:val="20"/>
                <w:color w:val="auto"/>
              </w:rPr>
            </w:pPr>
            <w:r>
              <w:rPr>
                <w:rFonts w:ascii="Arial" w:cs="Arial" w:eastAsia="Arial" w:hAnsi="Arial"/>
                <w:sz w:val="18"/>
                <w:szCs w:val="18"/>
                <w:color w:val="auto"/>
              </w:rPr>
              <w:t>antibodies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7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3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Sales-based milestone earned</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4940" w:type="dxa"/>
            <w:vAlign w:val="bottom"/>
            <w:tcBorders>
              <w:bottom w:val="single" w:sz="8" w:color="CCEEFF"/>
            </w:tcBorders>
            <w:gridSpan w:val="5"/>
          </w:tcPr>
          <w:p>
            <w:pPr>
              <w:ind w:left="220"/>
              <w:spacing w:after="0" w:line="230" w:lineRule="exact"/>
              <w:rPr>
                <w:sz w:val="20"/>
                <w:szCs w:val="20"/>
                <w:color w:val="auto"/>
              </w:rPr>
            </w:pPr>
            <w:r>
              <w:rPr>
                <w:rFonts w:ascii="Arial" w:cs="Arial" w:eastAsia="Arial" w:hAnsi="Arial"/>
                <w:sz w:val="18"/>
                <w:szCs w:val="18"/>
                <w:color w:val="auto"/>
                <w:w w:val="98"/>
              </w:rPr>
              <w:t>Reimbursement for manufacturing of commercial supplies</w:t>
            </w:r>
            <w:r>
              <w:rPr>
                <w:rFonts w:ascii="Arial" w:cs="Arial" w:eastAsia="Arial" w:hAnsi="Arial"/>
                <w:sz w:val="23"/>
                <w:szCs w:val="23"/>
                <w:color w:val="auto"/>
                <w:w w:val="98"/>
                <w:vertAlign w:val="superscript"/>
              </w:rPr>
              <w:t>(1)</w:t>
            </w:r>
          </w:p>
        </w:tc>
        <w:tc>
          <w:tcPr>
            <w:tcW w:w="1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368.0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8"/>
              </w:rPr>
              <w:t>216.0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Antibody</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1,203.2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425.3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8"/>
                <w:szCs w:val="18"/>
                <w:color w:val="auto"/>
              </w:rPr>
              <w:t>Immuno-oncology:</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60" w:type="dxa"/>
            <w:vAlign w:val="bottom"/>
          </w:tcPr>
          <w:p>
            <w:pPr>
              <w:spacing w:after="0"/>
              <w:rPr>
                <w:sz w:val="15"/>
                <w:szCs w:val="15"/>
                <w:color w:val="auto"/>
              </w:rPr>
            </w:pPr>
          </w:p>
        </w:tc>
        <w:tc>
          <w:tcPr>
            <w:tcW w:w="6420" w:type="dxa"/>
            <w:vAlign w:val="bottom"/>
            <w:gridSpan w:val="8"/>
            <w:shd w:val="clear" w:color="auto" w:fill="CCEEFF"/>
          </w:tcPr>
          <w:p>
            <w:pPr>
              <w:ind w:left="220"/>
              <w:spacing w:after="0" w:line="176" w:lineRule="exact"/>
              <w:rPr>
                <w:sz w:val="20"/>
                <w:szCs w:val="20"/>
                <w:color w:val="auto"/>
              </w:rPr>
            </w:pPr>
            <w:r>
              <w:rPr>
                <w:rFonts w:ascii="Arial" w:cs="Arial" w:eastAsia="Arial" w:hAnsi="Arial"/>
                <w:sz w:val="18"/>
                <w:szCs w:val="18"/>
                <w:color w:val="auto"/>
              </w:rPr>
              <w:t>Regeneron's share of losses in connection with commercialization of Libtayo</w:t>
            </w:r>
          </w:p>
        </w:tc>
        <w:tc>
          <w:tcPr>
            <w:tcW w:w="7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80" w:type="dxa"/>
            <w:vAlign w:val="bottom"/>
            <w:gridSpan w:val="3"/>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(21.7)</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outside the United States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80" w:type="dxa"/>
            <w:vAlign w:val="bottom"/>
            <w:gridSpan w:val="3"/>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4940" w:type="dxa"/>
            <w:vAlign w:val="bottom"/>
            <w:gridSpan w:val="5"/>
          </w:tcPr>
          <w:p>
            <w:pPr>
              <w:ind w:left="220"/>
              <w:spacing w:after="0" w:line="230" w:lineRule="exact"/>
              <w:rPr>
                <w:sz w:val="20"/>
                <w:szCs w:val="20"/>
                <w:color w:val="auto"/>
              </w:rPr>
            </w:pPr>
            <w:r>
              <w:rPr>
                <w:rFonts w:ascii="Arial" w:cs="Arial" w:eastAsia="Arial" w:hAnsi="Arial"/>
                <w:sz w:val="18"/>
                <w:szCs w:val="18"/>
                <w:color w:val="auto"/>
                <w:w w:val="98"/>
              </w:rPr>
              <w:t>Reimbursement for manufacturing of commercial supplies</w:t>
            </w:r>
            <w:r>
              <w:rPr>
                <w:rFonts w:ascii="Arial" w:cs="Arial" w:eastAsia="Arial" w:hAnsi="Arial"/>
                <w:sz w:val="23"/>
                <w:szCs w:val="23"/>
                <w:color w:val="auto"/>
                <w:w w:val="98"/>
                <w:vertAlign w:val="superscript"/>
              </w:rPr>
              <w:t>(1)</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3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Immuno-oncology</w:t>
            </w:r>
          </w:p>
        </w:tc>
        <w:tc>
          <w:tcPr>
            <w:tcW w:w="2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93"/>
              </w:rPr>
              <w:t>(21.7)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360" w:type="dxa"/>
            <w:vAlign w:val="bottom"/>
            <w:gridSpan w:val="2"/>
          </w:tcPr>
          <w:p>
            <w:pPr>
              <w:ind w:left="20"/>
              <w:spacing w:after="0"/>
              <w:rPr>
                <w:sz w:val="20"/>
                <w:szCs w:val="20"/>
                <w:color w:val="auto"/>
              </w:rPr>
            </w:pPr>
            <w:r>
              <w:rPr>
                <w:rFonts w:ascii="Arial" w:cs="Arial" w:eastAsia="Arial" w:hAnsi="Arial"/>
                <w:sz w:val="18"/>
                <w:szCs w:val="18"/>
                <w:color w:val="auto"/>
              </w:rPr>
              <w:t>Total Sanofi collaboration revenue</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1,186.4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8"/>
              </w:rPr>
              <w:t>403.6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1260" w:hanging="154"/>
        <w:spacing w:after="0"/>
        <w:tabs>
          <w:tab w:leader="none" w:pos="126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Corresponding costs incurred by us in connection with such production is recorded within Cost of collaboration and contract manufacturing</w:t>
      </w:r>
    </w:p>
    <w:p>
      <w:pPr>
        <w:spacing w:after="0" w:line="200" w:lineRule="exact"/>
        <w:rPr>
          <w:rFonts w:ascii="Arial" w:cs="Arial" w:eastAsia="Arial" w:hAnsi="Arial"/>
          <w:sz w:val="18"/>
          <w:szCs w:val="18"/>
          <w:color w:val="auto"/>
          <w:vertAlign w:val="superscript"/>
        </w:rPr>
      </w:pPr>
    </w:p>
    <w:p>
      <w:pPr>
        <w:spacing w:after="0" w:line="223" w:lineRule="exact"/>
        <w:rPr>
          <w:rFonts w:ascii="Arial" w:cs="Arial" w:eastAsia="Arial" w:hAnsi="Arial"/>
          <w:sz w:val="18"/>
          <w:szCs w:val="18"/>
          <w:color w:val="auto"/>
          <w:vertAlign w:val="superscript"/>
        </w:rPr>
      </w:pPr>
    </w:p>
    <w:p>
      <w:pPr>
        <w:ind w:left="5540"/>
        <w:spacing w:after="0"/>
        <w:rPr>
          <w:rFonts w:ascii="Arial" w:cs="Arial" w:eastAsia="Arial" w:hAnsi="Arial"/>
          <w:sz w:val="18"/>
          <w:szCs w:val="18"/>
          <w:color w:val="auto"/>
          <w:vertAlign w:val="superscript"/>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0" w:name="page81"/>
    <w:bookmarkEnd w:id="8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Antibody</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our share of profits in connection with commercialization of antibodies in 2020, compared to 2019, was driven by higher Dupixent profits and, to a lesser extent, our new agreement with Sanofi under which, effective April 1, 2020, we are no longer sharing in losses with Sanofi in connection with the commercialization of Praluent (see further information below).</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2020, the Company earned, and recognized as revenue, the first $50.0 million sales-based milestone from Sanofi, upon aggregate annual sales of Dupixent, Kevzara, and Praluent outside the United States exceeding $1.0 billion on a rolling twelve-month basis. We are entitled to receive up to an aggregate of $200.0 million in additional milestone payments from Sanofi, including the second sales milestone in the amount of $50.0 million, when such sales outside the United States exceed $1.5 billion on a rolling twelve-month basis.</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reimbursements for manufacturing of commercial supplies in 2020, compared to 2019, was primarily due to higher Dupixent sales, as revenue for such cost reimbursements is recognized when the product is sold by Sanofi to third-party customers.</w:t>
      </w:r>
    </w:p>
    <w:p>
      <w:pPr>
        <w:spacing w:after="0" w:line="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Regeneron's share of profits (losses) in connection with the commercialization of Dupixent, Praluent (through March 31, 2020), and Kevzara is summarized below:</w:t>
      </w:r>
    </w:p>
    <w:p>
      <w:pPr>
        <w:spacing w:after="0" w:line="234" w:lineRule="exact"/>
        <w:rPr>
          <w:sz w:val="20"/>
          <w:szCs w:val="20"/>
          <w:color w:val="auto"/>
        </w:rPr>
      </w:pPr>
    </w:p>
    <w:tbl>
      <w:tblPr>
        <w:tblLayout w:type="fixed"/>
        <w:tblInd w:w="118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2018</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Dupixent, Praluent, and Kevzara net product sales</w:t>
            </w:r>
            <w:r>
              <w:rPr>
                <w:rFonts w:ascii="Arial" w:cs="Arial" w:eastAsia="Arial" w:hAnsi="Arial"/>
                <w:sz w:val="23"/>
                <w:szCs w:val="23"/>
                <w:color w:val="auto"/>
                <w:vertAlign w:val="superscript"/>
              </w:rPr>
              <w: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4,394.5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2,811.0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1,325.4</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Regeneron's share of collaboration profits (losses)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50"/>
              <w:spacing w:after="0" w:line="203" w:lineRule="exact"/>
              <w:rPr>
                <w:sz w:val="20"/>
                <w:szCs w:val="20"/>
                <w:color w:val="auto"/>
              </w:rPr>
            </w:pPr>
            <w:r>
              <w:rPr>
                <w:rFonts w:ascii="Arial" w:cs="Arial" w:eastAsia="Arial" w:hAnsi="Arial"/>
                <w:sz w:val="18"/>
                <w:szCs w:val="18"/>
                <w:color w:val="auto"/>
              </w:rPr>
              <w:t>871.5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50"/>
              <w:spacing w:after="0" w:line="203" w:lineRule="exact"/>
              <w:rPr>
                <w:sz w:val="20"/>
                <w:szCs w:val="20"/>
                <w:color w:val="auto"/>
              </w:rPr>
            </w:pPr>
            <w:r>
              <w:rPr>
                <w:rFonts w:ascii="Arial" w:cs="Arial" w:eastAsia="Arial" w:hAnsi="Arial"/>
                <w:sz w:val="18"/>
                <w:szCs w:val="18"/>
                <w:color w:val="auto"/>
              </w:rPr>
              <w:t>233.0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175"/>
        </w:trPr>
        <w:tc>
          <w:tcPr>
            <w:tcW w:w="5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Reimbursement of development expenses incurred by Sanofi in</w:t>
            </w:r>
          </w:p>
        </w:tc>
        <w:tc>
          <w:tcPr>
            <w:tcW w:w="2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(86.3)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accordance with Regeneron's payment obligation</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320" w:type="dxa"/>
            <w:vAlign w:val="bottom"/>
          </w:tcPr>
          <w:p>
            <w:pPr>
              <w:ind w:left="20"/>
              <w:spacing w:after="0" w:line="156" w:lineRule="exact"/>
              <w:rPr>
                <w:sz w:val="20"/>
                <w:szCs w:val="20"/>
                <w:color w:val="auto"/>
              </w:rPr>
            </w:pPr>
            <w:r>
              <w:rPr>
                <w:rFonts w:ascii="Arial" w:cs="Arial" w:eastAsia="Arial" w:hAnsi="Arial"/>
                <w:sz w:val="18"/>
                <w:szCs w:val="18"/>
                <w:color w:val="auto"/>
              </w:rPr>
              <w:t>Regeneron's share of profits (losses) in connection with</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ind w:right="50"/>
              <w:spacing w:after="0"/>
              <w:rPr>
                <w:sz w:val="20"/>
                <w:szCs w:val="20"/>
                <w:color w:val="auto"/>
              </w:rPr>
            </w:pPr>
            <w:r>
              <w:rPr>
                <w:rFonts w:ascii="Arial" w:cs="Arial" w:eastAsia="Arial" w:hAnsi="Arial"/>
                <w:sz w:val="18"/>
                <w:szCs w:val="18"/>
                <w:color w:val="auto"/>
              </w:rPr>
              <w:t>785.2</w:t>
            </w:r>
          </w:p>
        </w:tc>
        <w:tc>
          <w:tcPr>
            <w:tcW w:w="100" w:type="dxa"/>
            <w:vAlign w:val="bottom"/>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209.3</w:t>
            </w:r>
          </w:p>
        </w:tc>
        <w:tc>
          <w:tcPr>
            <w:tcW w:w="100" w:type="dxa"/>
            <w:vAlign w:val="bottom"/>
          </w:tcPr>
          <w:p>
            <w:pPr>
              <w:spacing w:after="0"/>
              <w:rPr>
                <w:sz w:val="13"/>
                <w:szCs w:val="13"/>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08"/>
        </w:trPr>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commercialization of antibodies</w:t>
            </w:r>
          </w:p>
        </w:tc>
        <w:tc>
          <w:tcPr>
            <w:tcW w:w="24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5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Regeneron's share of collaboration profits as a percentage of Dupixent,</w:t>
            </w:r>
          </w:p>
        </w:tc>
        <w:tc>
          <w:tcPr>
            <w:tcW w:w="2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Praluent, and Kevzara net product sales</w:t>
            </w: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1520" w:right="1240" w:hanging="2"/>
        <w:spacing w:after="0" w:line="209" w:lineRule="auto"/>
        <w:tabs>
          <w:tab w:leader="none" w:pos="1613" w:val="left"/>
        </w:tabs>
        <w:numPr>
          <w:ilvl w:val="0"/>
          <w:numId w:val="41"/>
        </w:numPr>
        <w:rPr>
          <w:rFonts w:ascii="Arial" w:cs="Arial" w:eastAsia="Arial" w:hAnsi="Arial"/>
          <w:sz w:val="21"/>
          <w:szCs w:val="21"/>
          <w:color w:val="auto"/>
          <w:vertAlign w:val="superscript"/>
        </w:rPr>
      </w:pPr>
      <w:r>
        <w:rPr>
          <w:rFonts w:ascii="Arial" w:cs="Arial" w:eastAsia="Arial" w:hAnsi="Arial"/>
          <w:sz w:val="16"/>
          <w:szCs w:val="16"/>
          <w:color w:val="auto"/>
        </w:rPr>
        <w:t>Global net product sales of Dupixent and Kevzara are recorded by Sanofi. The quarter ended March 31, 2020 was the last quarter for which Sanofi and the Company shared profits and losses in connection with Sanofi's global net sales and the related commercialization of Praluent (see further details below); therefore, the quarter ended March 31, 2020 was the last quarter for which net product sales of Praluent were included in the table above.</w:t>
      </w:r>
    </w:p>
    <w:p>
      <w:pPr>
        <w:ind w:left="1660" w:hanging="142"/>
        <w:spacing w:after="0" w:line="216" w:lineRule="auto"/>
        <w:tabs>
          <w:tab w:leader="none" w:pos="1660" w:val="left"/>
        </w:tabs>
        <w:numPr>
          <w:ilvl w:val="0"/>
          <w:numId w:val="42"/>
        </w:numPr>
        <w:rPr>
          <w:rFonts w:ascii="Arial" w:cs="Arial" w:eastAsia="Arial" w:hAnsi="Arial"/>
          <w:sz w:val="21"/>
          <w:szCs w:val="21"/>
          <w:color w:val="auto"/>
          <w:vertAlign w:val="superscript"/>
        </w:rPr>
      </w:pPr>
      <w:r>
        <w:rPr>
          <w:rFonts w:ascii="Arial" w:cs="Arial" w:eastAsia="Arial" w:hAnsi="Arial"/>
          <w:sz w:val="16"/>
          <w:szCs w:val="16"/>
          <w:color w:val="auto"/>
        </w:rPr>
        <w:t>Percentage not meaningful</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in Part I, Item 1. "Collaboration, License, and Other Agreements - Sanofi - Antibody", effective April 1, 2020, the Company is solely responsible for the development and commercialization of Praluent in the United States. Under the new agreement, Sanofi is solely responsible for the development and commercialization of Praluent outside of the United States, and pays the Company a 5% royalty on Sanofi’s net product sales of Praluent outside the United States.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gridSpan w:val="2"/>
          </w:tcPr>
          <w:p>
            <w:pPr>
              <w:spacing w:after="0"/>
              <w:rPr>
                <w:sz w:val="20"/>
                <w:szCs w:val="20"/>
                <w:color w:val="auto"/>
              </w:rPr>
            </w:pPr>
            <w:r>
              <w:rPr>
                <w:rFonts w:ascii="Arial" w:cs="Arial" w:eastAsia="Arial" w:hAnsi="Arial"/>
                <w:sz w:val="18"/>
                <w:szCs w:val="18"/>
                <w:i w:val="1"/>
                <w:iCs w:val="1"/>
                <w:color w:val="auto"/>
              </w:rPr>
              <w:t>Bayer Collaboration Revenue</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4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2018</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53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5"/>
              </w:rPr>
              <w:t>Regeneron's net profit in connection with commercialization of EYLEA</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1,107.9</w:t>
            </w:r>
          </w:p>
        </w:tc>
        <w:tc>
          <w:tcPr>
            <w:tcW w:w="12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1,091.4</w:t>
            </w:r>
          </w:p>
        </w:tc>
        <w:tc>
          <w:tcPr>
            <w:tcW w:w="12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992.3</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outside the United States</w:t>
            </w:r>
          </w:p>
        </w:tc>
        <w:tc>
          <w:tcPr>
            <w:tcW w:w="26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40" w:type="dxa"/>
            <w:vAlign w:val="bottom"/>
          </w:tcPr>
          <w:p>
            <w:pPr>
              <w:spacing w:after="0"/>
              <w:rPr>
                <w:sz w:val="19"/>
                <w:szCs w:val="19"/>
                <w:color w:val="auto"/>
              </w:rPr>
            </w:pPr>
          </w:p>
        </w:tc>
        <w:tc>
          <w:tcPr>
            <w:tcW w:w="53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Reimbursement for manufacturing of commercial supplies</w:t>
            </w:r>
            <w:r>
              <w:rPr>
                <w:rFonts w:ascii="Arial" w:cs="Arial" w:eastAsia="Arial" w:hAnsi="Arial"/>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48"/>
        </w:trPr>
        <w:tc>
          <w:tcPr>
            <w:tcW w:w="1040" w:type="dxa"/>
            <w:vAlign w:val="bottom"/>
          </w:tcPr>
          <w:p>
            <w:pPr>
              <w:spacing w:after="0"/>
              <w:rPr>
                <w:sz w:val="21"/>
                <w:szCs w:val="21"/>
                <w:color w:val="auto"/>
              </w:rPr>
            </w:pPr>
          </w:p>
        </w:tc>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Bayer collaboration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1380" w:right="1620" w:hanging="4"/>
        <w:spacing w:after="0" w:line="219" w:lineRule="auto"/>
        <w:tabs>
          <w:tab w:leader="none" w:pos="1543" w:val="left"/>
        </w:tabs>
        <w:numPr>
          <w:ilvl w:val="0"/>
          <w:numId w:val="43"/>
        </w:numPr>
        <w:rPr>
          <w:rFonts w:ascii="Arial" w:cs="Arial" w:eastAsia="Arial" w:hAnsi="Arial"/>
          <w:sz w:val="20"/>
          <w:szCs w:val="20"/>
          <w:color w:val="auto"/>
          <w:vertAlign w:val="superscript"/>
        </w:rPr>
      </w:pPr>
      <w:r>
        <w:rPr>
          <w:rFonts w:ascii="Arial" w:cs="Arial" w:eastAsia="Arial" w:hAnsi="Arial"/>
          <w:sz w:val="15"/>
          <w:szCs w:val="15"/>
          <w:color w:val="auto"/>
        </w:rPr>
        <w:t>Corresponding costs incurred by us in connection with such production is recorded within Cost of collaboration and contract manufacturing</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1" w:name="page82"/>
    <w:bookmarkEnd w:id="8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Bayer records net product sales of EYLEA outside the United States. Regeneron's net profit in connection with commercialization of EYLEA outside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United States is summarized below:</w:t>
      </w:r>
    </w:p>
    <w:p>
      <w:pPr>
        <w:spacing w:after="0" w:line="166" w:lineRule="exact"/>
        <w:rPr>
          <w:sz w:val="20"/>
          <w:szCs w:val="20"/>
          <w:color w:val="auto"/>
        </w:rPr>
      </w:pPr>
    </w:p>
    <w:tbl>
      <w:tblPr>
        <w:tblLayout w:type="fixed"/>
        <w:tblInd w:w="104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2018</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EYLEA net product sales outside the United States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2,961.5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2,897.4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2,668.9</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4"/>
              </w:rPr>
              <w:t>Regeneron's share of collaboration profit from sales outside the United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360" w:type="dxa"/>
            <w:vAlign w:val="bottom"/>
            <w:vMerge w:val="continue"/>
          </w:tcPr>
          <w:p>
            <w:pPr>
              <w:spacing w:after="0"/>
              <w:rPr>
                <w:sz w:val="10"/>
                <w:szCs w:val="10"/>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ind w:right="50"/>
              <w:spacing w:after="0"/>
              <w:rPr>
                <w:sz w:val="20"/>
                <w:szCs w:val="20"/>
                <w:color w:val="auto"/>
              </w:rPr>
            </w:pPr>
            <w:r>
              <w:rPr>
                <w:rFonts w:ascii="Arial" w:cs="Arial" w:eastAsia="Arial" w:hAnsi="Arial"/>
                <w:sz w:val="18"/>
                <w:szCs w:val="18"/>
                <w:color w:val="auto"/>
              </w:rPr>
              <w:t>1,165.8</w:t>
            </w:r>
          </w:p>
        </w:tc>
        <w:tc>
          <w:tcPr>
            <w:tcW w:w="100" w:type="dxa"/>
            <w:vAlign w:val="bottom"/>
          </w:tcPr>
          <w:p>
            <w:pPr>
              <w:spacing w:after="0"/>
              <w:rPr>
                <w:sz w:val="10"/>
                <w:szCs w:val="10"/>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1,148.0</w:t>
            </w:r>
          </w:p>
        </w:tc>
        <w:tc>
          <w:tcPr>
            <w:tcW w:w="120" w:type="dxa"/>
            <w:vAlign w:val="bottom"/>
          </w:tcPr>
          <w:p>
            <w:pPr>
              <w:spacing w:after="0"/>
              <w:rPr>
                <w:sz w:val="10"/>
                <w:szCs w:val="10"/>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50"/>
              <w:spacing w:after="0"/>
              <w:rPr>
                <w:sz w:val="20"/>
                <w:szCs w:val="20"/>
                <w:color w:val="auto"/>
              </w:rPr>
            </w:pPr>
            <w:r>
              <w:rPr>
                <w:rFonts w:ascii="Arial" w:cs="Arial" w:eastAsia="Arial" w:hAnsi="Arial"/>
                <w:sz w:val="18"/>
                <w:szCs w:val="18"/>
                <w:color w:val="auto"/>
              </w:rPr>
              <w:t>1,045.9</w:t>
            </w:r>
          </w:p>
        </w:tc>
        <w:tc>
          <w:tcPr>
            <w:tcW w:w="0" w:type="dxa"/>
            <w:vAlign w:val="bottom"/>
          </w:tcPr>
          <w:p>
            <w:pPr>
              <w:spacing w:after="0"/>
              <w:rPr>
                <w:sz w:val="1"/>
                <w:szCs w:val="1"/>
                <w:color w:val="auto"/>
              </w:rPr>
            </w:pP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auto"/>
              </w:rPr>
              <w:t>States</w:t>
            </w:r>
          </w:p>
        </w:tc>
        <w:tc>
          <w:tcPr>
            <w:tcW w:w="26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3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Reimbursement of development expenses incurred by Bayer in</w:t>
            </w: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(56.6)</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accordance with Regeneron's payment obligation</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5360" w:type="dxa"/>
            <w:vAlign w:val="bottom"/>
          </w:tcPr>
          <w:p>
            <w:pPr>
              <w:ind w:left="20"/>
              <w:spacing w:after="0" w:line="156" w:lineRule="exact"/>
              <w:rPr>
                <w:sz w:val="20"/>
                <w:szCs w:val="20"/>
                <w:color w:val="auto"/>
              </w:rPr>
            </w:pPr>
            <w:r>
              <w:rPr>
                <w:rFonts w:ascii="Arial" w:cs="Arial" w:eastAsia="Arial" w:hAnsi="Arial"/>
                <w:sz w:val="18"/>
                <w:szCs w:val="18"/>
                <w:color w:val="auto"/>
                <w:w w:val="95"/>
              </w:rPr>
              <w:t>Regeneron's net profit in connection with commercialization of EYLEA</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ind w:right="50"/>
              <w:spacing w:after="0"/>
              <w:rPr>
                <w:sz w:val="20"/>
                <w:szCs w:val="20"/>
                <w:color w:val="auto"/>
              </w:rPr>
            </w:pPr>
            <w:r>
              <w:rPr>
                <w:rFonts w:ascii="Arial" w:cs="Arial" w:eastAsia="Arial" w:hAnsi="Arial"/>
                <w:sz w:val="18"/>
                <w:szCs w:val="18"/>
                <w:color w:val="auto"/>
              </w:rPr>
              <w:t>1,107.9</w:t>
            </w:r>
          </w:p>
        </w:tc>
        <w:tc>
          <w:tcPr>
            <w:tcW w:w="10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1,091.4</w:t>
            </w:r>
          </w:p>
        </w:tc>
        <w:tc>
          <w:tcPr>
            <w:tcW w:w="120" w:type="dxa"/>
            <w:vAlign w:val="bottom"/>
          </w:tcPr>
          <w:p>
            <w:pPr>
              <w:spacing w:after="0"/>
              <w:rPr>
                <w:sz w:val="13"/>
                <w:szCs w:val="13"/>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50"/>
              <w:spacing w:after="0"/>
              <w:rPr>
                <w:sz w:val="20"/>
                <w:szCs w:val="20"/>
                <w:color w:val="auto"/>
              </w:rPr>
            </w:pPr>
            <w:r>
              <w:rPr>
                <w:rFonts w:ascii="Arial" w:cs="Arial" w:eastAsia="Arial" w:hAnsi="Arial"/>
                <w:sz w:val="18"/>
                <w:szCs w:val="18"/>
                <w:color w:val="auto"/>
              </w:rPr>
              <w:t>992.3</w:t>
            </w:r>
          </w:p>
        </w:tc>
        <w:tc>
          <w:tcPr>
            <w:tcW w:w="0" w:type="dxa"/>
            <w:vAlign w:val="bottom"/>
          </w:tcPr>
          <w:p>
            <w:pPr>
              <w:spacing w:after="0"/>
              <w:rPr>
                <w:sz w:val="1"/>
                <w:szCs w:val="1"/>
                <w:color w:val="auto"/>
              </w:rPr>
            </w:pPr>
          </w:p>
        </w:tc>
      </w:tr>
      <w:tr>
        <w:trPr>
          <w:trHeight w:val="208"/>
        </w:trPr>
        <w:tc>
          <w:tcPr>
            <w:tcW w:w="5360" w:type="dxa"/>
            <w:vAlign w:val="bottom"/>
          </w:tcPr>
          <w:p>
            <w:pPr>
              <w:ind w:left="180"/>
              <w:spacing w:after="0" w:line="202" w:lineRule="exact"/>
              <w:rPr>
                <w:sz w:val="20"/>
                <w:szCs w:val="20"/>
                <w:color w:val="auto"/>
              </w:rPr>
            </w:pPr>
            <w:r>
              <w:rPr>
                <w:rFonts w:ascii="Arial" w:cs="Arial" w:eastAsia="Arial" w:hAnsi="Arial"/>
                <w:sz w:val="18"/>
                <w:szCs w:val="18"/>
                <w:color w:val="auto"/>
              </w:rPr>
              <w:t>outside the United States</w:t>
            </w:r>
          </w:p>
        </w:tc>
        <w:tc>
          <w:tcPr>
            <w:tcW w:w="26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5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3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Regeneron's net profit as a percentage of EYLEA net product sales</w:t>
            </w: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outside the United States</w:t>
            </w:r>
          </w:p>
        </w:tc>
        <w:tc>
          <w:tcPr>
            <w:tcW w:w="2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revenue increased in 2020, compared to 2019, primarily due to recognition of revenue of $186.7 million in connection with our agreement with BARDA related to funding of certain development activities for antibodies for the treatment of COVID-19. In addition, other revenue increased, to a lesser extent, due to the following:</w:t>
      </w:r>
    </w:p>
    <w:p>
      <w:pPr>
        <w:spacing w:after="0" w:line="116" w:lineRule="exact"/>
        <w:rPr>
          <w:sz w:val="20"/>
          <w:szCs w:val="20"/>
          <w:color w:val="auto"/>
        </w:rPr>
      </w:pPr>
    </w:p>
    <w:p>
      <w:pPr>
        <w:ind w:left="660" w:right="20" w:hanging="328"/>
        <w:spacing w:after="0" w:line="258"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recognition of revenue in connection with our agreement with BARDA related to funding of certain development activities for Inmazeb for the treatment of Ebola;</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effective April 1, 2020, Sanofi's reimbursement for our manufacturing of Praluent commercial supplies and royalties of 5% on Sanofi’s net product sales of Praluent outside the United States; and</w:t>
      </w:r>
    </w:p>
    <w:p>
      <w:pPr>
        <w:ind w:left="660" w:hanging="328"/>
        <w:spacing w:after="0" w:line="219"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royalties in connection with a June 2009 agreement with Novartis, under which we receive royalties on worldwide sales of Novartis' Ilaris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(canakinumab). The royalty rates in the agreement start at 4% and reach 15% when annual sales exceed $1.5 billion.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Expenses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10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 except headcount data)</w:t>
            </w:r>
          </w:p>
        </w:tc>
        <w:tc>
          <w:tcPr>
            <w:tcW w:w="240" w:type="dxa"/>
            <w:vAlign w:val="bottom"/>
          </w:tcPr>
          <w:p>
            <w:pPr>
              <w:spacing w:after="0"/>
              <w:rPr>
                <w:sz w:val="19"/>
                <w:szCs w:val="19"/>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ind w:right="290"/>
              <w:spacing w:after="0"/>
              <w:rPr>
                <w:sz w:val="20"/>
                <w:szCs w:val="20"/>
                <w:color w:val="auto"/>
              </w:rPr>
            </w:pPr>
            <w:r>
              <w:rPr>
                <w:rFonts w:ascii="Arial" w:cs="Arial" w:eastAsia="Arial" w:hAnsi="Arial"/>
                <w:sz w:val="18"/>
                <w:szCs w:val="18"/>
                <w:b w:val="1"/>
                <w:bCs w:val="1"/>
                <w:color w:val="auto"/>
                <w:w w:val="84"/>
              </w:rPr>
              <w:t>2018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2020 vs. 2019</w:t>
            </w:r>
          </w:p>
        </w:tc>
        <w:tc>
          <w:tcPr>
            <w:tcW w:w="14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2019 vs. 2018</w:t>
            </w: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364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2,735.0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981.2</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3640" w:type="dxa"/>
            <w:vAlign w:val="bottom"/>
          </w:tcPr>
          <w:p>
            <w:pPr>
              <w:ind w:left="20"/>
              <w:spacing w:after="0" w:line="230" w:lineRule="exact"/>
              <w:rPr>
                <w:sz w:val="20"/>
                <w:szCs w:val="20"/>
                <w:color w:val="auto"/>
              </w:rPr>
            </w:pPr>
            <w:r>
              <w:rPr>
                <w:rFonts w:ascii="Arial" w:cs="Arial" w:eastAsia="Arial" w:hAnsi="Arial"/>
                <w:sz w:val="18"/>
                <w:szCs w:val="18"/>
                <w:color w:val="auto"/>
              </w:rPr>
              <w:t>Selling, general, and administrative</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1,127.2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36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Cost of goods sold</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176"/>
        </w:trPr>
        <w:tc>
          <w:tcPr>
            <w:tcW w:w="540" w:type="dxa"/>
            <w:vAlign w:val="bottom"/>
          </w:tcPr>
          <w:p>
            <w:pPr>
              <w:spacing w:after="0"/>
              <w:rPr>
                <w:sz w:val="15"/>
                <w:szCs w:val="15"/>
                <w:color w:val="auto"/>
              </w:rPr>
            </w:pPr>
          </w:p>
        </w:tc>
        <w:tc>
          <w:tcPr>
            <w:tcW w:w="3640" w:type="dxa"/>
            <w:vAlign w:val="bottom"/>
          </w:tcPr>
          <w:p>
            <w:pPr>
              <w:ind w:left="20"/>
              <w:spacing w:after="0" w:line="176" w:lineRule="exact"/>
              <w:rPr>
                <w:sz w:val="20"/>
                <w:szCs w:val="20"/>
                <w:color w:val="auto"/>
              </w:rPr>
            </w:pPr>
            <w:r>
              <w:rPr>
                <w:rFonts w:ascii="Arial" w:cs="Arial" w:eastAsia="Arial" w:hAnsi="Arial"/>
                <w:sz w:val="18"/>
                <w:szCs w:val="18"/>
                <w:color w:val="auto"/>
              </w:rPr>
              <w:t>Cost of collaboration and contract</w:t>
            </w:r>
          </w:p>
        </w:tc>
        <w:tc>
          <w:tcPr>
            <w:tcW w:w="2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628.0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402.8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237.5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225.2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3640" w:type="dxa"/>
            <w:vAlign w:val="bottom"/>
          </w:tcPr>
          <w:p>
            <w:pPr>
              <w:ind w:left="180"/>
              <w:spacing w:after="0" w:line="230" w:lineRule="exact"/>
              <w:rPr>
                <w:sz w:val="20"/>
                <w:szCs w:val="20"/>
                <w:color w:val="auto"/>
              </w:rPr>
            </w:pPr>
            <w:r>
              <w:rPr>
                <w:rFonts w:ascii="Arial" w:cs="Arial" w:eastAsia="Arial" w:hAnsi="Arial"/>
                <w:sz w:val="18"/>
                <w:szCs w:val="18"/>
                <w:color w:val="auto"/>
              </w:rPr>
              <w:t>manufacturing</w:t>
            </w:r>
            <w:r>
              <w:rPr>
                <w:rFonts w:ascii="Arial" w:cs="Arial" w:eastAsia="Arial" w:hAnsi="Arial"/>
                <w:sz w:val="23"/>
                <w:szCs w:val="23"/>
                <w:color w:val="auto"/>
                <w:vertAlign w:val="superscript"/>
              </w:rPr>
              <w:t>(3)</w:t>
            </w:r>
          </w:p>
        </w:tc>
        <w:tc>
          <w:tcPr>
            <w:tcW w:w="2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(income) expense, net</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4,920.5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4,347.8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1,736.6</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40" w:type="dxa"/>
            <w:vAlign w:val="bottom"/>
          </w:tcPr>
          <w:p>
            <w:pPr>
              <w:spacing w:after="0"/>
              <w:rPr>
                <w:sz w:val="11"/>
                <w:szCs w:val="11"/>
                <w:color w:val="auto"/>
              </w:rPr>
            </w:pPr>
          </w:p>
        </w:tc>
        <w:tc>
          <w:tcPr>
            <w:tcW w:w="3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Average headcount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8,495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7,773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880" w:hanging="159"/>
        <w:spacing w:after="0"/>
        <w:tabs>
          <w:tab w:leader="none" w:pos="880" w:val="left"/>
        </w:tabs>
        <w:numPr>
          <w:ilvl w:val="0"/>
          <w:numId w:val="45"/>
        </w:numPr>
        <w:rPr>
          <w:rFonts w:ascii="Arial" w:cs="Arial" w:eastAsia="Arial" w:hAnsi="Arial"/>
          <w:sz w:val="19"/>
          <w:szCs w:val="19"/>
          <w:color w:val="auto"/>
          <w:vertAlign w:val="superscript"/>
        </w:rPr>
      </w:pPr>
      <w:r>
        <w:rPr>
          <w:rFonts w:ascii="Arial" w:cs="Arial" w:eastAsia="Arial" w:hAnsi="Arial"/>
          <w:sz w:val="15"/>
          <w:szCs w:val="15"/>
          <w:color w:val="auto"/>
        </w:rPr>
        <w:t>Includes costs incurred as well as cost reimbursements from collaborators who are not deemed to be our customers</w:t>
      </w:r>
    </w:p>
    <w:p>
      <w:pPr>
        <w:spacing w:after="0" w:line="23" w:lineRule="exact"/>
        <w:rPr>
          <w:rFonts w:ascii="Arial" w:cs="Arial" w:eastAsia="Arial" w:hAnsi="Arial"/>
          <w:sz w:val="19"/>
          <w:szCs w:val="19"/>
          <w:color w:val="auto"/>
          <w:vertAlign w:val="superscript"/>
        </w:rPr>
      </w:pPr>
    </w:p>
    <w:p>
      <w:pPr>
        <w:jc w:val="both"/>
        <w:ind w:left="720" w:right="620" w:firstLine="1"/>
        <w:spacing w:after="0" w:line="219" w:lineRule="auto"/>
        <w:tabs>
          <w:tab w:leader="none" w:pos="883" w:val="left"/>
        </w:tabs>
        <w:numPr>
          <w:ilvl w:val="0"/>
          <w:numId w:val="45"/>
        </w:numPr>
        <w:rPr>
          <w:rFonts w:ascii="Arial" w:cs="Arial" w:eastAsia="Arial" w:hAnsi="Arial"/>
          <w:sz w:val="19"/>
          <w:szCs w:val="19"/>
          <w:color w:val="auto"/>
          <w:vertAlign w:val="superscript"/>
        </w:rPr>
      </w:pPr>
      <w:r>
        <w:rPr>
          <w:rFonts w:ascii="Arial" w:cs="Arial" w:eastAsia="Arial" w:hAnsi="Arial"/>
          <w:sz w:val="15"/>
          <w:szCs w:val="15"/>
          <w:color w:val="auto"/>
        </w:rPr>
        <w:t>Cost of goods sold includes costs in connection with producing commercial supplies for products that are sold by Regeneron in the United States (</w:t>
      </w:r>
      <w:r>
        <w:rPr>
          <w:rFonts w:ascii="Arial" w:cs="Arial" w:eastAsia="Arial" w:hAnsi="Arial"/>
          <w:sz w:val="15"/>
          <w:szCs w:val="15"/>
          <w:i w:val="1"/>
          <w:iCs w:val="1"/>
          <w:color w:val="auto"/>
        </w:rPr>
        <w:t>i.e.</w:t>
      </w:r>
      <w:r>
        <w:rPr>
          <w:rFonts w:ascii="Arial" w:cs="Arial" w:eastAsia="Arial" w:hAnsi="Arial"/>
          <w:sz w:val="15"/>
          <w:szCs w:val="15"/>
          <w:color w:val="auto"/>
        </w:rPr>
        <w:t>, for which we record net product sales) and any royalties we are obligated to pay on such sales, period costs for our Limerick manufacturing facility, and amounts we are obligated to pay to Sanofi for its share of Libtayo U.S. gross profits</w:t>
      </w:r>
    </w:p>
    <w:p>
      <w:pPr>
        <w:spacing w:after="0" w:line="11" w:lineRule="exact"/>
        <w:rPr>
          <w:rFonts w:ascii="Arial" w:cs="Arial" w:eastAsia="Arial" w:hAnsi="Arial"/>
          <w:sz w:val="19"/>
          <w:szCs w:val="19"/>
          <w:color w:val="auto"/>
          <w:vertAlign w:val="superscript"/>
        </w:rPr>
      </w:pPr>
    </w:p>
    <w:p>
      <w:pPr>
        <w:ind w:left="720" w:right="560" w:firstLine="1"/>
        <w:spacing w:after="0" w:line="226" w:lineRule="auto"/>
        <w:tabs>
          <w:tab w:leader="none" w:pos="883" w:val="left"/>
        </w:tabs>
        <w:numPr>
          <w:ilvl w:val="0"/>
          <w:numId w:val="45"/>
        </w:numPr>
        <w:rPr>
          <w:rFonts w:ascii="Arial" w:cs="Arial" w:eastAsia="Arial" w:hAnsi="Arial"/>
          <w:sz w:val="19"/>
          <w:szCs w:val="19"/>
          <w:color w:val="auto"/>
          <w:vertAlign w:val="superscript"/>
        </w:rPr>
      </w:pPr>
      <w:r>
        <w:rPr>
          <w:rFonts w:ascii="Arial" w:cs="Arial" w:eastAsia="Arial" w:hAnsi="Arial"/>
          <w:sz w:val="15"/>
          <w:szCs w:val="15"/>
          <w:color w:val="auto"/>
        </w:rPr>
        <w:t>Cost of collaboration and contract manufacturing includes costs we incur in connection with producing commercial drug supplies for collaborators and others</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expenses in 2020, 2019, and 2018 included a total of $432.0 million, $464.3 million, and $427.4 million, respectively, of non-cash compensation expense related to equity awards granted under our long-term incentive plans. As of December 31, 2020, unrecognized non-cash compensation expense related to outstanding stock options and unvested restricted stock (including performance-based restricted stock units) was $491.5 million and $685.5 million, respectively. We expect to recognize this non-cash compensation expense related to stock options and restricted stock over weighted-average periods of 1.8 years and 3.7 years, respectively.</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2" w:name="page83"/>
    <w:bookmarkEnd w:id="8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4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following table summarizes our estimates of direct research and development expenses by clinical development program and other significant categories of research and development expenses. Direct research and development expenses are comprised primarily of costs paid to third parties for clinical and product development activities, including costs related to preclinical research activities, clinical trials, and the portion of research and development expenses incurred by our collaborators that we are obligated to reimburse. Indirect research and development expenses have not been allocated directly to each program, and primarily consist of costs to compensate personnel, overhead and infrastructure costs to maintain our facilities, and other costs related to activities that benefit multiple projects. Clinical manufacturing costs primarily consist of costs to manufacture bulk drug product for clinical development purposes as well as related external drug filling, packaging, and labeling costs. Clinical manufacturing costs also includes pre-launch commercial supplies which did not meet the criteria to be capitalized as inventory (see "Critical Accounting Policies and Use of Estimates - Inventories" above). The table below also includes reimbursements of research and development expenses by collaborators, as when we are entitled to reimbursement of all or a portion of such expenses that we incur under a collaboration, we record those reimbursable amounts in the period in which such costs are incurred.</w:t>
      </w:r>
    </w:p>
    <w:p>
      <w:pPr>
        <w:spacing w:after="0" w:line="137"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80" w:type="dxa"/>
            <w:vAlign w:val="bottom"/>
            <w:gridSpan w:val="8"/>
          </w:tcPr>
          <w:p>
            <w:pPr>
              <w:ind w:left="520"/>
              <w:spacing w:after="0"/>
              <w:rPr>
                <w:sz w:val="20"/>
                <w:szCs w:val="20"/>
                <w:color w:val="auto"/>
              </w:rPr>
            </w:pPr>
            <w:r>
              <w:rPr>
                <w:rFonts w:ascii="Arial" w:cs="Arial" w:eastAsia="Arial" w:hAnsi="Arial"/>
                <w:sz w:val="18"/>
                <w:szCs w:val="18"/>
                <w:b w:val="1"/>
                <w:bCs w:val="1"/>
                <w:color w:val="auto"/>
              </w:rPr>
              <w:t>Year Ended December 31,</w:t>
            </w:r>
          </w:p>
        </w:tc>
        <w:tc>
          <w:tcPr>
            <w:tcW w:w="120" w:type="dxa"/>
            <w:vAlign w:val="bottom"/>
          </w:tcPr>
          <w:p>
            <w:pPr>
              <w:spacing w:after="0"/>
              <w:rPr>
                <w:sz w:val="20"/>
                <w:szCs w:val="20"/>
                <w:color w:val="auto"/>
              </w:rPr>
            </w:pPr>
          </w:p>
        </w:tc>
        <w:tc>
          <w:tcPr>
            <w:tcW w:w="2660" w:type="dxa"/>
            <w:vAlign w:val="bottom"/>
            <w:gridSpan w:val="4"/>
          </w:tcPr>
          <w:p>
            <w:pPr>
              <w:jc w:val="right"/>
              <w:ind w:right="9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50"/>
              <w:spacing w:after="0" w:line="223" w:lineRule="exact"/>
              <w:rPr>
                <w:sz w:val="20"/>
                <w:szCs w:val="20"/>
                <w:color w:val="auto"/>
              </w:rPr>
            </w:pPr>
            <w:r>
              <w:rPr>
                <w:rFonts w:ascii="Arial" w:cs="Arial" w:eastAsia="Arial" w:hAnsi="Arial"/>
                <w:sz w:val="18"/>
                <w:szCs w:val="18"/>
                <w:b w:val="1"/>
                <w:bCs w:val="1"/>
                <w:color w:val="auto"/>
              </w:rPr>
              <w:t>2019</w:t>
            </w:r>
            <w:r>
              <w:rPr>
                <w:rFonts w:ascii="Arial" w:cs="Arial" w:eastAsia="Arial" w:hAnsi="Arial"/>
                <w:sz w:val="23"/>
                <w:szCs w:val="23"/>
                <w:b w:val="1"/>
                <w:bCs w:val="1"/>
                <w:color w:val="auto"/>
                <w:vertAlign w:val="superscript"/>
              </w:rPr>
              <w:t>*</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50"/>
              <w:spacing w:after="0" w:line="223" w:lineRule="exact"/>
              <w:rPr>
                <w:sz w:val="20"/>
                <w:szCs w:val="20"/>
                <w:color w:val="auto"/>
              </w:rPr>
            </w:pPr>
            <w:r>
              <w:rPr>
                <w:rFonts w:ascii="Arial" w:cs="Arial" w:eastAsia="Arial" w:hAnsi="Arial"/>
                <w:sz w:val="18"/>
                <w:szCs w:val="18"/>
                <w:b w:val="1"/>
                <w:bCs w:val="1"/>
                <w:color w:val="auto"/>
              </w:rPr>
              <w:t>2018</w:t>
            </w:r>
            <w:r>
              <w:rPr>
                <w:rFonts w:ascii="Arial" w:cs="Arial" w:eastAsia="Arial" w:hAnsi="Arial"/>
                <w:sz w:val="23"/>
                <w:szCs w:val="23"/>
                <w:b w:val="1"/>
                <w:bCs w:val="1"/>
                <w:color w:val="auto"/>
                <w:vertAlign w:val="superscript"/>
              </w:rPr>
              <w:t>*</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2020 vs. 2019</w:t>
            </w: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8"/>
              </w:rPr>
              <w:t>2019 vs. 2018</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 research and development expenses:</w:t>
            </w: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20"/>
              <w:spacing w:after="0"/>
              <w:rPr>
                <w:sz w:val="20"/>
                <w:szCs w:val="20"/>
                <w:color w:val="auto"/>
              </w:rPr>
            </w:pPr>
            <w:r>
              <w:rPr>
                <w:rFonts w:ascii="Arial" w:cs="Arial" w:eastAsia="Arial" w:hAnsi="Arial"/>
                <w:sz w:val="18"/>
                <w:szCs w:val="18"/>
                <w:color w:val="auto"/>
              </w:rPr>
              <w:t>REGEN-COV (casirivimab and imdevimab)</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Fasinumab</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30"/>
        </w:trPr>
        <w:tc>
          <w:tcPr>
            <w:tcW w:w="4300" w:type="dxa"/>
            <w:vAlign w:val="bottom"/>
          </w:tcPr>
          <w:p>
            <w:pPr>
              <w:ind w:left="220"/>
              <w:spacing w:after="0"/>
              <w:rPr>
                <w:sz w:val="20"/>
                <w:szCs w:val="20"/>
                <w:color w:val="auto"/>
              </w:rPr>
            </w:pPr>
            <w:r>
              <w:rPr>
                <w:rFonts w:ascii="Arial" w:cs="Arial" w:eastAsia="Arial" w:hAnsi="Arial"/>
                <w:sz w:val="18"/>
                <w:szCs w:val="18"/>
                <w:color w:val="auto"/>
              </w:rPr>
              <w:t>Libtayo (cemiplimab)</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Dupixent (dupilumab)</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4300" w:type="dxa"/>
            <w:vAlign w:val="bottom"/>
          </w:tcPr>
          <w:p>
            <w:pPr>
              <w:ind w:left="220"/>
              <w:spacing w:after="0"/>
              <w:rPr>
                <w:sz w:val="20"/>
                <w:szCs w:val="20"/>
                <w:color w:val="auto"/>
              </w:rPr>
            </w:pPr>
            <w:r>
              <w:rPr>
                <w:rFonts w:ascii="Arial" w:cs="Arial" w:eastAsia="Arial" w:hAnsi="Arial"/>
                <w:sz w:val="18"/>
                <w:szCs w:val="18"/>
                <w:color w:val="auto"/>
              </w:rPr>
              <w:t>Kevzara (sarilumab)</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EYLEA</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29"/>
        </w:trPr>
        <w:tc>
          <w:tcPr>
            <w:tcW w:w="4300" w:type="dxa"/>
            <w:vAlign w:val="bottom"/>
          </w:tcPr>
          <w:p>
            <w:pPr>
              <w:ind w:left="220"/>
              <w:spacing w:after="0"/>
              <w:rPr>
                <w:sz w:val="20"/>
                <w:szCs w:val="20"/>
                <w:color w:val="auto"/>
              </w:rPr>
            </w:pPr>
            <w:r>
              <w:rPr>
                <w:rFonts w:ascii="Arial" w:cs="Arial" w:eastAsia="Arial" w:hAnsi="Arial"/>
                <w:sz w:val="18"/>
                <w:szCs w:val="18"/>
                <w:color w:val="auto"/>
              </w:rPr>
              <w:t>Evkeeza (evinacumab)</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176"/>
        </w:trPr>
        <w:tc>
          <w:tcPr>
            <w:tcW w:w="43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4"/>
              </w:rPr>
              <w:t>Up-front payments related to license and collaboration</w:t>
            </w:r>
          </w:p>
        </w:tc>
        <w:tc>
          <w:tcPr>
            <w:tcW w:w="2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agreements</w:t>
            </w:r>
          </w:p>
        </w:tc>
        <w:tc>
          <w:tcPr>
            <w:tcW w:w="2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300" w:type="dxa"/>
            <w:vAlign w:val="bottom"/>
          </w:tcPr>
          <w:p>
            <w:pPr>
              <w:ind w:left="220"/>
              <w:spacing w:after="0" w:line="176" w:lineRule="exact"/>
              <w:rPr>
                <w:sz w:val="20"/>
                <w:szCs w:val="20"/>
                <w:color w:val="auto"/>
              </w:rPr>
            </w:pPr>
            <w:r>
              <w:rPr>
                <w:rFonts w:ascii="Arial" w:cs="Arial" w:eastAsia="Arial" w:hAnsi="Arial"/>
                <w:sz w:val="18"/>
                <w:szCs w:val="18"/>
                <w:color w:val="auto"/>
                <w:w w:val="95"/>
              </w:rPr>
              <w:t>Other product candidates in clinical development and</w:t>
            </w:r>
          </w:p>
        </w:tc>
        <w:tc>
          <w:tcPr>
            <w:tcW w:w="2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387.3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305.9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219.0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29"/>
        </w:trPr>
        <w:tc>
          <w:tcPr>
            <w:tcW w:w="43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 research programs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direct research and development expenses</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626.2</w:t>
            </w:r>
          </w:p>
        </w:tc>
        <w:tc>
          <w:tcPr>
            <w:tcW w:w="0" w:type="dxa"/>
            <w:vAlign w:val="bottom"/>
          </w:tcPr>
          <w:p>
            <w:pPr>
              <w:spacing w:after="0"/>
              <w:rPr>
                <w:sz w:val="1"/>
                <w:szCs w:val="1"/>
                <w:color w:val="auto"/>
              </w:rPr>
            </w:pPr>
          </w:p>
        </w:tc>
      </w:tr>
      <w:tr>
        <w:trPr>
          <w:trHeight w:val="74"/>
        </w:trPr>
        <w:tc>
          <w:tcPr>
            <w:tcW w:w="4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Indirect research and development expenses: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20"/>
              <w:spacing w:after="0"/>
              <w:rPr>
                <w:sz w:val="20"/>
                <w:szCs w:val="20"/>
                <w:color w:val="auto"/>
              </w:rPr>
            </w:pPr>
            <w:r>
              <w:rPr>
                <w:rFonts w:ascii="Arial" w:cs="Arial" w:eastAsia="Arial" w:hAnsi="Arial"/>
                <w:sz w:val="18"/>
                <w:szCs w:val="18"/>
                <w:color w:val="auto"/>
              </w:rPr>
              <w:t>Payroll and benefits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175"/>
        </w:trPr>
        <w:tc>
          <w:tcPr>
            <w:tcW w:w="43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Lab supplies and other research and development</w:t>
            </w:r>
          </w:p>
        </w:tc>
        <w:tc>
          <w:tcPr>
            <w:tcW w:w="2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costs</w:t>
            </w:r>
          </w:p>
        </w:tc>
        <w:tc>
          <w:tcPr>
            <w:tcW w:w="2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Occupancy and other operating costs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indirect research and development expenses</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Clinical manufacturing costs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95"/>
        </w:trPr>
        <w:tc>
          <w:tcPr>
            <w:tcW w:w="4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43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Reimbursement of research and development expenses</w:t>
            </w:r>
          </w:p>
        </w:tc>
        <w:tc>
          <w:tcPr>
            <w:tcW w:w="2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(636.9)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(586.6)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(717.3)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by collaborators</w:t>
            </w:r>
          </w:p>
        </w:tc>
        <w:tc>
          <w:tcPr>
            <w:tcW w:w="2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430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981.2</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600" w:hanging="102"/>
        <w:spacing w:after="0"/>
        <w:tabs>
          <w:tab w:leader="none" w:pos="600" w:val="left"/>
        </w:tabs>
        <w:numPr>
          <w:ilvl w:val="0"/>
          <w:numId w:val="46"/>
        </w:numPr>
        <w:rPr>
          <w:rFonts w:ascii="Arial" w:cs="Arial" w:eastAsia="Arial" w:hAnsi="Arial"/>
          <w:sz w:val="21"/>
          <w:szCs w:val="21"/>
          <w:color w:val="auto"/>
          <w:vertAlign w:val="superscript"/>
        </w:rPr>
      </w:pPr>
      <w:r>
        <w:rPr>
          <w:rFonts w:ascii="Arial" w:cs="Arial" w:eastAsia="Arial" w:hAnsi="Arial"/>
          <w:sz w:val="16"/>
          <w:szCs w:val="16"/>
          <w:color w:val="auto"/>
        </w:rPr>
        <w:t>Certain prior year amounts have been reclassified to conform to the current year's presentation</w:t>
      </w:r>
    </w:p>
    <w:p>
      <w:pPr>
        <w:spacing w:after="0" w:line="2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Research and development expenses in 2020 included $85.0 million in aggregate up-front payments made in connection with our collaboration agreement with Intellia. Research and development expenses in 2019 included a $400.0 million up-front payment to Alnylam. See Part I, Item 1. "Collaboration, License, and Other Agreements" for further information. Research and development expenses in 2020 also included costs in connection with investigating the use of REGEN-COV and Kevzara for COVID-19. Research and development expenses included non-cash compensation expense of $238.6 million, $250.4 million, and $229.0 million in 2020, 2019, and 2018, respectively.</w:t>
      </w:r>
    </w:p>
    <w:p>
      <w:pPr>
        <w:spacing w:after="0" w:line="1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numerous uncertainties associated with drug development, including uncertainties related to safety and efficacy data from each phase of drug development, uncertainties related to the enrollment and performance of clinical trials, changes in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3" w:name="page84"/>
    <w:bookmarkEnd w:id="8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regulatory requirements, changes in the competitive landscape affecting a product candidate, and other risks and uncertainties described in Part I, Item 1A. "Risk Factors" (including those relating to the disruptions caused by the COVID-19 pandemic). There is also variability in the duration and costs necessary to develop a pharmaceutical product, potential opportunities and/or uncertainties related to future indications to be studied, and the estimated cost and scope of the projects. The lengthy process of seeking FDA and other applicable approvals, and subsequent compliance with applicable statutes and regulations, require the expenditure of substantial resources. Any failure by us to obtain, or delay in obtaining, regulatory approvals could materially adversely affect our business. We are unable to reasonably estimate if our product candidates in clinical development will generate material product revenues and net cash inflows.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5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Selling, general, and administrative expenses increased in 2020, compared to 2019, primarily due to higher headcount-related costs, an increase in commercialization-related expenses for EYLEA and Libtayo, higher contributions to independent not-for-profit patient assistance organizations, and, effective April 1, 2020, no longer receiving Praluent-related cost reimbursements from Sanofi for Regeneron-incurred expenses. These increases were largely offset by a reversal of accruals for litigation-related loss contingencies as a result of the October 2020 ruling by the Technical Board of Appeal of the EPO and its impact on certain patent infringement actions in Europe relating to Praluent (see Note 15 to our Consolidated Financial Statements for additional details). In addition, in 2019, we recorded a $35.2 million charge related to employee separation costs, as the Company eliminated certain commercialization activities and related headcount in connection with the restructuring of the antibody agreement with Sanofi (as described in Part I, Item</w:t>
      </w:r>
    </w:p>
    <w:p>
      <w:pPr>
        <w:spacing w:after="0" w:line="2" w:lineRule="exact"/>
        <w:rPr>
          <w:sz w:val="20"/>
          <w:szCs w:val="20"/>
          <w:color w:val="auto"/>
        </w:rPr>
      </w:pPr>
    </w:p>
    <w:p>
      <w:pPr>
        <w:ind w:firstLine="8"/>
        <w:spacing w:after="0" w:line="260" w:lineRule="auto"/>
        <w:tabs>
          <w:tab w:leader="none" w:pos="201"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"Business - Collaboration, License, and Other Agreements - </w:t>
      </w:r>
      <w:r>
        <w:rPr>
          <w:rFonts w:ascii="Arial" w:cs="Arial" w:eastAsia="Arial" w:hAnsi="Arial"/>
          <w:sz w:val="18"/>
          <w:szCs w:val="18"/>
          <w:i w:val="1"/>
          <w:iCs w:val="1"/>
          <w:color w:val="auto"/>
        </w:rPr>
        <w:t>Sanofi</w:t>
      </w:r>
      <w:r>
        <w:rPr>
          <w:rFonts w:ascii="Arial" w:cs="Arial" w:eastAsia="Arial" w:hAnsi="Arial"/>
          <w:sz w:val="18"/>
          <w:szCs w:val="18"/>
          <w:color w:val="auto"/>
        </w:rPr>
        <w:t xml:space="preserve"> - </w:t>
      </w:r>
      <w:r>
        <w:rPr>
          <w:rFonts w:ascii="Arial" w:cs="Arial" w:eastAsia="Arial" w:hAnsi="Arial"/>
          <w:sz w:val="18"/>
          <w:szCs w:val="18"/>
          <w:i w:val="1"/>
          <w:iCs w:val="1"/>
          <w:color w:val="auto"/>
        </w:rPr>
        <w:t>Antibody</w:t>
      </w:r>
      <w:r>
        <w:rPr>
          <w:rFonts w:ascii="Arial" w:cs="Arial" w:eastAsia="Arial" w:hAnsi="Arial"/>
          <w:sz w:val="18"/>
          <w:szCs w:val="18"/>
          <w:color w:val="auto"/>
        </w:rPr>
        <w:t>"). Selling, general, and administrative expenses also included $153.0 million, $167.7 million, and $169.2 million of non-cash compensation expense in 2020, 2019, and 2018,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goods sold increased in 2020, compared to 2019, primarily due to the recognition of manufacturing costs in connection with the initiation of product sales of REGEN-COV (which commenced in the third quarter of 2020) and Praluent in the United States (which were recorded by Sanofi prior to April 1, 2020), as well as higher product sales of Libtayo and EYLEA in the United States. These increases were partly offset by lower period costs for our Limerick commercial manufacturing facility. In addition, Cost of goods sold for the years ended December 31, 2020 and 2019 included inventory write-downs and reserves totaling $39.2 million and $73.8 million,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Collaboration and Contract Manufacturing</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Cost of collaboration and contract manufacturing in 2020, compared to 2019, was primarily due to the recognition of manufacturing costs associated with higher sales of Dupixent and recognition of costs in connection with manufacturing ex-U.S. commercial supplies of Praluent for Sanofi. In addition, Cost of collaboration and contract manufacturing increased in 2020, compared to 2019, due to process validation costs in connection with manufacturing Inmazeb under our BARDA agreement.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(Income) Expense</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Other operating (income) expense, net, includes recognition of a portion of amounts previously deferred in connection with up-front and development milestone payments, as applicable, received in connection with Sanofi IO, Teva, and MTPC collaborative arrangements. In these arrangements, we satisfy our obligation(s) during the development phase over time, and, as a result, recognize amounts initially deferred over time using an input method on the basis of our research and development costs incurred relative to the total expected cost which determines the extent of our progress toward completion. See the Critical Accounting Policies and Use of Estimates section above for further details.</w:t>
      </w:r>
    </w:p>
    <w:p>
      <w:pPr>
        <w:spacing w:after="0" w:line="10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2020, we updated our estimate of the total research and development costs expected to be incurred (which resulted in changes to the estimate of the stage of completion) in connection with the aforementioned collaboration agreements, and therefore recorded cumulative catch-up adjustments of $99.8 million, net, as an increase to other operating income. During 2018, we updated our estimate of the total research and development costs expected to be incurred for the Sanofi IO Collaboration, including in connection with the termination of the 2015 IO Discovery Agreement, and, as result, a cumulative catch-up adjustment of $135.0 million was recorded as an increase to other operating income.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(expense), net, in 2020, compared to 2019, was positively impacted by the recognition of unrealized and realized gains on marketable securities. Other income (expense), net, in 2020, compared to 2019, was negatively impacted by a decrease in interest income earned on available-for-sale debt securities primarily due to lower interest rates. In addition, interest expense in 2020, compared to 2019, increased as a result of the 2020 bridge loan facility and issuance of senior notes (as described below).</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4" w:name="page85"/>
    <w:bookmarkEnd w:id="8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1" w:lineRule="exact"/>
        <w:rPr>
          <w:sz w:val="20"/>
          <w:szCs w:val="20"/>
          <w:color w:val="auto"/>
        </w:rPr>
      </w:pPr>
    </w:p>
    <w:tbl>
      <w:tblPr>
        <w:tblLayout w:type="fixed"/>
        <w:tblInd w:w="178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00" w:type="dxa"/>
            <w:vAlign w:val="bottom"/>
            <w:tcBorders>
              <w:bottom w:val="single" w:sz="8" w:color="auto"/>
            </w:tcBorders>
          </w:tcPr>
          <w:p>
            <w:pPr>
              <w:spacing w:after="0"/>
              <w:rPr>
                <w:sz w:val="20"/>
                <w:szCs w:val="20"/>
                <w:color w:val="auto"/>
              </w:rPr>
            </w:pPr>
          </w:p>
        </w:tc>
      </w:tr>
      <w:tr>
        <w:trPr>
          <w:trHeight w:val="223"/>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i w:val="1"/>
                <w:iCs w:val="1"/>
                <w:color w:val="auto"/>
              </w:rPr>
              <w:t>(In millions, except effective tax rate)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2018</w:t>
            </w: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109.1</w:t>
            </w: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24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4.3%</w:t>
            </w:r>
          </w:p>
        </w:tc>
      </w:tr>
    </w:tbl>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effective tax rate for 2020 was positively impacted, compared to the U.S. federal statutory rate, primarily by stock-based compensation, and, to a lesser extent, federal tax credits for research activities and income earned in foreign jurisdictions with tax rates lower than the U.S. federal statutory rate. Our effective tax rate for 2019 was positively impacted, compared to the U.S. federal statutory rate, primarily by federal tax credits for research activities, stock-based compensation, and the foreign-derived intangible income deduction. Our effective tax rate for 2018 was positively impacted, compared to the U.S. federal statutory rate, primarily by the sale of non-inventory related assets between foreign subsidiaries (for which we recorded a $162.1 million net income tax benefit), and, to a lesser extent, the federal tax credit for research activities, stock-based compensation, income earned in foreign jurisdictions with tax rates lower than the U.S. federal statutory rate, and tax planning in connection with the bill known as the "Tax Cuts and Jobs Act". During 2018, we also recorded an income tax benefit of $68.0 million as a final adjustment to the provisional amount recorded as of December 31, 2017 in connection with the Tax Cuts and Jobs Act.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Our financial condition is summarized as follows:</w:t>
      </w:r>
    </w:p>
    <w:p>
      <w:pPr>
        <w:spacing w:after="0" w:line="275" w:lineRule="exact"/>
        <w:rPr>
          <w:sz w:val="20"/>
          <w:szCs w:val="20"/>
          <w:color w:val="auto"/>
        </w:rPr>
      </w:pPr>
    </w:p>
    <w:tbl>
      <w:tblPr>
        <w:tblLayout w:type="fixed"/>
        <w:tblInd w:w="188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5"/>
          </w:tcPr>
          <w:p>
            <w:pPr>
              <w:ind w:left="240"/>
              <w:spacing w:after="0"/>
              <w:rPr>
                <w:sz w:val="20"/>
                <w:szCs w:val="20"/>
                <w:color w:val="auto"/>
              </w:rPr>
            </w:pPr>
            <w:r>
              <w:rPr>
                <w:rFonts w:ascii="Arial" w:cs="Arial" w:eastAsia="Arial" w:hAnsi="Arial"/>
                <w:sz w:val="18"/>
                <w:szCs w:val="18"/>
                <w:b w:val="1"/>
                <w:bCs w:val="1"/>
                <w:color w:val="auto"/>
              </w:rPr>
              <w:t>As of December 31,</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23"/>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6"/>
              </w:rPr>
              <w:t>$ Change</w:t>
            </w:r>
          </w:p>
        </w:tc>
      </w:tr>
      <w:tr>
        <w:trPr>
          <w:trHeight w:val="20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assets: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364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2,193.7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1,617.8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575.9</w:t>
            </w:r>
          </w:p>
        </w:tc>
      </w:tr>
      <w:tr>
        <w:trPr>
          <w:trHeight w:val="230"/>
        </w:trPr>
        <w:tc>
          <w:tcPr>
            <w:tcW w:w="3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Marketable securities - current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w:t>
            </w:r>
          </w:p>
        </w:tc>
      </w:tr>
      <w:tr>
        <w:trPr>
          <w:trHeight w:val="229"/>
        </w:trPr>
        <w:tc>
          <w:tcPr>
            <w:tcW w:w="36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Marketable securities - noncurrent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3,135.6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3,256.8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w:t>
            </w:r>
          </w:p>
        </w:tc>
      </w:tr>
      <w:tr>
        <w:trPr>
          <w:trHeight w:val="248"/>
        </w:trPr>
        <w:tc>
          <w:tcPr>
            <w:tcW w:w="36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3640" w:type="dxa"/>
            <w:vAlign w:val="bottom"/>
          </w:tcPr>
          <w:p>
            <w:pPr>
              <w:ind w:left="220"/>
              <w:spacing w:after="0"/>
              <w:rPr>
                <w:sz w:val="20"/>
                <w:szCs w:val="20"/>
                <w:color w:val="auto"/>
              </w:rPr>
            </w:pPr>
            <w:r>
              <w:rPr>
                <w:rFonts w:ascii="Arial" w:cs="Arial" w:eastAsia="Arial" w:hAnsi="Arial"/>
                <w:sz w:val="18"/>
                <w:szCs w:val="18"/>
                <w:color w:val="auto"/>
              </w:rPr>
              <w:t>Long-term debt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1,978.5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1,978.5</w:t>
            </w:r>
          </w:p>
        </w:tc>
      </w:tr>
      <w:tr>
        <w:trPr>
          <w:trHeight w:val="162"/>
        </w:trPr>
        <w:tc>
          <w:tcPr>
            <w:tcW w:w="3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3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assets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2,090.0</w:t>
            </w:r>
          </w:p>
        </w:tc>
      </w:tr>
      <w:tr>
        <w:trPr>
          <w:trHeight w:val="230"/>
        </w:trPr>
        <w:tc>
          <w:tcPr>
            <w:tcW w:w="36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2,697.4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600.8</w:t>
            </w:r>
          </w:p>
        </w:tc>
      </w:tr>
      <w:tr>
        <w:trPr>
          <w:trHeight w:val="248"/>
        </w:trPr>
        <w:tc>
          <w:tcPr>
            <w:tcW w:w="36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1,489.2</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2020, we also had borrowing availability of $750.0 million under a revolving credit facility (see further description under "</w:t>
      </w:r>
      <w:r>
        <w:rPr>
          <w:rFonts w:ascii="Arial" w:cs="Arial" w:eastAsia="Arial" w:hAnsi="Arial"/>
          <w:sz w:val="18"/>
          <w:szCs w:val="18"/>
          <w:i w:val="1"/>
          <w:iCs w:val="1"/>
          <w:color w:val="auto"/>
        </w:rPr>
        <w:t>Credit</w:t>
      </w:r>
      <w:r>
        <w:rPr>
          <w:rFonts w:ascii="Arial" w:cs="Arial" w:eastAsia="Arial" w:hAnsi="Arial"/>
          <w:sz w:val="18"/>
          <w:szCs w:val="18"/>
          <w:color w:val="auto"/>
        </w:rPr>
        <w:t xml:space="preserve"> </w:t>
      </w:r>
      <w:r>
        <w:rPr>
          <w:rFonts w:ascii="Arial" w:cs="Arial" w:eastAsia="Arial" w:hAnsi="Arial"/>
          <w:sz w:val="18"/>
          <w:szCs w:val="18"/>
          <w:i w:val="1"/>
          <w:iCs w:val="1"/>
          <w:color w:val="auto"/>
        </w:rPr>
        <w:t>Facility</w:t>
      </w:r>
      <w:r>
        <w:rPr>
          <w:rFonts w:ascii="Arial" w:cs="Arial" w:eastAsia="Arial" w:hAnsi="Arial"/>
          <w:sz w:val="18"/>
          <w:szCs w:val="18"/>
          <w:color w:val="auto"/>
        </w:rPr>
        <w:t>" below).</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 for the Years Ended December 31, 2020, 2019, and 2018</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As of December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 Change</w:t>
            </w:r>
          </w:p>
        </w:tc>
        <w:tc>
          <w:tcPr>
            <w:tcW w:w="7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r>
      <w:tr>
        <w:trPr>
          <w:trHeight w:val="223"/>
        </w:trPr>
        <w:tc>
          <w:tcPr>
            <w:tcW w:w="30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122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2020 vs. 2019</w:t>
            </w: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w w:val="92"/>
              </w:rPr>
              <w:t>2019 vs. 2018</w:t>
            </w:r>
          </w:p>
        </w:tc>
        <w:tc>
          <w:tcPr>
            <w:tcW w:w="280" w:type="dxa"/>
            <w:vAlign w:val="bottom"/>
          </w:tcPr>
          <w:p>
            <w:pPr>
              <w:spacing w:after="0"/>
              <w:rPr>
                <w:sz w:val="19"/>
                <w:szCs w:val="19"/>
                <w:color w:val="auto"/>
              </w:rPr>
            </w:pPr>
          </w:p>
        </w:tc>
      </w:tr>
      <w:tr>
        <w:trPr>
          <w:trHeight w:val="223"/>
        </w:trPr>
        <w:tc>
          <w:tcPr>
            <w:tcW w:w="300" w:type="dxa"/>
            <w:vAlign w:val="bottom"/>
          </w:tcPr>
          <w:p>
            <w:pPr>
              <w:spacing w:after="0"/>
              <w:rPr>
                <w:sz w:val="19"/>
                <w:szCs w:val="19"/>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provided by operating activities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color w:val="auto"/>
                <w:w w:val="88"/>
              </w:rPr>
              <w:t>234.9</w:t>
            </w:r>
          </w:p>
        </w:tc>
        <w:tc>
          <w:tcPr>
            <w:tcW w:w="280" w:type="dxa"/>
            <w:vAlign w:val="bottom"/>
          </w:tcPr>
          <w:p>
            <w:pPr>
              <w:spacing w:after="0"/>
              <w:rPr>
                <w:sz w:val="19"/>
                <w:szCs w:val="19"/>
                <w:color w:val="auto"/>
              </w:rPr>
            </w:pPr>
          </w:p>
        </w:tc>
      </w:tr>
      <w:tr>
        <w:trPr>
          <w:trHeight w:val="230"/>
        </w:trPr>
        <w:tc>
          <w:tcPr>
            <w:tcW w:w="30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Cash flows used in investing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(2,027.8)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(1,463.0)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1,957.2</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700" w:type="dxa"/>
            <w:vAlign w:val="bottom"/>
          </w:tcPr>
          <w:p>
            <w:pPr>
              <w:jc w:val="center"/>
              <w:ind w:left="10"/>
              <w:spacing w:after="0"/>
              <w:rPr>
                <w:sz w:val="20"/>
                <w:szCs w:val="20"/>
                <w:color w:val="auto"/>
              </w:rPr>
            </w:pPr>
            <w:r>
              <w:rPr>
                <w:rFonts w:ascii="Arial" w:cs="Arial" w:eastAsia="Arial" w:hAnsi="Arial"/>
                <w:sz w:val="18"/>
                <w:szCs w:val="18"/>
                <w:color w:val="auto"/>
                <w:w w:val="91"/>
              </w:rPr>
              <w:t>(564.8)</w:t>
            </w:r>
          </w:p>
        </w:tc>
        <w:tc>
          <w:tcPr>
            <w:tcW w:w="280" w:type="dxa"/>
            <w:vAlign w:val="bottom"/>
          </w:tcPr>
          <w:p>
            <w:pPr>
              <w:spacing w:after="0"/>
              <w:rPr>
                <w:sz w:val="19"/>
                <w:szCs w:val="19"/>
                <w:color w:val="auto"/>
              </w:rPr>
            </w:pPr>
          </w:p>
        </w:tc>
      </w:tr>
      <w:tr>
        <w:trPr>
          <w:trHeight w:val="229"/>
        </w:trPr>
        <w:tc>
          <w:tcPr>
            <w:tcW w:w="300" w:type="dxa"/>
            <w:vAlign w:val="bottom"/>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in financing activities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(175.0)</w:t>
            </w:r>
          </w:p>
        </w:tc>
        <w:tc>
          <w:tcPr>
            <w:tcW w:w="280" w:type="dxa"/>
            <w:vAlign w:val="bottom"/>
          </w:tcPr>
          <w:p>
            <w:pPr>
              <w:spacing w:after="0"/>
              <w:rPr>
                <w:sz w:val="19"/>
                <w:szCs w:val="19"/>
                <w:color w:val="auto"/>
              </w:rPr>
            </w:pPr>
          </w:p>
        </w:tc>
      </w:tr>
      <w:tr>
        <w:trPr>
          <w:trHeight w:val="797"/>
        </w:trPr>
        <w:tc>
          <w:tcPr>
            <w:tcW w:w="3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58"/>
        </w:trPr>
        <w:tc>
          <w:tcPr>
            <w:tcW w:w="30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5" w:name="page86"/>
    <w:bookmarkEnd w:id="8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2020</w:t>
      </w:r>
    </w:p>
    <w:p>
      <w:pPr>
        <w:spacing w:after="0" w:line="1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net income of $3.513 billion in 2020 included net unrealized gains on equity securities (included in other non-cash items) of $196.0 million. As of December 31, 2020, trade, Sanofi, and other accounts receivables increased by $1.356 billion, compared to December 31, 2019, partly as a result of extending payment terms to certain of our EYLEA customers due to the COVID-19 pandemic. Inventories increased as of December 31, 2020, compared to December 31, 2019, partially as a result of purchasing additional raw materials in anticipation of potential disruptions to our supply chain due to the COVID-19 pandemic. Deferred taxes as of December 31, 2020 decreased by $75.6 million, compared to December 31, 2019, primarily due to non-cash compensation expense and unrealized gains (net) on equity securities as described above.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2019</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Our net income of $2.116 billion in 2019 was negatively impacted by an up-front payment of $400.0 million made to Alnylam pursuant to our collaboration agreement. Our net income in 2019 was impacted by several non-cash items, including unrealized gains (net) on equity securities and inventory write-downs and reserves (see "Results of Operations" above), as well as the impact of Sanofi satisfying its Libtayo development funding obligation in shares of Regeneron stock (see "Sanofi Funding of Certain Development Costs" below). Deferred taxes as of December 31, 2019 increased by $130.6 million, compared to December 31, 2018, primarily due to the tax treatment of the up-front payment made to Alnylam and non-cash compensation expense. Other liabilities as of December 31, 2019 increased compared to December 31, 2018 partially due to the impact of the receipt of a $461.9 million payment from Sanofi in connection with the termination of the 2015 IO Discovery Agreement (as described in Part I, Item 1. "Collaboration Agreements - </w:t>
      </w:r>
      <w:r>
        <w:rPr>
          <w:rFonts w:ascii="Arial" w:cs="Arial" w:eastAsia="Arial" w:hAnsi="Arial"/>
          <w:sz w:val="18"/>
          <w:szCs w:val="18"/>
          <w:i w:val="1"/>
          <w:iCs w:val="1"/>
          <w:color w:val="auto"/>
        </w:rPr>
        <w:t>Collaborations with Sanofi - Immuno-Oncology</w:t>
      </w:r>
      <w:r>
        <w:rPr>
          <w:rFonts w:ascii="Arial" w:cs="Arial" w:eastAsia="Arial" w:hAnsi="Arial"/>
          <w:sz w:val="18"/>
          <w:szCs w:val="18"/>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2018</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net income of $2.444 billion in 2018 included the cumulative catch-up adjustments of $135.0 million recorded to other operating income primarily in connection with the termination of the 2015 IO Discovery Agreement and other non-cash items, including $75.8 million in connection with Sanofi satisfying its Libtayo development funding obligation in shares of Regeneron stock and $41.9 million related to unrealized losses (net) on equity securities. Deferred tax assets as of December 31, 2018 increased by $140.0 million, compared to December 31, 2017, primarily due to the impact of the Company's sale of non-inventory related assets between foreign subsidiaries.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Sales of marketable securities in 2020 included proceeds from such sales to fund a portion of our stock repurchase from Sanofi (as described below). In 2019, we purchased $400.0 million of Alnylam common stock in connection with entering into the collaboration agreement. Capital expenditures in 2020 included costs associated with (i) the expansion of our manufacturing facilities in Rensselaer, New York and Limerick, Ireland, including construction of a fill/finish facility and related equipment, and (ii) laboratory expansion and renovations at our Tarrytown, New York facilities. We expect to incur capital expenditures of $600 million to $680 million in 2021 primarily in connection with the continued expansion of our manufacturing facilities, including the fill/finish facility and equipment, and the expansion of our research facilities.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2020, we purchased shares of our Common Stock from Sanofi, a portion of which was funded with the proceeds from a $1.5 billion senior unsecured 364-day bridge loan facility. See additional information under "</w:t>
      </w:r>
      <w:r>
        <w:rPr>
          <w:rFonts w:ascii="Arial" w:cs="Arial" w:eastAsia="Arial" w:hAnsi="Arial"/>
          <w:sz w:val="17"/>
          <w:szCs w:val="17"/>
          <w:i w:val="1"/>
          <w:iCs w:val="1"/>
          <w:color w:val="auto"/>
        </w:rPr>
        <w:t>Secondary Offering and Purchase of Regeneron Common Stock Held by Sanofi</w:t>
      </w:r>
      <w:r>
        <w:rPr>
          <w:rFonts w:ascii="Arial" w:cs="Arial" w:eastAsia="Arial" w:hAnsi="Arial"/>
          <w:sz w:val="17"/>
          <w:szCs w:val="17"/>
          <w:color w:val="auto"/>
        </w:rPr>
        <w:t>" below. During 2020 and 2019, we also repurchased shares of our Common Stock under our share repurchase program (see "</w:t>
      </w:r>
      <w:r>
        <w:rPr>
          <w:rFonts w:ascii="Arial" w:cs="Arial" w:eastAsia="Arial" w:hAnsi="Arial"/>
          <w:sz w:val="17"/>
          <w:szCs w:val="17"/>
          <w:i w:val="1"/>
          <w:iCs w:val="1"/>
          <w:color w:val="auto"/>
        </w:rPr>
        <w:t>Share Repurchase Program</w:t>
      </w:r>
      <w:r>
        <w:rPr>
          <w:rFonts w:ascii="Arial" w:cs="Arial" w:eastAsia="Arial" w:hAnsi="Arial"/>
          <w:sz w:val="17"/>
          <w:szCs w:val="17"/>
          <w:color w:val="auto"/>
        </w:rPr>
        <w:t>" below). During 2020, we issued and sold $2.0 billion aggregate principal amount of senior unsecured notes and used a portion of the net proceeds to repay in full the bridge loan facility. See additional information under "</w:t>
      </w:r>
      <w:r>
        <w:rPr>
          <w:rFonts w:ascii="Arial" w:cs="Arial" w:eastAsia="Arial" w:hAnsi="Arial"/>
          <w:sz w:val="17"/>
          <w:szCs w:val="17"/>
          <w:i w:val="1"/>
          <w:iCs w:val="1"/>
          <w:color w:val="auto"/>
        </w:rPr>
        <w:t>Issuance of Senior Notes</w:t>
      </w:r>
      <w:r>
        <w:rPr>
          <w:rFonts w:ascii="Arial" w:cs="Arial" w:eastAsia="Arial" w:hAnsi="Arial"/>
          <w:sz w:val="17"/>
          <w:szCs w:val="17"/>
          <w:color w:val="auto"/>
        </w:rPr>
        <w:t>" below.</w:t>
      </w:r>
    </w:p>
    <w:p>
      <w:pPr>
        <w:spacing w:after="0" w:line="1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Proceeds from issuances of Common Stock, in connection with exercises of employee stock options, were $2.575 billion during 2020, compared to $211.8 million during 2019 and $114.5 million during 2018.</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2018, we entered into an agreement with a syndicate of lenders (the "Credit Agreement") which provides for a $750.0 million senior unsecured five-year revolving credit facility (the "Credit Facility"), and contemporaneously terminated our then-existing credit agreement (the "Prior Credit Agreement"). The Credit Agreement was entered into on terms substantially similar to those of the Prior Credit Agreement. No borrowings were outstanding under the Prior Credit Agreement at the time of its termination.</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6" w:name="page87"/>
    <w:bookmarkEnd w:id="8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Credit Agreement includes an option for us to elect to increase the commitments under the Credit Facility and/or to enter into one or more tranches of term loans in the aggregate principal amount of up to $250.0 million, subject to the consent of the lenders providing the additional commitments or term loans, as applicable, and certain other conditions. Proceeds of the loans under the Credit Facility may be used to finance working capital needs, and for general corporate or other lawful purposes, of Regeneron and its subsidiaries. The Credit Agreement also provides a $50.0 million sublimit for letters of credit. The Credit Agreement includes an option for us to elect to extend the maturity date of the Credit Facility beyond December 2023, subject to the consent of the extending lenders and certain other conditions. Amounts borrowed under the Credit Facility may be prepaid, and the commitments under the Credit Facility may be terminated, at any time without premium or penalty. We had no borrowings outstanding under the Credit Facility as of December 31, 2020.</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Credit Agreement contains financial and operating covenants. Financial covenants include a maximum total leverage ratio and a minimum interest expense coverage ratio. We were in compliance with all covenants of the Credit Facility as of December 31, 2020.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November 2019, our board of directors authorized a share repurchase program to repurchase up to $1.0 billion of our Common Stock. The share repurchase program permitted the Company to effect repurchases through a variety of methods, including open-market transactions (including pursuant to a trading plan adopted in accordance with Rule 10b5-1 of the Exchange Act), privately negotiated transactions, accelerated share repurchases, block trades, and other transactions in compliance with Rule 10b-18 of the Exchange Act. During 2020 and 2019, we repurchased 1,605,582 and 722,596 shares of our Common Stock, respectively, under the program and recorded the cost of the shares received, or $746.0 million and $254.0 million, respectively, as Treasury Stock. As of December 31, 2020, the Company had repurchased the entire $1.0 billion of its Common Stock that it was authorized to repurchase under the program.</w:t>
      </w:r>
    </w:p>
    <w:p>
      <w:pPr>
        <w:spacing w:after="0" w:line="15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January 2021, our board of directors authorized a new share repurchase program to repurchase up to $1.5 billion of our Common Stock. The share repurchase program was approved under terms substantially similar to the November 2019 share repurchase program described above.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Sanofi Funding of Certain Development Costs</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As described in Part I, Item 1. "Collaboration, License, and Other Agreements - </w:t>
      </w:r>
      <w:r>
        <w:rPr>
          <w:rFonts w:ascii="Arial" w:cs="Arial" w:eastAsia="Arial" w:hAnsi="Arial"/>
          <w:sz w:val="18"/>
          <w:szCs w:val="18"/>
          <w:i w:val="1"/>
          <w:iCs w:val="1"/>
          <w:color w:val="auto"/>
        </w:rPr>
        <w:t>Sanofi</w:t>
      </w:r>
      <w:r>
        <w:rPr>
          <w:rFonts w:ascii="Arial" w:cs="Arial" w:eastAsia="Arial" w:hAnsi="Arial"/>
          <w:sz w:val="18"/>
          <w:szCs w:val="18"/>
          <w:color w:val="auto"/>
        </w:rPr>
        <w:t>," effective January 7, 2018, we agreed to allow Sanofi to satisfy in whole or in part its funding obligations with respect to Libtayo development and/or Dupilumab/Itepekimab Eligible Investments incurred in periods through September 30, 2020 by selling shares of our Common Stock directly or indirectly owned by Sanofi. During 2020, Sanofi elected to sell, and we elected to purchase (by issuing a credit towards the amount owed by Sanofi), 77,677 shares of the Company's Common Stock to satisfy Sanofi's funding obligation related to Libtayo development costs. Consequently, we recorded $41.7 million related to the shares received as Treasury Stock during 2020. In addition, during 2020, Sanofi elected to sell, and we elected to purchase (in cash), 171,471 shares of the Company's Common Stock in connection with Sanofi's funding obligation for Dupilumab/Itepekimab Eligible Investments. Consequently, we recorded the cost of the shares received, or $93.3 million, as Treasury Stock during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Secondary Offering and Purchase of Regeneron Common Stock Held by Sanofi</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As described in Part I, Item 1. "Collaboration, License, and Other Agreements - </w:t>
      </w:r>
      <w:r>
        <w:rPr>
          <w:rFonts w:ascii="Arial" w:cs="Arial" w:eastAsia="Arial" w:hAnsi="Arial"/>
          <w:sz w:val="18"/>
          <w:szCs w:val="18"/>
          <w:i w:val="1"/>
          <w:iCs w:val="1"/>
          <w:color w:val="auto"/>
        </w:rPr>
        <w:t>Sanofi</w:t>
      </w:r>
      <w:r>
        <w:rPr>
          <w:rFonts w:ascii="Arial" w:cs="Arial" w:eastAsia="Arial" w:hAnsi="Arial"/>
          <w:sz w:val="18"/>
          <w:szCs w:val="18"/>
          <w:color w:val="auto"/>
        </w:rPr>
        <w:t>," in May 2020, a secondary offering of 13,014,646 shares of our Common Stock (the "Secondary Offering") held by Sanofi was completed. In connection with the Secondary Offering, we also purchased 9,806,805 shares of our Common Stock directly from Sanofi for an aggregate purchase amount of $5 billion (the "Stock Purchase"). As a result of the Secondary Offering and the Stock Purchase, Sanofi disposed of all of its shares of our Common Stock, other than 400,000 shares that it retained as of the closing of the Secondary Offering and the Stock Purchase (which Sanofi was able to use for the funding of certain Libtayo development costs and/or Dupilumab/Itepekimab Eligible Investments as described above).</w:t>
      </w:r>
    </w:p>
    <w:p>
      <w:pPr>
        <w:spacing w:after="0" w:line="1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funded the Stock Purchase with a combination of cash on hand, proceeds from the sale of marketable securities, and proceeds from loans under a $1.5 billion senior unsecured 364-day bridge loan facility (the "Bridge Facility") which was entered into in May 2020. The loans under the Bridge Facility bore interest at a variable interest rate based on either LIBOR or the alternate base rate, plus an applicable margin that varied with our debt rating and total leverage ratio. As described below, the Bridge Facility was repaid in August 2020 following the issuance and sale of the Company's senior unsecured notes.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Senior Notes</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August 2020, we issued and sold $1.250 billion aggregate principal amount of senior unsecured notes due 2030 (the "2030 Notes") and $750 million aggregate principal amount of senior unsecured notes due 2050 (the "2050 Notes" and, together with the 2030 Notes, the "Notes"). Net proceeds from the issuance and sale of the Notes (after deducting underwriting discounts and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7" w:name="page88"/>
    <w:bookmarkEnd w:id="8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offering expenses) were used in part to repay in full the Bridge Facility described above, including accrued interest and related fees and expenses in connection therewith.</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2030 Notes accrue interest at the rate of 1.750% per year and will mature on September 15, 2030. The 2050 Notes accrue interest at the rate of 2.800% per year and will mature on September 15, 2050. Interest on each series of Notes is payable semi-annually in arrears on March 15 and September 15 of each year, commencing on March 15, 2021, until their respective maturity dates.</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Notes may be redeemed at the Company’s option at any time at 100% of the principal amount plus accrued and unpaid interest, and, until a specified period before maturity, a specified make-whole amount. The Notes contain a change-of-control provision that, under certain circumstances, may require the Company to offer to repurchase the Notes at a price equal to 101% of the principal amount plus accrued and unpaid interest.</w:t>
      </w:r>
    </w:p>
    <w:p>
      <w:pPr>
        <w:spacing w:after="0" w:line="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Notes also contain certain limitations on the Company’s ability to incur liens and enter into sale and leaseback transactions, as well as customary events of default.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Tarrytown, New York Leases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lease laboratory and office facilities in Tarrytown, New York (the "Facility"). In 2016, we entered into a Purchase Agreement with the then lessor, pursuant to which we agreed to purchase the Facility for a purchase price of $720.0 million. In March 2017, we entered into a Participation Agreement with Banc of America Leasing &amp; Capital LLC ("BAL"), as lessor, and a syndicate of lenders (collectively, the "Lease Participants"), which provided for lease financing in connection with the acquisition by BAL of the Facility and our lease of the Facility from BAL. In March 2017, we assigned our right to take title to the Facility under the Purchase Agreement to BAL, and the Lease Participants advanced $720.0 million, which was used by BAL to finance the purchase price for the Facility.</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Concurrent with entering into the Participation Agreement, we also entered into a lease agreement (the "Lease") for the Facility with BAL for a five-year term ending in March 2022. The Lease requires us to pay all maintenance, insurance, taxes, and other costs arising out of the use of the Facility. We are also required to make monthly payments of basic rent during the term of the Lease in an amount equal to a variable rate per annum based on the one-month LIBOR, plus an applicable margin that varies with our debt rating and total leverage ratio.</w:t>
      </w:r>
    </w:p>
    <w:p>
      <w:pPr>
        <w:spacing w:after="0" w:line="10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Participation Agreement and the Lease include an option for us to elect to extend the maturity date of the Participation Agreement and the term of the Lease for an additional five-year period, subject to the consent of all the Lease Participants and certain other conditions. We also have the option prior to the end of the term of the Lease to (a) purchase the Facility by paying an amount equal to the outstanding principal amount of the Lease Participants' advances under the Participation Agreement, all accrued and unpaid interest and yield thereon, and all other outstanding amounts under the Participation Agreement, the Lease, and certain related documents or (b) sell the Facility to a third party on behalf of BAL. The advances under the Participation Agreement mature, and all amounts outstanding thereunder will become due and payable in full at the end of the term of the Lease.</w:t>
      </w:r>
    </w:p>
    <w:p>
      <w:pPr>
        <w:spacing w:after="0" w:line="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Participation Agreement and the Lease contain financial and operating covenants, which are substantially similar to the covenants set forth in our Credit Facility. We were in compliance with all covenants of the Participation Agreement and the Lease as of December 31, 2020.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amount required to fund operations will depend on various factors, including the potential regulatory approval and commercialization of our product candidates and the timing thereof and the extent and cost of our research and development programs. We believe that our existing capital resources, borrowing availability under the Credit Facility, funds generated by anticipated product sales, and, as described above under Part I, Item 1. "Collaboration, License, and Other Agreements," funding for reimbursement of research and development costs that we are entitled to receive under our collaboration agreements, will enable us to meet our anticipated operating needs for the foreseeable future.</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8" w:name="page89"/>
    <w:bookmarkEnd w:id="8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of December 31, 2020.</w:t>
      </w:r>
    </w:p>
    <w:p>
      <w:pPr>
        <w:spacing w:after="0" w:line="181"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ind w:left="140"/>
              <w:spacing w:after="0"/>
              <w:rPr>
                <w:sz w:val="20"/>
                <w:szCs w:val="20"/>
                <w:color w:val="auto"/>
              </w:rPr>
            </w:pPr>
            <w:r>
              <w:rPr>
                <w:rFonts w:ascii="Arial" w:cs="Arial" w:eastAsia="Arial" w:hAnsi="Arial"/>
                <w:sz w:val="18"/>
                <w:szCs w:val="18"/>
                <w:b w:val="1"/>
                <w:bCs w:val="1"/>
                <w:color w:val="auto"/>
              </w:rPr>
              <w:t>Payments Due by Period</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92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Pr>
          <w:p>
            <w:pPr>
              <w:spacing w:after="0"/>
              <w:rPr>
                <w:sz w:val="14"/>
                <w:szCs w:val="14"/>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Total</w:t>
            </w:r>
          </w:p>
        </w:tc>
        <w:tc>
          <w:tcPr>
            <w:tcW w:w="1260" w:type="dxa"/>
            <w:vAlign w:val="bottom"/>
            <w:gridSpan w:val="3"/>
          </w:tcPr>
          <w:p>
            <w:pPr>
              <w:jc w:val="center"/>
              <w:ind w:right="120"/>
              <w:spacing w:after="0" w:line="169" w:lineRule="exact"/>
              <w:rPr>
                <w:sz w:val="20"/>
                <w:szCs w:val="20"/>
                <w:color w:val="auto"/>
              </w:rPr>
            </w:pPr>
            <w:r>
              <w:rPr>
                <w:rFonts w:ascii="Arial" w:cs="Arial" w:eastAsia="Arial" w:hAnsi="Arial"/>
                <w:sz w:val="18"/>
                <w:szCs w:val="18"/>
                <w:b w:val="1"/>
                <w:bCs w:val="1"/>
                <w:color w:val="auto"/>
                <w:w w:val="87"/>
              </w:rPr>
              <w:t>Less than one</w:t>
            </w:r>
          </w:p>
        </w:tc>
        <w:tc>
          <w:tcPr>
            <w:tcW w:w="100" w:type="dxa"/>
            <w:vAlign w:val="bottom"/>
          </w:tcPr>
          <w:p>
            <w:pPr>
              <w:spacing w:after="0"/>
              <w:rPr>
                <w:sz w:val="14"/>
                <w:szCs w:val="14"/>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1 to 3 years</w:t>
            </w:r>
          </w:p>
        </w:tc>
        <w:tc>
          <w:tcPr>
            <w:tcW w:w="120" w:type="dxa"/>
            <w:vAlign w:val="bottom"/>
          </w:tcPr>
          <w:p>
            <w:pPr>
              <w:spacing w:after="0"/>
              <w:rPr>
                <w:sz w:val="14"/>
                <w:szCs w:val="14"/>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3 to 5 years</w:t>
            </w:r>
          </w:p>
        </w:tc>
        <w:tc>
          <w:tcPr>
            <w:tcW w:w="1160" w:type="dxa"/>
            <w:vAlign w:val="bottom"/>
            <w:gridSpan w:val="2"/>
          </w:tcPr>
          <w:p>
            <w:pPr>
              <w:jc w:val="right"/>
              <w:spacing w:after="0" w:line="169" w:lineRule="exact"/>
              <w:rPr>
                <w:sz w:val="20"/>
                <w:szCs w:val="20"/>
                <w:color w:val="auto"/>
              </w:rPr>
            </w:pPr>
            <w:r>
              <w:rPr>
                <w:rFonts w:ascii="Arial" w:cs="Arial" w:eastAsia="Arial" w:hAnsi="Arial"/>
                <w:sz w:val="18"/>
                <w:szCs w:val="18"/>
                <w:b w:val="1"/>
                <w:bCs w:val="1"/>
                <w:color w:val="auto"/>
                <w:w w:val="98"/>
              </w:rPr>
              <w:t>Greater than</w:t>
            </w:r>
          </w:p>
        </w:tc>
        <w:tc>
          <w:tcPr>
            <w:tcW w:w="0" w:type="dxa"/>
            <w:vAlign w:val="bottom"/>
          </w:tcPr>
          <w:p>
            <w:pPr>
              <w:spacing w:after="0"/>
              <w:rPr>
                <w:sz w:val="1"/>
                <w:szCs w:val="1"/>
                <w:color w:val="auto"/>
              </w:rPr>
            </w:pPr>
          </w:p>
        </w:tc>
      </w:tr>
      <w:tr>
        <w:trPr>
          <w:trHeight w:val="229"/>
        </w:trPr>
        <w:tc>
          <w:tcPr>
            <w:tcW w:w="39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year</w:t>
            </w:r>
          </w:p>
        </w:tc>
        <w:tc>
          <w:tcPr>
            <w:tcW w:w="1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5 years</w:t>
            </w:r>
          </w:p>
        </w:tc>
        <w:tc>
          <w:tcPr>
            <w:tcW w:w="0" w:type="dxa"/>
            <w:vAlign w:val="bottom"/>
          </w:tcPr>
          <w:p>
            <w:pPr>
              <w:spacing w:after="0"/>
              <w:rPr>
                <w:sz w:val="1"/>
                <w:szCs w:val="1"/>
                <w:color w:val="auto"/>
              </w:rPr>
            </w:pPr>
          </w:p>
        </w:tc>
      </w:tr>
      <w:tr>
        <w:trPr>
          <w:trHeight w:val="223"/>
        </w:trPr>
        <w:tc>
          <w:tcPr>
            <w:tcW w:w="392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Purchase and other obligations</w:t>
            </w:r>
            <w:r>
              <w:rPr>
                <w:rFonts w:ascii="Arial" w:cs="Arial" w:eastAsia="Arial" w:hAnsi="Arial"/>
                <w:sz w:val="23"/>
                <w:szCs w:val="23"/>
                <w:color w:val="auto"/>
                <w:vertAlign w:val="superscript"/>
              </w:rPr>
              <w:t>(1)</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line="230" w:lineRule="exact"/>
              <w:rPr>
                <w:sz w:val="20"/>
                <w:szCs w:val="20"/>
                <w:color w:val="auto"/>
              </w:rPr>
            </w:pPr>
            <w:r>
              <w:rPr>
                <w:rFonts w:ascii="Arial" w:cs="Arial" w:eastAsia="Arial" w:hAnsi="Arial"/>
                <w:sz w:val="18"/>
                <w:szCs w:val="18"/>
                <w:color w:val="auto"/>
              </w:rPr>
              <w:t>Operating and finance lease obligations</w:t>
            </w:r>
            <w:r>
              <w:rPr>
                <w:rFonts w:ascii="Arial" w:cs="Arial" w:eastAsia="Arial" w:hAnsi="Arial"/>
                <w:sz w:val="23"/>
                <w:szCs w:val="23"/>
                <w:color w:val="auto"/>
                <w:vertAlign w:val="superscript"/>
              </w:rPr>
              <w:t>(2)</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Long-term debt</w:t>
            </w:r>
            <w:r>
              <w:rPr>
                <w:rFonts w:ascii="Arial" w:cs="Arial" w:eastAsia="Arial" w:hAnsi="Arial"/>
                <w:sz w:val="23"/>
                <w:szCs w:val="23"/>
                <w:color w:val="auto"/>
                <w:vertAlign w:val="superscript"/>
              </w:rPr>
              <w:t>(3)</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2,536.4</w:t>
            </w:r>
          </w:p>
        </w:tc>
        <w:tc>
          <w:tcPr>
            <w:tcW w:w="0" w:type="dxa"/>
            <w:vAlign w:val="bottom"/>
          </w:tcPr>
          <w:p>
            <w:pPr>
              <w:spacing w:after="0"/>
              <w:rPr>
                <w:sz w:val="1"/>
                <w:szCs w:val="1"/>
                <w:color w:val="auto"/>
              </w:rPr>
            </w:pPr>
          </w:p>
        </w:tc>
      </w:tr>
      <w:tr>
        <w:trPr>
          <w:trHeight w:val="223"/>
        </w:trPr>
        <w:tc>
          <w:tcPr>
            <w:tcW w:w="3920" w:type="dxa"/>
            <w:vAlign w:val="bottom"/>
          </w:tcPr>
          <w:p>
            <w:pPr>
              <w:ind w:left="20"/>
              <w:spacing w:after="0"/>
              <w:rPr>
                <w:sz w:val="20"/>
                <w:szCs w:val="20"/>
                <w:color w:val="auto"/>
              </w:rPr>
            </w:pPr>
            <w:r>
              <w:rPr>
                <w:rFonts w:ascii="Arial" w:cs="Arial" w:eastAsia="Arial" w:hAnsi="Arial"/>
                <w:sz w:val="18"/>
                <w:szCs w:val="18"/>
                <w:color w:val="auto"/>
              </w:rPr>
              <w:t>Total contractual obligations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5,271.3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1,534.5</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2,564.9</w:t>
            </w:r>
          </w:p>
        </w:tc>
        <w:tc>
          <w:tcPr>
            <w:tcW w:w="0" w:type="dxa"/>
            <w:vAlign w:val="bottom"/>
          </w:tcPr>
          <w:p>
            <w:pPr>
              <w:spacing w:after="0"/>
              <w:rPr>
                <w:sz w:val="1"/>
                <w:szCs w:val="1"/>
                <w:color w:val="auto"/>
              </w:rPr>
            </w:pPr>
          </w:p>
        </w:tc>
      </w:tr>
      <w:tr>
        <w:trPr>
          <w:trHeight w:val="21"/>
        </w:trPr>
        <w:tc>
          <w:tcPr>
            <w:tcW w:w="3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800" w:right="740" w:firstLine="2"/>
        <w:spacing w:after="0" w:line="226" w:lineRule="auto"/>
        <w:tabs>
          <w:tab w:leader="none" w:pos="963" w:val="left"/>
        </w:tabs>
        <w:numPr>
          <w:ilvl w:val="0"/>
          <w:numId w:val="48"/>
        </w:numPr>
        <w:rPr>
          <w:rFonts w:ascii="Arial" w:cs="Arial" w:eastAsia="Arial" w:hAnsi="Arial"/>
          <w:sz w:val="19"/>
          <w:szCs w:val="19"/>
          <w:color w:val="auto"/>
          <w:vertAlign w:val="superscript"/>
        </w:rPr>
      </w:pPr>
      <w:r>
        <w:rPr>
          <w:rFonts w:ascii="Arial" w:cs="Arial" w:eastAsia="Arial" w:hAnsi="Arial"/>
          <w:sz w:val="15"/>
          <w:szCs w:val="15"/>
          <w:color w:val="auto"/>
        </w:rPr>
        <w:t>Primarily includes research and development commitments, including those related to clinical trials and capital expenditures. Our obligation to pay certain of these amounts may increase or be reduced based on relevant future events.</w:t>
      </w:r>
    </w:p>
    <w:p>
      <w:pPr>
        <w:spacing w:after="0" w:line="9" w:lineRule="exact"/>
        <w:rPr>
          <w:rFonts w:ascii="Arial" w:cs="Arial" w:eastAsia="Arial" w:hAnsi="Arial"/>
          <w:sz w:val="19"/>
          <w:szCs w:val="19"/>
          <w:color w:val="auto"/>
          <w:vertAlign w:val="superscript"/>
        </w:rPr>
      </w:pPr>
    </w:p>
    <w:p>
      <w:pPr>
        <w:ind w:left="800" w:right="700" w:firstLine="2"/>
        <w:spacing w:after="0" w:line="225" w:lineRule="auto"/>
        <w:tabs>
          <w:tab w:leader="none" w:pos="963" w:val="left"/>
        </w:tabs>
        <w:numPr>
          <w:ilvl w:val="0"/>
          <w:numId w:val="48"/>
        </w:numPr>
        <w:rPr>
          <w:rFonts w:ascii="Arial" w:cs="Arial" w:eastAsia="Arial" w:hAnsi="Arial"/>
          <w:sz w:val="19"/>
          <w:szCs w:val="19"/>
          <w:color w:val="auto"/>
          <w:vertAlign w:val="superscript"/>
        </w:rPr>
      </w:pPr>
      <w:r>
        <w:rPr>
          <w:rFonts w:ascii="Arial" w:cs="Arial" w:eastAsia="Arial" w:hAnsi="Arial"/>
          <w:sz w:val="15"/>
          <w:szCs w:val="15"/>
          <w:color w:val="auto"/>
        </w:rPr>
        <w:t>Includes rent payments with respect to finance lease obligations in connection with our property leases in Tarrytown, New York, as described under "</w:t>
      </w:r>
      <w:r>
        <w:rPr>
          <w:rFonts w:ascii="Arial" w:cs="Arial" w:eastAsia="Arial" w:hAnsi="Arial"/>
          <w:sz w:val="15"/>
          <w:szCs w:val="15"/>
          <w:i w:val="1"/>
          <w:iCs w:val="1"/>
          <w:color w:val="auto"/>
        </w:rPr>
        <w:t>Tarrytown, New York Leases</w:t>
      </w:r>
      <w:r>
        <w:rPr>
          <w:rFonts w:ascii="Arial" w:cs="Arial" w:eastAsia="Arial" w:hAnsi="Arial"/>
          <w:sz w:val="15"/>
          <w:szCs w:val="15"/>
          <w:color w:val="auto"/>
        </w:rPr>
        <w:t>" above and Note 10 to our Consolidated Financial Statements. Amounts in the table above exclude the $720.0 million purchase price we would be obligated to pay if we were to exercise our option to purchase the Facility.</w:t>
      </w:r>
    </w:p>
    <w:p>
      <w:pPr>
        <w:spacing w:after="0" w:line="2" w:lineRule="exact"/>
        <w:rPr>
          <w:rFonts w:ascii="Arial" w:cs="Arial" w:eastAsia="Arial" w:hAnsi="Arial"/>
          <w:sz w:val="19"/>
          <w:szCs w:val="19"/>
          <w:color w:val="auto"/>
          <w:vertAlign w:val="superscript"/>
        </w:rPr>
      </w:pPr>
    </w:p>
    <w:p>
      <w:pPr>
        <w:ind w:left="960" w:hanging="158"/>
        <w:spacing w:after="0" w:line="237" w:lineRule="auto"/>
        <w:tabs>
          <w:tab w:leader="none" w:pos="960" w:val="left"/>
        </w:tabs>
        <w:numPr>
          <w:ilvl w:val="0"/>
          <w:numId w:val="48"/>
        </w:numPr>
        <w:rPr>
          <w:rFonts w:ascii="Arial" w:cs="Arial" w:eastAsia="Arial" w:hAnsi="Arial"/>
          <w:sz w:val="19"/>
          <w:szCs w:val="19"/>
          <w:color w:val="auto"/>
          <w:vertAlign w:val="superscript"/>
        </w:rPr>
      </w:pPr>
      <w:r>
        <w:rPr>
          <w:rFonts w:ascii="Arial" w:cs="Arial" w:eastAsia="Arial" w:hAnsi="Arial"/>
          <w:sz w:val="15"/>
          <w:szCs w:val="15"/>
          <w:color w:val="auto"/>
        </w:rPr>
        <w:t>Includes principal and interest for our 2030 Notes and 2050 Notes, as described under "</w:t>
      </w:r>
      <w:r>
        <w:rPr>
          <w:rFonts w:ascii="Arial" w:cs="Arial" w:eastAsia="Arial" w:hAnsi="Arial"/>
          <w:sz w:val="15"/>
          <w:szCs w:val="15"/>
          <w:i w:val="1"/>
          <w:iCs w:val="1"/>
          <w:color w:val="auto"/>
        </w:rPr>
        <w:t>Issuance of Senior Notes</w:t>
      </w:r>
      <w:r>
        <w:rPr>
          <w:rFonts w:ascii="Arial" w:cs="Arial" w:eastAsia="Arial" w:hAnsi="Arial"/>
          <w:sz w:val="15"/>
          <w:szCs w:val="15"/>
          <w:color w:val="auto"/>
        </w:rPr>
        <w:t>" above</w:t>
      </w:r>
    </w:p>
    <w:p>
      <w:pPr>
        <w:spacing w:after="0" w:line="2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Liabilities for unrecognized tax benefits, totaling $267.0 million at December 31, 2020, are not included in the table of contractual obligations above as, due to their nature, there is a high degree of uncertainty regarding the period of potential future cash settlement with taxing authorities. See Note 14 to our Consolidated Financial Statements.</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continued increases in our expenditures, particularly in connection with our research and development activities (including preclinical and clinical programs). The amount of funding that will be required for our clinical programs depends upon the results of our research and preclinical programs and early-stage clinical trials, regulatory requirements, the duration and results of clinical trials underway and of additional clinical trials that we decide to initiate, and the various factors that affect the cost of each trial. Under certain collaboration agreements, the amount of funding for reimbursement of research and development costs that we are entitled to receive is capped at a specified amount; therefore, we may elect to independently fund certain research and development costs in excess of such capped amounts.</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Clinical trial costs are dependent, among other things, on the size and duration of trials (for example, we have several ongoing late-stage clinical trials which are large and for which we expect to incur significant costs), fees charged for services provided by clinical trial investigators and other third parties, the costs for manufacturing the product candidate for use in the trials, and for supplies, laboratory tests, and other expenses.</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to continue to incur substantial development and manufacturing costs for REGEN-COV in 2021. Though the amount of funding that will be required will be subject to clinical data results, the duration of the COVID-19 pandemic, and other factors, including regulatory outcomes, as described in Part I, Item 1. "Agreements Related to COVID-19," we have entered into agreements with the U.S. government to purchase supplies of the drug product and with Roche to fund certain of our development costs.</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anticipate continuing to incur substantial commercialization costs for EYLEA, Dupixent, and Libtayo. Commercialization costs over the next few years will depend on, among other things, the market potential for product candidates, whether commercialization costs are shared with a collaborator, and regulatory approval of additional product candidates.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We expect that expenses related to the filing, prosecution, defense, and enforcement of patents and other intellectual property will be substantial.</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enter into collaboration and licensing agreements that may require us to pay (i) amounts upon the achievement of various development and commercial milestones, which, in the aggregate, could be significant, and/or (ii) royalties calculated based on a percentage of net product sales. The payment of these amounts, however, is contingent upon the occurrence of various future events, which have a high degree of uncertainty of occurring and for which the specific timing cannot be predicted. Because of these factors, such payments are not included in the table of contractual obligations above. See Note 3 and Note 10 to our Consolidated Financial Statements.</w:t>
      </w:r>
    </w:p>
    <w:p>
      <w:pPr>
        <w:spacing w:after="0" w:line="10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Under our collaboration with Bayer for EYLEA outside the United States and our Antibody and IO Collaborations with Sanofi, we and our collaborator share profits and losses in connection with commercialization of drug products. Profits or losses under each collaboration are measured by calculating net sales less cost of goods sold and shared commercialization and other expenses. If the applicable collaboration is profitable, we have contingent contractual obligations to reimburse Bayer and Sanofi for a defined percentage (generally 50%) of agreed-upon development expenses funded by Bayer and Sanofi and Bayer (</w:t>
      </w:r>
      <w:r>
        <w:rPr>
          <w:rFonts w:ascii="Arial" w:cs="Arial" w:eastAsia="Arial" w:hAnsi="Arial"/>
          <w:sz w:val="16"/>
          <w:szCs w:val="16"/>
          <w:i w:val="1"/>
          <w:iCs w:val="1"/>
          <w:color w:val="auto"/>
        </w:rPr>
        <w:t>i.e.</w:t>
      </w:r>
      <w:r>
        <w:rPr>
          <w:rFonts w:ascii="Arial" w:cs="Arial" w:eastAsia="Arial" w:hAnsi="Arial"/>
          <w:sz w:val="16"/>
          <w:szCs w:val="16"/>
          <w:color w:val="auto"/>
        </w:rPr>
        <w:t>, "development balance"). These reimbursements are deducted each quarter, in accordance with a formula, from our share of the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9" w:name="page90"/>
    <w:bookmarkEnd w:id="8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collaboration profits (and, for our EYLEA collaboration with Bayer, inclusive of our percentage on product sales in Japan) otherwise payable to us, unless, in the case of EYLEA, we elect to reimburse these expenses at a faster rate. As of December 31, 2020, our contingent reimbursement obligation to Bayer for EYLEA was approximately $276 million and our contingent reimbursement obligation to Sanofi in connection with the companies' Antibody Collaboration and IO Collaboration was approximately $3.103 billion and $107 million, respectively. Therefore, we expect that, for the foreseeable future, a portion of our share of profits from sales under our collaborations with Bayer and Sanofi will be used to reimburse our collaborators for these obligations.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have any off-balance sheet arrangements that are currently material or reasonably likely to be material to our consolidated financial position or 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the future adoption of recently issued accounting standards is not expected to have a material impact on the Company's financial position or results of operations.</w:t>
      </w:r>
    </w:p>
    <w:p>
      <w:pPr>
        <w:spacing w:after="0" w:line="99" w:lineRule="exact"/>
        <w:rPr>
          <w:sz w:val="20"/>
          <w:szCs w:val="20"/>
          <w:color w:val="auto"/>
        </w:rPr>
      </w:pPr>
    </w:p>
    <w:p>
      <w:pPr>
        <w:ind w:right="3940"/>
        <w:spacing w:after="0" w:line="417" w:lineRule="auto"/>
        <w:rPr>
          <w:sz w:val="20"/>
          <w:szCs w:val="20"/>
          <w:color w:val="auto"/>
        </w:rPr>
      </w:pPr>
      <w:r>
        <w:rPr>
          <w:rFonts w:ascii="Arial" w:cs="Arial" w:eastAsia="Arial" w:hAnsi="Arial"/>
          <w:sz w:val="18"/>
          <w:szCs w:val="18"/>
          <w:b w:val="1"/>
          <w:bCs w:val="1"/>
          <w:color w:val="auto"/>
        </w:rPr>
        <w:t xml:space="preserve">ITEM 7A. QUANTITATIVE AND QUALITATIVE DISCLOSURES ABOUT MARKET RISK </w:t>
      </w:r>
      <w:r>
        <w:rPr>
          <w:rFonts w:ascii="Arial" w:cs="Arial" w:eastAsia="Arial" w:hAnsi="Arial"/>
          <w:sz w:val="18"/>
          <w:szCs w:val="18"/>
          <w:b w:val="1"/>
          <w:bCs w:val="1"/>
          <w:i w:val="1"/>
          <w:iCs w:val="1"/>
          <w:color w:val="auto"/>
        </w:rPr>
        <w:t>Interest Rate Risk</w:t>
      </w:r>
    </w:p>
    <w:p>
      <w:pPr>
        <w:jc w:val="both"/>
        <w:spacing w:after="0" w:line="257" w:lineRule="auto"/>
        <w:rPr>
          <w:sz w:val="20"/>
          <w:szCs w:val="20"/>
          <w:color w:val="auto"/>
        </w:rPr>
      </w:pPr>
      <w:r>
        <w:rPr>
          <w:rFonts w:ascii="Arial" w:cs="Arial" w:eastAsia="Arial" w:hAnsi="Arial"/>
          <w:sz w:val="18"/>
          <w:szCs w:val="18"/>
          <w:color w:val="auto"/>
        </w:rPr>
        <w:t>Our earnings and cash flows are subject to fluctuations due to changes in interest rates, principally in connection with our investments in marketable securities, which consist primarily of corporate bonds. We do not believe we are materially exposed to changes in interest rates related to our investments, and we do not currently use interest rate derivative instruments to manage exposure to interest rate changes of our investments. We estimate that a 100 basis point, or 1%, unfavorable change in interest rates would have resulted in approximately a $48.1 million and $48.6 million decrease in the fair value of our investment portfolio as of December 31, 2020 and 2019, respectively.</w:t>
      </w:r>
    </w:p>
    <w:p>
      <w:pPr>
        <w:spacing w:after="0" w:line="12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have exposure to market risk for changes in interest rates, including the interest rate risk relating to our March 2017 variable rate Tarrytown, New York lease (as described in Part II, Item 7. "Management's Discussion and Analysis of Financial Condition and Results of Operations - Liquidity and Capital Resources - </w:t>
      </w:r>
      <w:r>
        <w:rPr>
          <w:rFonts w:ascii="Arial" w:cs="Arial" w:eastAsia="Arial" w:hAnsi="Arial"/>
          <w:sz w:val="17"/>
          <w:szCs w:val="17"/>
          <w:i w:val="1"/>
          <w:iCs w:val="1"/>
          <w:color w:val="auto"/>
        </w:rPr>
        <w:t>Tarrytown, New York Leases</w:t>
      </w:r>
      <w:r>
        <w:rPr>
          <w:rFonts w:ascii="Arial" w:cs="Arial" w:eastAsia="Arial" w:hAnsi="Arial"/>
          <w:sz w:val="17"/>
          <w:szCs w:val="17"/>
          <w:color w:val="auto"/>
        </w:rPr>
        <w:t>"). Our interest rate exposure is primarily offset by our investments in marketable securities. In addition, we further manage our interest rate exposure related to our variable rate lease through the use of derivative instruments. All of our derivative instruments are utilized for risk management purposes and are not used for trading or speculative purposes. We continue to monitor our interest rate risk and may utilize additional derivative instruments and/or other strategies in the future to further mitigate our interest rate exposure.</w:t>
      </w:r>
    </w:p>
    <w:p>
      <w:pPr>
        <w:spacing w:after="0" w:line="11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hedged a portion of our floating interest rate exposure using interest rate swap and interest rate cap contracts. We estimate that a 100 basis point, or 1%, unfavorable change in interest rates would not have a material impact on the fair value of our interest rate swap or interest rate cap contracts.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Quality Risk</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an investment policy that includes guidelines on acceptable investment securities, minimum credit quality, maturity parameters, and concentration and diversification. Nonetheless, deterioration of the credit quality of an investment security subsequent to purchase may subject us to the risk of not being able to recover the full principal value of the security. In 2020, 2019, and 2018, we did not record any charges for credit-related impairments of our available-for-sale debt securities.</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credit risk associated with the receivables due from our collaborators, including Bayer, Sanofi, and Teva. We are also subject to credit risk in connection with trade accounts receivable due from our customers from our product sales. We have contractual payment terms with each of our collaborators and customers, and we monitor their financial performance and credit worthiness so that we can properly assess and respond to any changes in their credit profile. In 2020, 2019 and 2018, we did not recognize any charges for write-offs and allowances of accounts receivable related to credit risk for our collaborators or customers. As of December 31, 2020 and 2019, three customers accounted on a combined basis for 93% and 97%, respectively, of our net trade accounts receivables.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0" w:name="page91"/>
    <w:bookmarkEnd w:id="9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discussed further above, Bayer and Sanofi market certain products outside the United States, and we share in profits and losses with these collaborators from commercialization of products (including the receipt of a percentage of EYLEA sales in Japan). In addition, pursuant to the applicable terms of the agreements with our collaborators, we also share in certain worldwide development expenses incurred by our collaborators. We also incur worldwide development expenses for clinical products we are developing independently, in addition to incurring expenses outside of the United States in connection with our international operations. Therefore, significant changes in foreign exchange rates of the countries outside the United States where our product is sold, where development expenses are incurred by us or our collaborators, or where we incur operating expenses can impact our operating results and financial condition. As sales outside the United States continue to grow, and as we expand our international operations, we will continue to assess potential steps, including foreign currency hedging and other strategies, to mitigate our foreign exchange risk.</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Price Risk</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exposed to price risk on equity securities included in our investment portfolio. Our marketable securities include equity investments in publicly traded stock of companies, including common stock of companies with which we have entered into collaboration arrangements. Changes in the fair value of our equity investments are included in Other income (expense), net on the Consolidated Statements of Income. We recorded $196.0 million of net unrealized gains and $118.3 million of net unrealized gains on equity securities in Other income (expense), net for the years ended December 31, 2020 and 2019,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financial statements required by this Item are included on pages F-1 through F-47 of this report. The supplementary financial information required by this Item is included at page F-47 of this report.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conducted an evaluation of the effectiveness of our disclosure controls and procedures (as such term is defined in Rules 13a-15(e) and 15d-15(e) under the Securities Exchange Act of 1934, as amended (the "Exchange Act")), as of the end of the period covered by this Annual Report on Form 10-K. Based on this evaluation, our principal executive officer and principal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principal executive officer and principal financial officer, as appropriate to allow timely decisions regarding required disclosures.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such term is defined in Rules 13a-15(f) and 15d-15(f) under the Exchange Act. Our management conducted an evaluation of the effectiveness of our internal control over financial reporting as of December 31, 2020 using the framework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Based on that evaluation, our management has concluded that our internal control over financial reporting was effective as of December 31, 2020. The effectiveness of the Company's internal control over financial reporting as of December 31, 2020 has been audited by PricewaterhouseCoopers LLP, an independent registered public accounting firm, as stated in their report which appears under Part IV, Item 15.</w:t>
      </w:r>
    </w:p>
    <w:p>
      <w:pPr>
        <w:spacing w:after="0" w:line="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1" w:name="page92"/>
    <w:bookmarkEnd w:id="9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quarter ended December 31, 2020 that has materially affected, or is reasonably likely to materially affect, our internal control over financial reporting.</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management, including our principal executive officer and principal financial officer, does not expect that our disclosure controls and procedures or internal controls over financial reporting will prevent all errors and all fraud. A control system, no matter how well conceived and operated, can provide only reasonable, not absolute, assurance that the objectives of the system are met and cannot detect all deviations. Because of the inherent limitations in all control systems, no evaluation of controls can provide absolute assurance that all control issues and instances of fraud or deviations, if any, within the company have been detected.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information required by this item (other than the information set forth in the next paragraph in this Item 10) will be included in our definitive proxy statement with respect to our 2021 Annual Meeting of Shareholders to be filed with the SEC, and is incorporated herein by reference.</w:t>
      </w:r>
    </w:p>
    <w:p>
      <w:pPr>
        <w:spacing w:after="0" w:line="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adopted a code of business conduct and ethics that applies to our officers, directors, and employees. The full text of our code of business conduct and ethics can be found on our website (http://www.regeneron.com) under the "Corporate Governance" heading on the "Investors &amp; Media" page. We may satisfy the disclosure requirements under Item 5.05 of Form 8-K regarding an amendment to, or a waiver from, a provision of our code of business conduct and ethics that applies to our principal executive officer, principal financial officer, principal accounting officer, or controller, or persons performing similar functions, by posting such information on our website where it is accessible through the same link noted above.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called for by this item will be included in our definitive proxy statement with respect to our 2021 Annual Meeting of Shareholders to be filed with the SEC, and is incorporated herein by reference.</w:t>
      </w:r>
    </w:p>
    <w:p>
      <w:pPr>
        <w:spacing w:after="0" w:line="9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called for by this item will be included in our definitive proxy statement with respect to our 2021 Annual Meeting of Shareholders to be filed with the SEC, and is incorporated herein by reference.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called for by this item will be included in our definitive proxy statement with respect to our 2021 Annual Meeting of Shareholders to be filed with the SEC, and is incorporated herein by reference.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called for by this item will be included in our definitive proxy statement with respect to our 2021 Annual Meeting of Shareholders to be filed with the SEC, and is incorporated herein by reference.</w:t>
      </w:r>
    </w:p>
    <w:p>
      <w:pPr>
        <w:spacing w:after="0" w:line="9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6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i w:val="1"/>
          <w:iCs w:val="1"/>
          <w:color w:val="auto"/>
        </w:rPr>
        <w:t>(a)</w:t>
        <w:tab/>
        <w:t>1. Financial Statements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consolidated financial statements filed as part of this report are listed on the Index to Financial Statements on page F-1.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2" w:name="page93"/>
    <w:bookmarkEnd w:id="9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 Financial Statement Schedules</w:t>
      </w:r>
    </w:p>
    <w:p>
      <w:pPr>
        <w:spacing w:after="0" w:line="14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All schedules for which provision is made in the applicable accounting regulations of the Securities and Exchange Commission are not required under the related instructions or are inapplicable and, therefore, have been omitted.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00" w:type="dxa"/>
            <w:vAlign w:val="bottom"/>
            <w:gridSpan w:val="6"/>
          </w:tcPr>
          <w:p>
            <w:pPr>
              <w:ind w:left="660"/>
              <w:spacing w:after="0"/>
              <w:rPr>
                <w:sz w:val="20"/>
                <w:szCs w:val="20"/>
                <w:color w:val="auto"/>
              </w:rPr>
            </w:pPr>
            <w:r>
              <w:rPr>
                <w:rFonts w:ascii="Arial" w:cs="Arial" w:eastAsia="Arial" w:hAnsi="Arial"/>
                <w:sz w:val="18"/>
                <w:szCs w:val="18"/>
                <w:i w:val="1"/>
                <w:iCs w:val="1"/>
                <w:color w:val="auto"/>
              </w:rPr>
              <w:t>3. Exhibits</w:t>
            </w: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3"/>
              </w:rPr>
              <w:t>Exhibit</w:t>
            </w:r>
          </w:p>
        </w:tc>
        <w:tc>
          <w:tcPr>
            <w:tcW w:w="9140" w:type="dxa"/>
            <w:vAlign w:val="bottom"/>
            <w:gridSpan w:val="29"/>
            <w:vMerge w:val="restart"/>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82"/>
              </w:rPr>
              <w:t>Number</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140" w:type="dxa"/>
            <w:vAlign w:val="bottom"/>
            <w:gridSpan w:val="2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2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w w:val="79"/>
              </w:rPr>
              <w:t>3.1</w:t>
            </w: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560" w:type="dxa"/>
            <w:vAlign w:val="bottom"/>
            <w:tcBorders>
              <w:right w:val="single" w:sz="8" w:color="CCEEFF"/>
            </w:tcBorders>
            <w:gridSpan w:val="28"/>
            <w:shd w:val="clear" w:color="auto" w:fill="CCEEFF"/>
          </w:tcPr>
          <w:p>
            <w:pPr>
              <w:spacing w:after="0" w:line="189" w:lineRule="exact"/>
              <w:rPr>
                <w:rFonts w:ascii="Arial" w:cs="Arial" w:eastAsia="Arial" w:hAnsi="Arial"/>
                <w:sz w:val="18"/>
                <w:szCs w:val="18"/>
                <w:color w:val="0000FF"/>
              </w:rPr>
            </w:pPr>
            <w:hyperlink r:id="rId109">
              <w:r>
                <w:rPr>
                  <w:rFonts w:ascii="Arial" w:cs="Arial" w:eastAsia="Arial" w:hAnsi="Arial"/>
                  <w:sz w:val="18"/>
                  <w:szCs w:val="18"/>
                  <w:color w:val="0000FF"/>
                </w:rPr>
                <w:t>Restated Certificate of Incorporation, as amended. (Incorporated by reference from the Form 10-Q for</w:t>
              </w:r>
            </w:hyperlink>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140" w:type="dxa"/>
            <w:vAlign w:val="bottom"/>
            <w:tcBorders>
              <w:top w:val="single" w:sz="8" w:color="0000FF"/>
            </w:tcBorders>
            <w:gridSpan w:val="8"/>
            <w:shd w:val="clear" w:color="auto" w:fill="CCEEFF"/>
          </w:tcPr>
          <w:p>
            <w:pPr>
              <w:spacing w:after="0" w:line="196" w:lineRule="exact"/>
              <w:rPr>
                <w:rFonts w:ascii="Arial" w:cs="Arial" w:eastAsia="Arial" w:hAnsi="Arial"/>
                <w:sz w:val="18"/>
                <w:szCs w:val="18"/>
                <w:u w:val="single" w:color="auto"/>
                <w:color w:val="0000FF"/>
                <w:w w:val="91"/>
              </w:rPr>
            </w:pPr>
            <w:hyperlink r:id="rId109">
              <w:r>
                <w:rPr>
                  <w:rFonts w:ascii="Arial" w:cs="Arial" w:eastAsia="Arial" w:hAnsi="Arial"/>
                  <w:sz w:val="18"/>
                  <w:szCs w:val="18"/>
                  <w:u w:val="single" w:color="auto"/>
                  <w:color w:val="0000FF"/>
                  <w:w w:val="91"/>
                </w:rPr>
                <w:t>Regeneron Pharmaceuticals, Inc. (the "Registrant"), for the quarter ended June 30, 2015, filed August 4, 2015.)</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right w:val="single" w:sz="8" w:color="CCEEFF"/>
            </w:tcBorders>
            <w:shd w:val="clear" w:color="auto" w:fill="CCEEFF"/>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240" w:type="dxa"/>
            <w:vAlign w:val="bottom"/>
            <w:gridSpan w:val="2"/>
          </w:tcPr>
          <w:p>
            <w:pPr>
              <w:ind w:left="20"/>
              <w:spacing w:after="0" w:line="189" w:lineRule="exact"/>
              <w:rPr>
                <w:sz w:val="20"/>
                <w:szCs w:val="20"/>
                <w:color w:val="auto"/>
              </w:rPr>
            </w:pPr>
            <w:r>
              <w:rPr>
                <w:rFonts w:ascii="Arial" w:cs="Arial" w:eastAsia="Arial" w:hAnsi="Arial"/>
                <w:sz w:val="18"/>
                <w:szCs w:val="18"/>
                <w:color w:val="auto"/>
                <w:w w:val="79"/>
              </w:rPr>
              <w:t>3.2</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560" w:type="dxa"/>
            <w:vAlign w:val="bottom"/>
            <w:gridSpan w:val="28"/>
          </w:tcPr>
          <w:p>
            <w:pPr>
              <w:spacing w:after="0" w:line="189" w:lineRule="exact"/>
              <w:rPr>
                <w:rFonts w:ascii="Arial" w:cs="Arial" w:eastAsia="Arial" w:hAnsi="Arial"/>
                <w:sz w:val="18"/>
                <w:szCs w:val="18"/>
                <w:color w:val="0000FF"/>
              </w:rPr>
            </w:pPr>
            <w:hyperlink r:id="rId110">
              <w:r>
                <w:rPr>
                  <w:rFonts w:ascii="Arial" w:cs="Arial" w:eastAsia="Arial" w:hAnsi="Arial"/>
                  <w:sz w:val="18"/>
                  <w:szCs w:val="18"/>
                  <w:color w:val="0000FF"/>
                </w:rPr>
                <w:t>Amended and Restated By-Laws. (Incorporated by reference from the Form 8-K for the Registrant filed</w:t>
              </w:r>
            </w:hyperlink>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8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10">
              <w:r>
                <w:rPr>
                  <w:rFonts w:ascii="Arial" w:cs="Arial" w:eastAsia="Arial" w:hAnsi="Arial"/>
                  <w:sz w:val="18"/>
                  <w:szCs w:val="18"/>
                  <w:color w:val="0000FF"/>
                </w:rPr>
                <w:t>December 21, 2016.)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00" w:type="dxa"/>
            <w:vAlign w:val="bottom"/>
            <w:vMerge w:val="continue"/>
          </w:tcPr>
          <w:p>
            <w:pPr>
              <w:spacing w:after="0"/>
              <w:rPr>
                <w:sz w:val="15"/>
                <w:szCs w:val="15"/>
                <w:color w:val="auto"/>
              </w:rPr>
            </w:pPr>
          </w:p>
        </w:tc>
        <w:tc>
          <w:tcPr>
            <w:tcW w:w="2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79"/>
              </w:rPr>
              <w:t>4.1</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560" w:type="dxa"/>
            <w:vAlign w:val="bottom"/>
            <w:tcBorders>
              <w:right w:val="single" w:sz="8" w:color="CCEEFF"/>
            </w:tcBorders>
            <w:gridSpan w:val="28"/>
            <w:shd w:val="clear" w:color="auto" w:fill="CCEEFF"/>
          </w:tcPr>
          <w:p>
            <w:pPr>
              <w:spacing w:after="0" w:line="176" w:lineRule="exact"/>
              <w:rPr>
                <w:rFonts w:ascii="Arial" w:cs="Arial" w:eastAsia="Arial" w:hAnsi="Arial"/>
                <w:sz w:val="18"/>
                <w:szCs w:val="18"/>
                <w:u w:val="single" w:color="auto"/>
                <w:color w:val="0000FF"/>
              </w:rPr>
            </w:pPr>
            <w:hyperlink r:id="rId111">
              <w:r>
                <w:rPr>
                  <w:rFonts w:ascii="Arial" w:cs="Arial" w:eastAsia="Arial" w:hAnsi="Arial"/>
                  <w:sz w:val="18"/>
                  <w:szCs w:val="18"/>
                  <w:u w:val="single" w:color="auto"/>
                  <w:color w:val="0000FF"/>
                </w:rPr>
                <w:t>Description of Securities Registered Pursuant to Section 12 of the Securities Exchange Act of 1934.</w:t>
              </w:r>
            </w:hyperlink>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560" w:type="dxa"/>
            <w:vAlign w:val="bottom"/>
            <w:tcBorders>
              <w:right w:val="single" w:sz="8" w:color="CCEEFF"/>
            </w:tcBorders>
            <w:gridSpan w:val="28"/>
            <w:shd w:val="clear" w:color="auto" w:fill="CCEEFF"/>
          </w:tcPr>
          <w:p>
            <w:pPr>
              <w:spacing w:after="0" w:line="189" w:lineRule="exact"/>
              <w:rPr>
                <w:rFonts w:ascii="Arial" w:cs="Arial" w:eastAsia="Arial" w:hAnsi="Arial"/>
                <w:sz w:val="18"/>
                <w:szCs w:val="18"/>
                <w:color w:val="0000FF"/>
                <w:w w:val="96"/>
              </w:rPr>
            </w:pPr>
            <w:hyperlink r:id="rId111">
              <w:r>
                <w:rPr>
                  <w:rFonts w:ascii="Arial" w:cs="Arial" w:eastAsia="Arial" w:hAnsi="Arial"/>
                  <w:sz w:val="18"/>
                  <w:szCs w:val="18"/>
                  <w:color w:val="0000FF"/>
                  <w:w w:val="96"/>
                </w:rPr>
                <w:t>(Incorporated by reference from the Form 10-K for the Registrant, for the year ended December 31, 2019, filed</w:t>
              </w:r>
            </w:hyperlink>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340" w:type="dxa"/>
            <w:vAlign w:val="bottom"/>
            <w:tcBorders>
              <w:top w:val="single" w:sz="8" w:color="0000FF"/>
              <w:bottom w:val="single" w:sz="8" w:color="0000FF"/>
            </w:tcBorders>
            <w:gridSpan w:val="2"/>
            <w:shd w:val="clear" w:color="auto" w:fill="CCEEFF"/>
          </w:tcPr>
          <w:p>
            <w:pPr>
              <w:spacing w:after="0" w:line="156" w:lineRule="exact"/>
              <w:rPr>
                <w:rFonts w:ascii="Arial" w:cs="Arial" w:eastAsia="Arial" w:hAnsi="Arial"/>
                <w:sz w:val="18"/>
                <w:szCs w:val="18"/>
                <w:color w:val="0000FF"/>
                <w:w w:val="89"/>
              </w:rPr>
            </w:pPr>
            <w:hyperlink r:id="rId111">
              <w:r>
                <w:rPr>
                  <w:rFonts w:ascii="Arial" w:cs="Arial" w:eastAsia="Arial" w:hAnsi="Arial"/>
                  <w:sz w:val="18"/>
                  <w:szCs w:val="18"/>
                  <w:color w:val="0000FF"/>
                  <w:w w:val="89"/>
                </w:rPr>
                <w:t>February 7, 2020.)</w:t>
              </w:r>
            </w:hyperlink>
          </w:p>
        </w:tc>
        <w:tc>
          <w:tcPr>
            <w:tcW w:w="6980" w:type="dxa"/>
            <w:vAlign w:val="bottom"/>
            <w:tcBorders>
              <w:top w:val="single" w:sz="8" w:color="0000FF"/>
              <w:bottom w:val="single" w:sz="8" w:color="CCEEFF"/>
            </w:tcBorders>
            <w:gridSpan w:val="15"/>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240" w:type="dxa"/>
            <w:vAlign w:val="bottom"/>
            <w:gridSpan w:val="2"/>
          </w:tcPr>
          <w:p>
            <w:pPr>
              <w:ind w:left="20"/>
              <w:spacing w:after="0" w:line="189" w:lineRule="exact"/>
              <w:rPr>
                <w:sz w:val="20"/>
                <w:szCs w:val="20"/>
                <w:color w:val="auto"/>
              </w:rPr>
            </w:pPr>
            <w:r>
              <w:rPr>
                <w:rFonts w:ascii="Arial" w:cs="Arial" w:eastAsia="Arial" w:hAnsi="Arial"/>
                <w:sz w:val="18"/>
                <w:szCs w:val="18"/>
                <w:color w:val="auto"/>
                <w:w w:val="79"/>
              </w:rPr>
              <w:t>4.2</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560" w:type="dxa"/>
            <w:vAlign w:val="bottom"/>
            <w:gridSpan w:val="28"/>
          </w:tcPr>
          <w:p>
            <w:pPr>
              <w:spacing w:after="0" w:line="189" w:lineRule="exact"/>
              <w:rPr>
                <w:rFonts w:ascii="Arial" w:cs="Arial" w:eastAsia="Arial" w:hAnsi="Arial"/>
                <w:sz w:val="18"/>
                <w:szCs w:val="18"/>
                <w:color w:val="0000FF"/>
                <w:w w:val="95"/>
              </w:rPr>
            </w:pPr>
            <w:hyperlink r:id="rId112">
              <w:r>
                <w:rPr>
                  <w:rFonts w:ascii="Arial" w:cs="Arial" w:eastAsia="Arial" w:hAnsi="Arial"/>
                  <w:sz w:val="18"/>
                  <w:szCs w:val="18"/>
                  <w:color w:val="0000FF"/>
                  <w:w w:val="95"/>
                </w:rPr>
                <w:t>Indenture, dated August 12, 2020, between the Registrant and U.S. Bank National Association. (Incorporated by</w:t>
              </w:r>
            </w:hyperlink>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6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12">
              <w:r>
                <w:rPr>
                  <w:rFonts w:ascii="Arial" w:cs="Arial" w:eastAsia="Arial" w:hAnsi="Arial"/>
                  <w:sz w:val="18"/>
                  <w:szCs w:val="18"/>
                  <w:color w:val="0000FF"/>
                </w:rPr>
                <w:t>reference from the Form 8-K for the Registrant, filed August 12,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2620" w:type="dxa"/>
            <w:vAlign w:val="bottom"/>
            <w:tcBorders>
              <w:top w:val="single" w:sz="8" w:color="0000FF"/>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2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w w:val="79"/>
              </w:rPr>
              <w:t>4.3</w:t>
            </w: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560" w:type="dxa"/>
            <w:vAlign w:val="bottom"/>
            <w:tcBorders>
              <w:right w:val="single" w:sz="8" w:color="CCEEFF"/>
            </w:tcBorders>
            <w:gridSpan w:val="28"/>
            <w:shd w:val="clear" w:color="auto" w:fill="CCEEFF"/>
          </w:tcPr>
          <w:p>
            <w:pPr>
              <w:spacing w:after="0" w:line="189" w:lineRule="exact"/>
              <w:rPr>
                <w:rFonts w:ascii="Arial" w:cs="Arial" w:eastAsia="Arial" w:hAnsi="Arial"/>
                <w:sz w:val="18"/>
                <w:szCs w:val="18"/>
                <w:color w:val="0000FF"/>
              </w:rPr>
            </w:pPr>
            <w:hyperlink r:id="rId113">
              <w:r>
                <w:rPr>
                  <w:rFonts w:ascii="Arial" w:cs="Arial" w:eastAsia="Arial" w:hAnsi="Arial"/>
                  <w:sz w:val="18"/>
                  <w:szCs w:val="18"/>
                  <w:color w:val="0000FF"/>
                </w:rPr>
                <w:t>First Supplemental Indenture, dated August 12, 2020, between the Registrant and U.S. Bank National</w:t>
              </w:r>
            </w:hyperlink>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400" w:type="dxa"/>
            <w:vAlign w:val="bottom"/>
            <w:tcBorders>
              <w:top w:val="single" w:sz="8" w:color="0000FF"/>
            </w:tcBorders>
            <w:gridSpan w:val="21"/>
            <w:shd w:val="clear" w:color="auto" w:fill="CCEEFF"/>
          </w:tcPr>
          <w:p>
            <w:pPr>
              <w:spacing w:after="0" w:line="196" w:lineRule="exact"/>
              <w:rPr>
                <w:rFonts w:ascii="Arial" w:cs="Arial" w:eastAsia="Arial" w:hAnsi="Arial"/>
                <w:sz w:val="18"/>
                <w:szCs w:val="18"/>
                <w:u w:val="single" w:color="auto"/>
                <w:color w:val="0000FF"/>
              </w:rPr>
            </w:pPr>
            <w:hyperlink r:id="rId113">
              <w:r>
                <w:rPr>
                  <w:rFonts w:ascii="Arial" w:cs="Arial" w:eastAsia="Arial" w:hAnsi="Arial"/>
                  <w:sz w:val="18"/>
                  <w:szCs w:val="18"/>
                  <w:u w:val="single" w:color="auto"/>
                  <w:color w:val="0000FF"/>
                </w:rPr>
                <w:t>Association. (Incorporated by reference from the Form 8-K for the Registrant, filed August 12, 2020.)</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right w:val="single" w:sz="8" w:color="CCEEFF"/>
            </w:tcBorders>
            <w:shd w:val="clear" w:color="auto" w:fill="CCEEFF"/>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000" w:type="dxa"/>
            <w:vAlign w:val="bottom"/>
          </w:tcPr>
          <w:p>
            <w:pPr>
              <w:spacing w:after="0"/>
              <w:rPr>
                <w:sz w:val="19"/>
                <w:szCs w:val="19"/>
                <w:color w:val="auto"/>
              </w:rPr>
            </w:pPr>
          </w:p>
        </w:tc>
        <w:tc>
          <w:tcPr>
            <w:tcW w:w="240" w:type="dxa"/>
            <w:vAlign w:val="bottom"/>
            <w:gridSpan w:val="2"/>
          </w:tcPr>
          <w:p>
            <w:pPr>
              <w:ind w:left="20"/>
              <w:spacing w:after="0"/>
              <w:rPr>
                <w:sz w:val="20"/>
                <w:szCs w:val="20"/>
                <w:color w:val="auto"/>
              </w:rPr>
            </w:pPr>
            <w:r>
              <w:rPr>
                <w:rFonts w:ascii="Arial" w:cs="Arial" w:eastAsia="Arial" w:hAnsi="Arial"/>
                <w:sz w:val="18"/>
                <w:szCs w:val="18"/>
                <w:color w:val="auto"/>
                <w:w w:val="79"/>
              </w:rPr>
              <w:t>4.4</w:t>
            </w: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560" w:type="dxa"/>
            <w:vAlign w:val="bottom"/>
            <w:gridSpan w:val="28"/>
          </w:tcPr>
          <w:p>
            <w:pPr>
              <w:spacing w:after="0"/>
              <w:rPr>
                <w:rFonts w:ascii="Arial" w:cs="Arial" w:eastAsia="Arial" w:hAnsi="Arial"/>
                <w:sz w:val="18"/>
                <w:szCs w:val="18"/>
                <w:u w:val="single" w:color="auto"/>
                <w:color w:val="0000FF"/>
              </w:rPr>
            </w:pPr>
            <w:hyperlink r:id="rId113">
              <w:r>
                <w:rPr>
                  <w:rFonts w:ascii="Arial" w:cs="Arial" w:eastAsia="Arial" w:hAnsi="Arial"/>
                  <w:sz w:val="18"/>
                  <w:szCs w:val="18"/>
                  <w:u w:val="single" w:color="auto"/>
                  <w:color w:val="0000FF"/>
                </w:rPr>
                <w:t>Form of 1.750% Senior Note due 2030 (included in Exhibit 4.3).</w:t>
              </w:r>
            </w:hyperlink>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19"/>
                <w:szCs w:val="19"/>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4.5</w:t>
            </w: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560" w:type="dxa"/>
            <w:vAlign w:val="bottom"/>
            <w:tcBorders>
              <w:right w:val="single" w:sz="8" w:color="CCEEFF"/>
            </w:tcBorders>
            <w:gridSpan w:val="28"/>
            <w:shd w:val="clear" w:color="auto" w:fill="CCEEFF"/>
          </w:tcPr>
          <w:p>
            <w:pPr>
              <w:spacing w:after="0"/>
              <w:rPr>
                <w:rFonts w:ascii="Arial" w:cs="Arial" w:eastAsia="Arial" w:hAnsi="Arial"/>
                <w:sz w:val="18"/>
                <w:szCs w:val="18"/>
                <w:u w:val="single" w:color="auto"/>
                <w:color w:val="0000FF"/>
              </w:rPr>
            </w:pPr>
            <w:hyperlink r:id="rId113">
              <w:r>
                <w:rPr>
                  <w:rFonts w:ascii="Arial" w:cs="Arial" w:eastAsia="Arial" w:hAnsi="Arial"/>
                  <w:sz w:val="18"/>
                  <w:szCs w:val="18"/>
                  <w:u w:val="single" w:color="auto"/>
                  <w:color w:val="0000FF"/>
                </w:rPr>
                <w:t>Form of 2.800% Senior Note due 2050 (included in Exhibit 4.3).</w:t>
              </w:r>
            </w:hyperlink>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82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10.1 +</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560" w:type="dxa"/>
            <w:vAlign w:val="bottom"/>
            <w:gridSpan w:val="28"/>
          </w:tcPr>
          <w:p>
            <w:pPr>
              <w:spacing w:after="0" w:line="189" w:lineRule="exact"/>
              <w:rPr>
                <w:rFonts w:ascii="Arial" w:cs="Arial" w:eastAsia="Arial" w:hAnsi="Arial"/>
                <w:sz w:val="18"/>
                <w:szCs w:val="18"/>
                <w:color w:val="0000FF"/>
                <w:w w:val="94"/>
              </w:rPr>
            </w:pPr>
            <w:hyperlink r:id="rId114">
              <w:r>
                <w:rPr>
                  <w:rFonts w:ascii="Arial" w:cs="Arial" w:eastAsia="Arial" w:hAnsi="Arial"/>
                  <w:sz w:val="18"/>
                  <w:szCs w:val="18"/>
                  <w:color w:val="0000FF"/>
                  <w:w w:val="94"/>
                </w:rPr>
                <w:t>Regeneron Pharmaceuticals, Inc. Second Amended and Restated 2000 Long-Term Incentive Plan. (Incorporated</w:t>
              </w:r>
            </w:hyperlink>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360" w:type="dxa"/>
            <w:vAlign w:val="bottom"/>
            <w:tcBorders>
              <w:top w:val="single" w:sz="8" w:color="0000FF"/>
            </w:tcBorders>
            <w:gridSpan w:val="19"/>
          </w:tcPr>
          <w:p>
            <w:pPr>
              <w:spacing w:after="0" w:line="196" w:lineRule="exact"/>
              <w:rPr>
                <w:rFonts w:ascii="Arial" w:cs="Arial" w:eastAsia="Arial" w:hAnsi="Arial"/>
                <w:sz w:val="18"/>
                <w:szCs w:val="18"/>
                <w:u w:val="single" w:color="auto"/>
                <w:color w:val="0000FF"/>
              </w:rPr>
            </w:pPr>
            <w:hyperlink r:id="rId114">
              <w:r>
                <w:rPr>
                  <w:rFonts w:ascii="Arial" w:cs="Arial" w:eastAsia="Arial" w:hAnsi="Arial"/>
                  <w:sz w:val="18"/>
                  <w:szCs w:val="18"/>
                  <w:u w:val="single" w:color="auto"/>
                  <w:color w:val="0000FF"/>
                </w:rPr>
                <w:t>by reference from the Registration Statement on Form S-8 for the Registrant, filed June 13, 2011.)</w:t>
              </w:r>
            </w:hyperlink>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82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auto"/>
              </w:rPr>
              <w:t>10.1.1 +</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560" w:type="dxa"/>
            <w:vAlign w:val="bottom"/>
            <w:tcBorders>
              <w:right w:val="single" w:sz="8" w:color="CCEEFF"/>
            </w:tcBorders>
            <w:gridSpan w:val="28"/>
            <w:shd w:val="clear" w:color="auto" w:fill="CCEEFF"/>
          </w:tcPr>
          <w:p>
            <w:pPr>
              <w:spacing w:after="0" w:line="189" w:lineRule="exact"/>
              <w:rPr>
                <w:rFonts w:ascii="Arial" w:cs="Arial" w:eastAsia="Arial" w:hAnsi="Arial"/>
                <w:sz w:val="18"/>
                <w:szCs w:val="18"/>
                <w:color w:val="0000FF"/>
                <w:w w:val="96"/>
              </w:rPr>
            </w:pPr>
            <w:hyperlink r:id="rId115">
              <w:r>
                <w:rPr>
                  <w:rFonts w:ascii="Arial" w:cs="Arial" w:eastAsia="Arial" w:hAnsi="Arial"/>
                  <w:sz w:val="18"/>
                  <w:szCs w:val="18"/>
                  <w:color w:val="0000FF"/>
                  <w:w w:val="96"/>
                </w:rPr>
                <w:t>Form of option agreement and related notice of grant for use in connection with the grant of time based vesting</w:t>
              </w:r>
            </w:hyperlink>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8220" w:type="dxa"/>
            <w:vAlign w:val="bottom"/>
            <w:tcBorders>
              <w:top w:val="single" w:sz="8" w:color="0000FF"/>
            </w:tcBorders>
            <w:gridSpan w:val="12"/>
            <w:shd w:val="clear" w:color="auto" w:fill="CCEEFF"/>
          </w:tcPr>
          <w:p>
            <w:pPr>
              <w:spacing w:after="0" w:line="156" w:lineRule="exact"/>
              <w:rPr>
                <w:rFonts w:ascii="Arial" w:cs="Arial" w:eastAsia="Arial" w:hAnsi="Arial"/>
                <w:sz w:val="18"/>
                <w:szCs w:val="18"/>
                <w:color w:val="0000FF"/>
                <w:w w:val="95"/>
              </w:rPr>
            </w:pPr>
            <w:hyperlink r:id="rId115">
              <w:r>
                <w:rPr>
                  <w:rFonts w:ascii="Arial" w:cs="Arial" w:eastAsia="Arial" w:hAnsi="Arial"/>
                  <w:sz w:val="18"/>
                  <w:szCs w:val="18"/>
                  <w:color w:val="0000FF"/>
                  <w:w w:val="95"/>
                </w:rPr>
                <w:t>stock  options  to  the  Registrant's  non-employee  directors  and  executive  officers  under  the  Regeneron</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8160" w:type="dxa"/>
            <w:vAlign w:val="bottom"/>
            <w:tcBorders>
              <w:top w:val="single" w:sz="8" w:color="0000FF"/>
              <w:bottom w:val="single" w:sz="8" w:color="0000FF"/>
            </w:tcBorders>
            <w:gridSpan w:val="9"/>
            <w:shd w:val="clear" w:color="auto" w:fill="CCEEFF"/>
          </w:tcPr>
          <w:p>
            <w:pPr>
              <w:spacing w:after="0" w:line="156" w:lineRule="exact"/>
              <w:rPr>
                <w:rFonts w:ascii="Arial" w:cs="Arial" w:eastAsia="Arial" w:hAnsi="Arial"/>
                <w:sz w:val="18"/>
                <w:szCs w:val="18"/>
                <w:color w:val="0000FF"/>
                <w:w w:val="98"/>
              </w:rPr>
            </w:pPr>
            <w:hyperlink r:id="rId115">
              <w:r>
                <w:rPr>
                  <w:rFonts w:ascii="Arial" w:cs="Arial" w:eastAsia="Arial" w:hAnsi="Arial"/>
                  <w:sz w:val="18"/>
                  <w:szCs w:val="18"/>
                  <w:color w:val="0000FF"/>
                  <w:w w:val="98"/>
                </w:rPr>
                <w:t>Pharmaceuticals, Inc. Second Amended and Restated 2000 Long-Term Incentive Plan. (Incorporated by</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0" w:type="dxa"/>
            <w:vAlign w:val="bottom"/>
            <w:gridSpan w:val="11"/>
            <w:shd w:val="clear" w:color="auto" w:fill="CCEEFF"/>
          </w:tcPr>
          <w:p>
            <w:pPr>
              <w:spacing w:after="0" w:line="196" w:lineRule="exact"/>
              <w:rPr>
                <w:rFonts w:ascii="Arial" w:cs="Arial" w:eastAsia="Arial" w:hAnsi="Arial"/>
                <w:sz w:val="18"/>
                <w:szCs w:val="18"/>
                <w:u w:val="single" w:color="auto"/>
                <w:color w:val="0000FF"/>
                <w:w w:val="95"/>
              </w:rPr>
            </w:pPr>
            <w:hyperlink r:id="rId115">
              <w:r>
                <w:rPr>
                  <w:rFonts w:ascii="Arial" w:cs="Arial" w:eastAsia="Arial" w:hAnsi="Arial"/>
                  <w:sz w:val="18"/>
                  <w:szCs w:val="18"/>
                  <w:u w:val="single" w:color="auto"/>
                  <w:color w:val="0000FF"/>
                  <w:w w:val="95"/>
                </w:rPr>
                <w:t>reference from the Form 10-Q for the Registrant, for the quarter ended March 31, 2009, filed April 30, 2009.)</w:t>
              </w:r>
            </w:hyperlink>
          </w:p>
        </w:tc>
        <w:tc>
          <w:tcPr>
            <w:tcW w:w="40" w:type="dxa"/>
            <w:vAlign w:val="bottom"/>
            <w:gridSpan w:val="2"/>
            <w:shd w:val="clear" w:color="auto" w:fill="CCEEFF"/>
          </w:tcPr>
          <w:p>
            <w:pPr>
              <w:spacing w:after="0"/>
              <w:rPr>
                <w:sz w:val="17"/>
                <w:szCs w:val="17"/>
                <w:color w:val="auto"/>
              </w:rPr>
            </w:pPr>
          </w:p>
        </w:tc>
        <w:tc>
          <w:tcPr>
            <w:tcW w:w="40" w:type="dxa"/>
            <w:vAlign w:val="bottom"/>
            <w:gridSpan w:val="2"/>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gridSpan w:val="2"/>
            <w:shd w:val="clear" w:color="auto" w:fill="CCEEFF"/>
          </w:tcPr>
          <w:p>
            <w:pPr>
              <w:spacing w:after="0"/>
              <w:rPr>
                <w:sz w:val="17"/>
                <w:szCs w:val="17"/>
                <w:color w:val="auto"/>
              </w:rPr>
            </w:pPr>
          </w:p>
        </w:tc>
        <w:tc>
          <w:tcPr>
            <w:tcW w:w="40" w:type="dxa"/>
            <w:vAlign w:val="bottom"/>
            <w:gridSpan w:val="2"/>
            <w:shd w:val="clear" w:color="auto" w:fill="CCEEFF"/>
          </w:tcPr>
          <w:p>
            <w:pPr>
              <w:spacing w:after="0"/>
              <w:rPr>
                <w:sz w:val="17"/>
                <w:szCs w:val="17"/>
                <w:color w:val="auto"/>
              </w:rPr>
            </w:pPr>
          </w:p>
        </w:tc>
        <w:tc>
          <w:tcPr>
            <w:tcW w:w="40" w:type="dxa"/>
            <w:vAlign w:val="bottom"/>
            <w:gridSpan w:val="2"/>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gridSpan w:val="2"/>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82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10.1.2 +</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560" w:type="dxa"/>
            <w:vAlign w:val="bottom"/>
            <w:gridSpan w:val="28"/>
          </w:tcPr>
          <w:p>
            <w:pPr>
              <w:spacing w:after="0" w:line="189" w:lineRule="exact"/>
              <w:rPr>
                <w:rFonts w:ascii="Arial" w:cs="Arial" w:eastAsia="Arial" w:hAnsi="Arial"/>
                <w:sz w:val="18"/>
                <w:szCs w:val="18"/>
                <w:color w:val="0000FF"/>
                <w:w w:val="96"/>
              </w:rPr>
            </w:pPr>
            <w:hyperlink r:id="rId116">
              <w:r>
                <w:rPr>
                  <w:rFonts w:ascii="Arial" w:cs="Arial" w:eastAsia="Arial" w:hAnsi="Arial"/>
                  <w:sz w:val="18"/>
                  <w:szCs w:val="18"/>
                  <w:color w:val="0000FF"/>
                  <w:w w:val="96"/>
                </w:rPr>
                <w:t>Form of option agreement and related notice of grant for use in connection with the grant of performance based</w:t>
              </w:r>
            </w:hyperlink>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12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2"/>
              </w:rPr>
            </w:pPr>
            <w:hyperlink r:id="rId116">
              <w:r>
                <w:rPr>
                  <w:rFonts w:ascii="Arial" w:cs="Arial" w:eastAsia="Arial" w:hAnsi="Arial"/>
                  <w:sz w:val="18"/>
                  <w:szCs w:val="18"/>
                  <w:color w:val="0000FF"/>
                  <w:w w:val="92"/>
                </w:rPr>
                <w:t>vesting stock options to the Registrant's executive officers under the Regeneron Pharmaceuticals, Inc. Second</w:t>
              </w:r>
            </w:hyperlink>
          </w:p>
        </w:tc>
        <w:tc>
          <w:tcPr>
            <w:tcW w:w="60" w:type="dxa"/>
            <w:vAlign w:val="bottom"/>
            <w:tcBorders>
              <w:bottom w:val="single" w:sz="8" w:color="0000FF"/>
            </w:tcBorders>
            <w:gridSpan w:val="3"/>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560" w:type="dxa"/>
            <w:vAlign w:val="bottom"/>
            <w:gridSpan w:val="28"/>
          </w:tcPr>
          <w:p>
            <w:pPr>
              <w:spacing w:after="0" w:line="156" w:lineRule="exact"/>
              <w:rPr>
                <w:rFonts w:ascii="Arial" w:cs="Arial" w:eastAsia="Arial" w:hAnsi="Arial"/>
                <w:sz w:val="18"/>
                <w:szCs w:val="18"/>
                <w:color w:val="0000FF"/>
                <w:w w:val="96"/>
              </w:rPr>
            </w:pPr>
            <w:hyperlink r:id="rId116">
              <w:r>
                <w:rPr>
                  <w:rFonts w:ascii="Arial" w:cs="Arial" w:eastAsia="Arial" w:hAnsi="Arial"/>
                  <w:sz w:val="18"/>
                  <w:szCs w:val="18"/>
                  <w:color w:val="0000FF"/>
                  <w:w w:val="96"/>
                </w:rPr>
                <w:t>Amended and Restated 2000 Long-Term Incentive Plan. (Incorporated by reference from the Form 10-Q for the</w:t>
              </w:r>
            </w:hyperlink>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18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116">
              <w:r>
                <w:rPr>
                  <w:rFonts w:ascii="Arial" w:cs="Arial" w:eastAsia="Arial" w:hAnsi="Arial"/>
                  <w:sz w:val="18"/>
                  <w:szCs w:val="18"/>
                  <w:color w:val="0000FF"/>
                </w:rPr>
                <w:t>Registrant, for the quarter ended March 31, 2009, filed April 30, 2009.)</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2620" w:type="dxa"/>
            <w:vAlign w:val="bottom"/>
            <w:tcBorders>
              <w:top w:val="single" w:sz="8" w:color="0000FF"/>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82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auto"/>
              </w:rPr>
              <w:t>10.1.3 +</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560" w:type="dxa"/>
            <w:vAlign w:val="bottom"/>
            <w:tcBorders>
              <w:right w:val="single" w:sz="8" w:color="CCEEFF"/>
            </w:tcBorders>
            <w:gridSpan w:val="28"/>
            <w:shd w:val="clear" w:color="auto" w:fill="CCEEFF"/>
          </w:tcPr>
          <w:p>
            <w:pPr>
              <w:spacing w:after="0" w:line="189" w:lineRule="exact"/>
              <w:rPr>
                <w:rFonts w:ascii="Arial" w:cs="Arial" w:eastAsia="Arial" w:hAnsi="Arial"/>
                <w:sz w:val="18"/>
                <w:szCs w:val="18"/>
                <w:color w:val="0000FF"/>
              </w:rPr>
            </w:pPr>
            <w:hyperlink r:id="rId117">
              <w:r>
                <w:rPr>
                  <w:rFonts w:ascii="Arial" w:cs="Arial" w:eastAsia="Arial" w:hAnsi="Arial"/>
                  <w:sz w:val="18"/>
                  <w:szCs w:val="18"/>
                  <w:color w:val="0000FF"/>
                </w:rPr>
                <w:t>Form of restricted stock award agreement and related notice of grant for use in connection with the grant of</w:t>
              </w:r>
            </w:hyperlink>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8380" w:type="dxa"/>
            <w:vAlign w:val="bottom"/>
            <w:tcBorders>
              <w:top w:val="single" w:sz="8" w:color="0000FF"/>
              <w:bottom w:val="single" w:sz="8" w:color="0000FF"/>
            </w:tcBorders>
            <w:gridSpan w:val="20"/>
            <w:shd w:val="clear" w:color="auto" w:fill="CCEEFF"/>
          </w:tcPr>
          <w:p>
            <w:pPr>
              <w:spacing w:after="0" w:line="156" w:lineRule="exact"/>
              <w:rPr>
                <w:rFonts w:ascii="Arial" w:cs="Arial" w:eastAsia="Arial" w:hAnsi="Arial"/>
                <w:sz w:val="18"/>
                <w:szCs w:val="18"/>
                <w:color w:val="0000FF"/>
                <w:w w:val="93"/>
              </w:rPr>
            </w:pPr>
            <w:hyperlink r:id="rId117">
              <w:r>
                <w:rPr>
                  <w:rFonts w:ascii="Arial" w:cs="Arial" w:eastAsia="Arial" w:hAnsi="Arial"/>
                  <w:sz w:val="18"/>
                  <w:szCs w:val="18"/>
                  <w:color w:val="0000FF"/>
                  <w:w w:val="93"/>
                </w:rPr>
                <w:t>restricted stock awards to the Registrant's executive officers under the Regeneron Pharmaceuticals, Inc. Second</w:t>
              </w:r>
            </w:hyperlink>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8420" w:type="dxa"/>
            <w:vAlign w:val="bottom"/>
            <w:tcBorders>
              <w:bottom w:val="single" w:sz="8" w:color="0000FF"/>
            </w:tcBorders>
            <w:gridSpan w:val="22"/>
            <w:shd w:val="clear" w:color="auto" w:fill="CCEEFF"/>
          </w:tcPr>
          <w:p>
            <w:pPr>
              <w:spacing w:after="0" w:line="156" w:lineRule="exact"/>
              <w:rPr>
                <w:rFonts w:ascii="Arial" w:cs="Arial" w:eastAsia="Arial" w:hAnsi="Arial"/>
                <w:sz w:val="18"/>
                <w:szCs w:val="18"/>
                <w:color w:val="0000FF"/>
                <w:w w:val="94"/>
              </w:rPr>
            </w:pPr>
            <w:hyperlink r:id="rId117">
              <w:r>
                <w:rPr>
                  <w:rFonts w:ascii="Arial" w:cs="Arial" w:eastAsia="Arial" w:hAnsi="Arial"/>
                  <w:sz w:val="18"/>
                  <w:szCs w:val="18"/>
                  <w:color w:val="0000FF"/>
                  <w:w w:val="94"/>
                </w:rPr>
                <w:t>Amended and Restated 2000 Long-Term Incentive Plan (revised). (Incorporated by reference from the Form 10-</w:t>
              </w:r>
            </w:hyperlink>
          </w:p>
        </w:tc>
        <w:tc>
          <w:tcPr>
            <w:tcW w:w="20" w:type="dxa"/>
            <w:vAlign w:val="bottom"/>
            <w:tcBorders>
              <w:bottom w:val="single" w:sz="8" w:color="0000FF"/>
            </w:tcBorders>
            <w:shd w:val="clear" w:color="auto" w:fill="CCEEFF"/>
          </w:tcPr>
          <w:p>
            <w:pPr>
              <w:spacing w:after="0"/>
              <w:rPr>
                <w:sz w:val="13"/>
                <w:szCs w:val="13"/>
                <w:color w:val="auto"/>
              </w:rPr>
            </w:pPr>
          </w:p>
        </w:tc>
        <w:tc>
          <w:tcPr>
            <w:tcW w:w="20" w:type="dxa"/>
            <w:vAlign w:val="bottom"/>
            <w:tcBorders>
              <w:bottom w:val="single" w:sz="8" w:color="0000FF"/>
            </w:tcBorders>
            <w:shd w:val="clear" w:color="auto" w:fill="CCEEFF"/>
          </w:tcPr>
          <w:p>
            <w:pPr>
              <w:spacing w:after="0"/>
              <w:rPr>
                <w:sz w:val="13"/>
                <w:szCs w:val="13"/>
                <w:color w:val="auto"/>
              </w:rPr>
            </w:pPr>
          </w:p>
        </w:tc>
        <w:tc>
          <w:tcPr>
            <w:tcW w:w="40" w:type="dxa"/>
            <w:vAlign w:val="bottom"/>
            <w:tcBorders>
              <w:bottom w:val="single" w:sz="8" w:color="CCEEFF"/>
            </w:tcBorders>
            <w:gridSpan w:val="2"/>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right w:val="single" w:sz="8" w:color="CCEEFF"/>
            </w:tcBorders>
            <w:shd w:val="clear" w:color="auto" w:fill="CCEEFF"/>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60" w:type="dxa"/>
            <w:vAlign w:val="bottom"/>
            <w:gridSpan w:val="24"/>
            <w:shd w:val="clear" w:color="auto" w:fill="CCEEFF"/>
          </w:tcPr>
          <w:p>
            <w:pPr>
              <w:spacing w:after="0" w:line="156" w:lineRule="exact"/>
              <w:rPr>
                <w:rFonts w:ascii="Arial" w:cs="Arial" w:eastAsia="Arial" w:hAnsi="Arial"/>
                <w:sz w:val="18"/>
                <w:szCs w:val="18"/>
                <w:color w:val="0000FF"/>
              </w:rPr>
            </w:pPr>
            <w:hyperlink r:id="rId117">
              <w:r>
                <w:rPr>
                  <w:rFonts w:ascii="Arial" w:cs="Arial" w:eastAsia="Arial" w:hAnsi="Arial"/>
                  <w:sz w:val="18"/>
                  <w:szCs w:val="18"/>
                  <w:color w:val="0000FF"/>
                </w:rPr>
                <w:t>K for the Registrant, for the year ended December 31, 2010, filed February 17, 2011.)</w:t>
              </w:r>
            </w:hyperlink>
          </w:p>
        </w:tc>
        <w:tc>
          <w:tcPr>
            <w:tcW w:w="40" w:type="dxa"/>
            <w:vAlign w:val="bottom"/>
            <w:gridSpan w:val="2"/>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262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82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10.1.4 +</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560" w:type="dxa"/>
            <w:vAlign w:val="bottom"/>
            <w:gridSpan w:val="28"/>
          </w:tcPr>
          <w:p>
            <w:pPr>
              <w:spacing w:after="0" w:line="189" w:lineRule="exact"/>
              <w:rPr>
                <w:rFonts w:ascii="Arial" w:cs="Arial" w:eastAsia="Arial" w:hAnsi="Arial"/>
                <w:sz w:val="18"/>
                <w:szCs w:val="18"/>
                <w:color w:val="0000FF"/>
                <w:w w:val="96"/>
              </w:rPr>
            </w:pPr>
            <w:hyperlink r:id="rId118">
              <w:r>
                <w:rPr>
                  <w:rFonts w:ascii="Arial" w:cs="Arial" w:eastAsia="Arial" w:hAnsi="Arial"/>
                  <w:sz w:val="18"/>
                  <w:szCs w:val="18"/>
                  <w:color w:val="0000FF"/>
                  <w:w w:val="96"/>
                </w:rPr>
                <w:t>Form of option agreement and related notice of grant for use in connection with the grant of performance based</w:t>
              </w:r>
            </w:hyperlink>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120" w:type="dxa"/>
            <w:vAlign w:val="bottom"/>
            <w:tcBorders>
              <w:top w:val="single" w:sz="8" w:color="0000FF"/>
            </w:tcBorders>
            <w:gridSpan w:val="7"/>
          </w:tcPr>
          <w:p>
            <w:pPr>
              <w:spacing w:after="0" w:line="156" w:lineRule="exact"/>
              <w:rPr>
                <w:rFonts w:ascii="Arial" w:cs="Arial" w:eastAsia="Arial" w:hAnsi="Arial"/>
                <w:sz w:val="18"/>
                <w:szCs w:val="18"/>
                <w:color w:val="0000FF"/>
                <w:w w:val="92"/>
              </w:rPr>
            </w:pPr>
            <w:hyperlink r:id="rId118">
              <w:r>
                <w:rPr>
                  <w:rFonts w:ascii="Arial" w:cs="Arial" w:eastAsia="Arial" w:hAnsi="Arial"/>
                  <w:sz w:val="18"/>
                  <w:szCs w:val="18"/>
                  <w:color w:val="0000FF"/>
                  <w:w w:val="92"/>
                </w:rPr>
                <w:t>vesting stock options to the Registrant's executive officers under the Regeneron Pharmaceuticals, Inc. Second</w:t>
              </w:r>
            </w:hyperlink>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560" w:type="dxa"/>
            <w:vAlign w:val="bottom"/>
            <w:tcBorders>
              <w:top w:val="single" w:sz="8" w:color="0000FF"/>
            </w:tcBorders>
            <w:gridSpan w:val="28"/>
          </w:tcPr>
          <w:p>
            <w:pPr>
              <w:spacing w:after="0" w:line="156" w:lineRule="exact"/>
              <w:rPr>
                <w:rFonts w:ascii="Arial" w:cs="Arial" w:eastAsia="Arial" w:hAnsi="Arial"/>
                <w:sz w:val="18"/>
                <w:szCs w:val="18"/>
                <w:color w:val="0000FF"/>
                <w:w w:val="95"/>
              </w:rPr>
            </w:pPr>
            <w:hyperlink r:id="rId118">
              <w:r>
                <w:rPr>
                  <w:rFonts w:ascii="Arial" w:cs="Arial" w:eastAsia="Arial" w:hAnsi="Arial"/>
                  <w:sz w:val="18"/>
                  <w:szCs w:val="18"/>
                  <w:color w:val="0000FF"/>
                  <w:w w:val="95"/>
                </w:rPr>
                <w:t>Amended and Restated 2000 Long-Term Incentive Plan (revised). (Incorporated by reference from the Form 10-</w:t>
              </w:r>
            </w:hyperlink>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6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18">
              <w:r>
                <w:rPr>
                  <w:rFonts w:ascii="Arial" w:cs="Arial" w:eastAsia="Arial" w:hAnsi="Arial"/>
                  <w:sz w:val="18"/>
                  <w:szCs w:val="18"/>
                  <w:color w:val="0000FF"/>
                </w:rPr>
                <w:t>K for the Registrant, for the year ended December 31, 2010, filed February 17, 2011.)</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262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82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auto"/>
              </w:rPr>
              <w:t>10.1.5 +</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560" w:type="dxa"/>
            <w:vAlign w:val="bottom"/>
            <w:tcBorders>
              <w:right w:val="single" w:sz="8" w:color="CCEEFF"/>
            </w:tcBorders>
            <w:gridSpan w:val="28"/>
            <w:shd w:val="clear" w:color="auto" w:fill="CCEEFF"/>
          </w:tcPr>
          <w:p>
            <w:pPr>
              <w:spacing w:after="0" w:line="189" w:lineRule="exact"/>
              <w:rPr>
                <w:rFonts w:ascii="Arial" w:cs="Arial" w:eastAsia="Arial" w:hAnsi="Arial"/>
                <w:sz w:val="18"/>
                <w:szCs w:val="18"/>
                <w:color w:val="0000FF"/>
                <w:w w:val="96"/>
              </w:rPr>
            </w:pPr>
            <w:hyperlink r:id="rId119">
              <w:r>
                <w:rPr>
                  <w:rFonts w:ascii="Arial" w:cs="Arial" w:eastAsia="Arial" w:hAnsi="Arial"/>
                  <w:sz w:val="18"/>
                  <w:szCs w:val="18"/>
                  <w:color w:val="0000FF"/>
                  <w:w w:val="96"/>
                </w:rPr>
                <w:t>Form of option agreement and related notice of grant for use in connection with the grant of time based vesting</w:t>
              </w:r>
            </w:hyperlink>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8240" w:type="dxa"/>
            <w:vAlign w:val="bottom"/>
            <w:tcBorders>
              <w:top w:val="single" w:sz="8" w:color="0000FF"/>
              <w:bottom w:val="single" w:sz="8" w:color="0000FF"/>
            </w:tcBorders>
            <w:gridSpan w:val="13"/>
            <w:shd w:val="clear" w:color="auto" w:fill="CCEEFF"/>
          </w:tcPr>
          <w:p>
            <w:pPr>
              <w:spacing w:after="0" w:line="156" w:lineRule="exact"/>
              <w:rPr>
                <w:rFonts w:ascii="Arial" w:cs="Arial" w:eastAsia="Arial" w:hAnsi="Arial"/>
                <w:sz w:val="18"/>
                <w:szCs w:val="18"/>
                <w:color w:val="0000FF"/>
                <w:w w:val="94"/>
              </w:rPr>
            </w:pPr>
            <w:hyperlink r:id="rId119">
              <w:r>
                <w:rPr>
                  <w:rFonts w:ascii="Arial" w:cs="Arial" w:eastAsia="Arial" w:hAnsi="Arial"/>
                  <w:sz w:val="18"/>
                  <w:szCs w:val="18"/>
                  <w:color w:val="0000FF"/>
                  <w:w w:val="94"/>
                </w:rPr>
                <w:t>stock options to the Registrant's non-employee directors under the Regeneron Pharmaceuticals, Inc. Second</w:t>
              </w:r>
            </w:hyperlink>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100" w:type="dxa"/>
            <w:vAlign w:val="bottom"/>
            <w:tcBorders>
              <w:top w:val="single" w:sz="8" w:color="CCEEFF"/>
              <w:bottom w:val="single" w:sz="8" w:color="CCEEFF"/>
            </w:tcBorders>
            <w:gridSpan w:val="5"/>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340" w:type="dxa"/>
            <w:vAlign w:val="bottom"/>
            <w:gridSpan w:val="18"/>
            <w:shd w:val="clear" w:color="auto" w:fill="CCEEFF"/>
          </w:tcPr>
          <w:p>
            <w:pPr>
              <w:spacing w:after="0" w:line="156" w:lineRule="exact"/>
              <w:rPr>
                <w:rFonts w:ascii="Arial" w:cs="Arial" w:eastAsia="Arial" w:hAnsi="Arial"/>
                <w:sz w:val="18"/>
                <w:szCs w:val="18"/>
                <w:color w:val="0000FF"/>
                <w:w w:val="93"/>
              </w:rPr>
            </w:pPr>
            <w:hyperlink r:id="rId119">
              <w:r>
                <w:rPr>
                  <w:rFonts w:ascii="Arial" w:cs="Arial" w:eastAsia="Arial" w:hAnsi="Arial"/>
                  <w:sz w:val="18"/>
                  <w:szCs w:val="18"/>
                  <w:color w:val="0000FF"/>
                  <w:w w:val="93"/>
                </w:rPr>
                <w:t>Amended and Restated 2000 Long-Term Incentive Plan (revised). (Incorporated by reference from the Form 10-</w:t>
              </w:r>
            </w:hyperlink>
          </w:p>
        </w:tc>
        <w:tc>
          <w:tcPr>
            <w:tcW w:w="100" w:type="dxa"/>
            <w:vAlign w:val="bottom"/>
            <w:gridSpan w:val="5"/>
            <w:shd w:val="clear" w:color="auto" w:fill="CCEEFF"/>
          </w:tcPr>
          <w:p>
            <w:pPr>
              <w:spacing w:after="0"/>
              <w:rPr>
                <w:sz w:val="13"/>
                <w:szCs w:val="13"/>
                <w:color w:val="auto"/>
              </w:rPr>
            </w:pPr>
          </w:p>
        </w:tc>
        <w:tc>
          <w:tcPr>
            <w:tcW w:w="60" w:type="dxa"/>
            <w:vAlign w:val="bottom"/>
            <w:gridSpan w:val="3"/>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8460" w:type="dxa"/>
            <w:vAlign w:val="bottom"/>
            <w:tcBorders>
              <w:top w:val="single" w:sz="8" w:color="0000FF"/>
            </w:tcBorders>
            <w:gridSpan w:val="24"/>
            <w:shd w:val="clear" w:color="auto" w:fill="CCEEFF"/>
          </w:tcPr>
          <w:p>
            <w:pPr>
              <w:spacing w:after="0" w:line="156" w:lineRule="exact"/>
              <w:rPr>
                <w:rFonts w:ascii="Arial" w:cs="Arial" w:eastAsia="Arial" w:hAnsi="Arial"/>
                <w:sz w:val="18"/>
                <w:szCs w:val="18"/>
                <w:color w:val="0000FF"/>
              </w:rPr>
            </w:pPr>
            <w:hyperlink r:id="rId119">
              <w:r>
                <w:rPr>
                  <w:rFonts w:ascii="Arial" w:cs="Arial" w:eastAsia="Arial" w:hAnsi="Arial"/>
                  <w:sz w:val="18"/>
                  <w:szCs w:val="18"/>
                  <w:color w:val="0000FF"/>
                </w:rPr>
                <w:t>K for the Registrant, for the year ended December 31, 2011, filed February 21, 2012.)</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262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82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10.1.6 +</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560" w:type="dxa"/>
            <w:vAlign w:val="bottom"/>
            <w:gridSpan w:val="28"/>
          </w:tcPr>
          <w:p>
            <w:pPr>
              <w:spacing w:after="0" w:line="189" w:lineRule="exact"/>
              <w:rPr>
                <w:rFonts w:ascii="Arial" w:cs="Arial" w:eastAsia="Arial" w:hAnsi="Arial"/>
                <w:sz w:val="18"/>
                <w:szCs w:val="18"/>
                <w:color w:val="0000FF"/>
                <w:w w:val="98"/>
              </w:rPr>
            </w:pPr>
            <w:hyperlink r:id="rId120">
              <w:r>
                <w:rPr>
                  <w:rFonts w:ascii="Arial" w:cs="Arial" w:eastAsia="Arial" w:hAnsi="Arial"/>
                  <w:sz w:val="18"/>
                  <w:szCs w:val="18"/>
                  <w:color w:val="0000FF"/>
                  <w:w w:val="98"/>
                </w:rPr>
                <w:t>Amendment No. 1 to the Regeneron Pharmaceuticals, Inc. Second Amended and Restated 2000 Long-Term</w:t>
              </w:r>
            </w:hyperlink>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520" w:type="dxa"/>
            <w:vAlign w:val="bottom"/>
            <w:tcBorders>
              <w:top w:val="single" w:sz="8" w:color="0000FF"/>
            </w:tcBorders>
            <w:gridSpan w:val="27"/>
          </w:tcPr>
          <w:p>
            <w:pPr>
              <w:spacing w:after="0" w:line="156" w:lineRule="exact"/>
              <w:rPr>
                <w:rFonts w:ascii="Arial" w:cs="Arial" w:eastAsia="Arial" w:hAnsi="Arial"/>
                <w:sz w:val="18"/>
                <w:szCs w:val="18"/>
                <w:color w:val="0000FF"/>
                <w:w w:val="96"/>
              </w:rPr>
            </w:pPr>
            <w:hyperlink r:id="rId120">
              <w:r>
                <w:rPr>
                  <w:rFonts w:ascii="Arial" w:cs="Arial" w:eastAsia="Arial" w:hAnsi="Arial"/>
                  <w:sz w:val="18"/>
                  <w:szCs w:val="18"/>
                  <w:color w:val="0000FF"/>
                  <w:w w:val="96"/>
                </w:rPr>
                <w:t>Incentive Plan. (Incorporated by reference from the Form 10-K for the Registrant, for the year ended December</w:t>
              </w:r>
            </w:hyperlink>
          </w:p>
        </w:tc>
        <w:tc>
          <w:tcPr>
            <w:tcW w:w="6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50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20">
              <w:r>
                <w:rPr>
                  <w:rFonts w:ascii="Arial" w:cs="Arial" w:eastAsia="Arial" w:hAnsi="Arial"/>
                  <w:sz w:val="18"/>
                  <w:szCs w:val="18"/>
                  <w:color w:val="0000FF"/>
                </w:rPr>
                <w:t>31, 2013, filed February 13, 2014.)</w:t>
              </w:r>
            </w:hyperlink>
          </w:p>
        </w:tc>
        <w:tc>
          <w:tcPr>
            <w:tcW w:w="6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82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auto"/>
              </w:rPr>
              <w:t>10.2 +</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560" w:type="dxa"/>
            <w:vAlign w:val="bottom"/>
            <w:tcBorders>
              <w:right w:val="single" w:sz="8" w:color="CCEEFF"/>
            </w:tcBorders>
            <w:gridSpan w:val="28"/>
            <w:shd w:val="clear" w:color="auto" w:fill="CCEEFF"/>
          </w:tcPr>
          <w:p>
            <w:pPr>
              <w:spacing w:after="0" w:line="189" w:lineRule="exact"/>
              <w:rPr>
                <w:rFonts w:ascii="Arial" w:cs="Arial" w:eastAsia="Arial" w:hAnsi="Arial"/>
                <w:sz w:val="18"/>
                <w:szCs w:val="18"/>
                <w:color w:val="0000FF"/>
                <w:w w:val="99"/>
              </w:rPr>
            </w:pPr>
            <w:hyperlink r:id="rId121">
              <w:r>
                <w:rPr>
                  <w:rFonts w:ascii="Arial" w:cs="Arial" w:eastAsia="Arial" w:hAnsi="Arial"/>
                  <w:sz w:val="18"/>
                  <w:szCs w:val="18"/>
                  <w:color w:val="0000FF"/>
                  <w:w w:val="99"/>
                </w:rPr>
                <w:t>Amended and Restated Regeneron Pharmaceuticals, Inc. 2014 Long-Term Incentive Plan. (Incorporated by</w:t>
              </w:r>
            </w:hyperlink>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440" w:type="dxa"/>
            <w:vAlign w:val="bottom"/>
            <w:tcBorders>
              <w:top w:val="single" w:sz="8" w:color="0000FF"/>
            </w:tcBorders>
            <w:gridSpan w:val="23"/>
            <w:shd w:val="clear" w:color="auto" w:fill="CCEEFF"/>
          </w:tcPr>
          <w:p>
            <w:pPr>
              <w:spacing w:after="0" w:line="196" w:lineRule="exact"/>
              <w:rPr>
                <w:rFonts w:ascii="Arial" w:cs="Arial" w:eastAsia="Arial" w:hAnsi="Arial"/>
                <w:sz w:val="18"/>
                <w:szCs w:val="18"/>
                <w:u w:val="single" w:color="auto"/>
                <w:color w:val="0000FF"/>
              </w:rPr>
            </w:pPr>
            <w:hyperlink r:id="rId121">
              <w:r>
                <w:rPr>
                  <w:rFonts w:ascii="Arial" w:cs="Arial" w:eastAsia="Arial" w:hAnsi="Arial"/>
                  <w:sz w:val="18"/>
                  <w:szCs w:val="18"/>
                  <w:u w:val="single" w:color="auto"/>
                  <w:color w:val="0000FF"/>
                </w:rPr>
                <w:t>reference from the Registration Statement on Form S-8 for the Registrant, filed June 12, 2017.)</w:t>
              </w:r>
            </w:hyperlink>
          </w:p>
        </w:tc>
        <w:tc>
          <w:tcPr>
            <w:tcW w:w="120" w:type="dxa"/>
            <w:vAlign w:val="bottom"/>
            <w:tcBorders>
              <w:top w:val="single" w:sz="8" w:color="CCEEFF"/>
              <w:right w:val="single" w:sz="8" w:color="CCEEFF"/>
            </w:tcBorders>
            <w:gridSpan w:val="5"/>
            <w:shd w:val="clear" w:color="auto" w:fill="CCEEFF"/>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82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10.2.1 +</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560" w:type="dxa"/>
            <w:vAlign w:val="bottom"/>
            <w:gridSpan w:val="28"/>
          </w:tcPr>
          <w:p>
            <w:pPr>
              <w:spacing w:after="0" w:line="189" w:lineRule="exact"/>
              <w:rPr>
                <w:rFonts w:ascii="Arial" w:cs="Arial" w:eastAsia="Arial" w:hAnsi="Arial"/>
                <w:sz w:val="18"/>
                <w:szCs w:val="18"/>
                <w:color w:val="0000FF"/>
                <w:w w:val="96"/>
              </w:rPr>
            </w:pPr>
            <w:hyperlink r:id="rId122">
              <w:r>
                <w:rPr>
                  <w:rFonts w:ascii="Arial" w:cs="Arial" w:eastAsia="Arial" w:hAnsi="Arial"/>
                  <w:sz w:val="18"/>
                  <w:szCs w:val="18"/>
                  <w:color w:val="0000FF"/>
                  <w:w w:val="96"/>
                </w:rPr>
                <w:t>Form of stock option agreement and related notice of grant for use in connection with the grant of non-qualified</w:t>
              </w:r>
            </w:hyperlink>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8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2"/>
              </w:rPr>
            </w:pPr>
            <w:hyperlink r:id="rId122">
              <w:r>
                <w:rPr>
                  <w:rFonts w:ascii="Arial" w:cs="Arial" w:eastAsia="Arial" w:hAnsi="Arial"/>
                  <w:sz w:val="18"/>
                  <w:szCs w:val="18"/>
                  <w:color w:val="0000FF"/>
                  <w:w w:val="92"/>
                </w:rPr>
                <w:t>stock options to the Registrant's executive officers under the Regeneron Pharmaceuticals, Inc. 2014 Long-Term</w:t>
              </w:r>
            </w:hyperlink>
          </w:p>
        </w:tc>
        <w:tc>
          <w:tcPr>
            <w:tcW w:w="20" w:type="dxa"/>
            <w:vAlign w:val="bottom"/>
            <w:tcBorders>
              <w:bottom w:val="single" w:sz="8" w:color="0000FF"/>
            </w:tcBorders>
          </w:tcPr>
          <w:p>
            <w:pPr>
              <w:spacing w:after="0"/>
              <w:rPr>
                <w:sz w:val="13"/>
                <w:szCs w:val="13"/>
                <w:color w:val="auto"/>
              </w:rPr>
            </w:pPr>
          </w:p>
        </w:tc>
        <w:tc>
          <w:tcPr>
            <w:tcW w:w="84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300" w:type="dxa"/>
            <w:vAlign w:val="bottom"/>
            <w:gridSpan w:val="16"/>
          </w:tcPr>
          <w:p>
            <w:pPr>
              <w:spacing w:after="0"/>
              <w:rPr>
                <w:rFonts w:ascii="Arial" w:cs="Arial" w:eastAsia="Arial" w:hAnsi="Arial"/>
                <w:sz w:val="18"/>
                <w:szCs w:val="18"/>
                <w:u w:val="single" w:color="auto"/>
                <w:color w:val="0000FF"/>
              </w:rPr>
            </w:pPr>
            <w:hyperlink r:id="rId122">
              <w:r>
                <w:rPr>
                  <w:rFonts w:ascii="Arial" w:cs="Arial" w:eastAsia="Arial" w:hAnsi="Arial"/>
                  <w:sz w:val="18"/>
                  <w:szCs w:val="18"/>
                  <w:u w:val="single" w:color="auto"/>
                  <w:color w:val="0000FF"/>
                </w:rPr>
                <w:t>Incentive Plan. (Incorporated by reference from the Form 8-K for the Registrant, filed June 18, 2014.)</w:t>
              </w:r>
            </w:hyperlink>
          </w:p>
        </w:tc>
        <w:tc>
          <w:tcPr>
            <w:tcW w:w="840" w:type="dxa"/>
            <w:vAlign w:val="bottom"/>
            <w:gridSpan w:val="13"/>
          </w:tcPr>
          <w:p>
            <w:pPr>
              <w:spacing w:after="0"/>
              <w:rPr>
                <w:sz w:val="19"/>
                <w:szCs w:val="19"/>
                <w:color w:val="auto"/>
              </w:rPr>
            </w:pPr>
          </w:p>
        </w:tc>
        <w:tc>
          <w:tcPr>
            <w:tcW w:w="0" w:type="dxa"/>
            <w:vAlign w:val="bottom"/>
          </w:tcPr>
          <w:p>
            <w:pPr>
              <w:spacing w:after="0"/>
              <w:rPr>
                <w:sz w:val="1"/>
                <w:szCs w:val="1"/>
                <w:color w:val="auto"/>
              </w:rPr>
            </w:pPr>
          </w:p>
        </w:tc>
      </w:tr>
      <w:tr>
        <w:trPr>
          <w:trHeight w:val="620"/>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140" w:type="dxa"/>
            <w:vAlign w:val="bottom"/>
            <w:gridSpan w:val="5"/>
          </w:tcPr>
          <w:p>
            <w:pPr>
              <w:ind w:left="3440"/>
              <w:spacing w:after="0"/>
              <w:rPr>
                <w:sz w:val="20"/>
                <w:szCs w:val="20"/>
                <w:color w:val="auto"/>
              </w:rPr>
            </w:pPr>
            <w:r>
              <w:rPr>
                <w:rFonts w:ascii="Arial" w:cs="Arial" w:eastAsia="Arial" w:hAnsi="Arial"/>
                <w:sz w:val="18"/>
                <w:szCs w:val="18"/>
                <w:color w:val="auto"/>
              </w:rPr>
              <w:t>92</w:t>
            </w:r>
          </w:p>
        </w:tc>
        <w:tc>
          <w:tcPr>
            <w:tcW w:w="10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3" w:name="page94"/>
    <w:bookmarkEnd w:id="9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2100" w:hanging="1079"/>
        <w:spacing w:after="0" w:line="219" w:lineRule="auto"/>
        <w:tabs>
          <w:tab w:leader="none" w:pos="2080" w:val="left"/>
        </w:tabs>
        <w:rPr>
          <w:rFonts w:ascii="Arial" w:cs="Arial" w:eastAsia="Arial" w:hAnsi="Arial"/>
          <w:sz w:val="18"/>
          <w:szCs w:val="18"/>
          <w:u w:val="single" w:color="auto"/>
          <w:color w:val="0000FF"/>
        </w:rPr>
      </w:pPr>
      <w:r>
        <w:rPr>
          <w:rFonts w:ascii="Arial" w:cs="Arial" w:eastAsia="Arial" w:hAnsi="Arial"/>
          <w:sz w:val="18"/>
          <w:szCs w:val="18"/>
          <w:color w:val="auto"/>
        </w:rPr>
        <w:t>10.2.2 +</w:t>
      </w:r>
      <w:r>
        <w:rPr>
          <w:sz w:val="20"/>
          <w:szCs w:val="20"/>
          <w:color w:val="auto"/>
        </w:rPr>
        <w:tab/>
      </w:r>
      <w:hyperlink r:id="rId125">
        <w:r>
          <w:rPr>
            <w:rFonts w:ascii="Arial" w:cs="Arial" w:eastAsia="Arial" w:hAnsi="Arial"/>
            <w:sz w:val="18"/>
            <w:szCs w:val="18"/>
            <w:u w:val="single" w:color="auto"/>
            <w:color w:val="0000FF"/>
          </w:rPr>
          <w:t>Form of restricted stock award agreement and related notice of grant for use in connection with the grant of</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restricted stock awards to the Registrant's executive officers under the Regeneron Pharmaceuticals, Inc. 2014</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Long-Term Incentive Plan. (Incorporated by reference from the Form 8-K for the Registrant, filed June 18,</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2014.)</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630555</wp:posOffset>
            </wp:positionH>
            <wp:positionV relativeFrom="paragraph">
              <wp:posOffset>-478790</wp:posOffset>
            </wp:positionV>
            <wp:extent cx="5880735" cy="4800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6">
                      <a:extLst>
                        <a:ext uri="{28A0092B-C50C-407E-A947-70E740481C1C}"/>
                      </a:extLst>
                    </a:blip>
                    <a:srcRect/>
                    <a:stretch>
                      <a:fillRect/>
                    </a:stretch>
                  </pic:blipFill>
                  <pic:spPr bwMode="auto">
                    <a:xfrm>
                      <a:off x="0" y="0"/>
                      <a:ext cx="5880735" cy="480060"/>
                    </a:xfrm>
                    <a:prstGeom prst="rect">
                      <a:avLst/>
                    </a:prstGeom>
                    <a:noFill/>
                  </pic:spPr>
                </pic:pic>
              </a:graphicData>
            </a:graphic>
          </wp:anchor>
        </w:drawing>
      </w:r>
    </w:p>
    <w:p>
      <w:pPr>
        <w:jc w:val="both"/>
        <w:ind w:left="2100" w:hanging="1079"/>
        <w:spacing w:after="0" w:line="252" w:lineRule="auto"/>
        <w:tabs>
          <w:tab w:leader="none" w:pos="2080" w:val="left"/>
        </w:tabs>
        <w:rPr>
          <w:rFonts w:ascii="Arial" w:cs="Arial" w:eastAsia="Arial" w:hAnsi="Arial"/>
          <w:sz w:val="16"/>
          <w:szCs w:val="16"/>
          <w:u w:val="single" w:color="auto"/>
          <w:color w:val="0000FF"/>
        </w:rPr>
      </w:pPr>
      <w:r>
        <w:rPr>
          <w:rFonts w:ascii="Arial" w:cs="Arial" w:eastAsia="Arial" w:hAnsi="Arial"/>
          <w:sz w:val="18"/>
          <w:szCs w:val="18"/>
          <w:color w:val="auto"/>
        </w:rPr>
        <w:t>10.2.3 +</w:t>
      </w:r>
      <w:r>
        <w:rPr>
          <w:sz w:val="20"/>
          <w:szCs w:val="20"/>
          <w:color w:val="auto"/>
        </w:rPr>
        <w:tab/>
      </w:r>
      <w:hyperlink r:id="rId127">
        <w:r>
          <w:rPr>
            <w:rFonts w:ascii="Arial" w:cs="Arial" w:eastAsia="Arial" w:hAnsi="Arial"/>
            <w:sz w:val="16"/>
            <w:szCs w:val="16"/>
            <w:u w:val="single" w:color="auto"/>
            <w:color w:val="0000FF"/>
          </w:rPr>
          <w:t>Form of stock option agreement and related notice of grant for use in connection with the grant of non-qualified</w:t>
        </w:r>
      </w:hyperlink>
      <w:r>
        <w:rPr>
          <w:rFonts w:ascii="Arial" w:cs="Arial" w:eastAsia="Arial" w:hAnsi="Arial"/>
          <w:sz w:val="16"/>
          <w:szCs w:val="16"/>
          <w:u w:val="single" w:color="auto"/>
          <w:color w:val="0000FF"/>
        </w:rPr>
        <w:t xml:space="preserve"> </w:t>
      </w:r>
      <w:hyperlink r:id="rId127">
        <w:r>
          <w:rPr>
            <w:rFonts w:ascii="Arial" w:cs="Arial" w:eastAsia="Arial" w:hAnsi="Arial"/>
            <w:sz w:val="16"/>
            <w:szCs w:val="16"/>
            <w:u w:val="single" w:color="auto"/>
            <w:color w:val="0000FF"/>
          </w:rPr>
          <w:t>stock options to the Registrant's non-employee directors under the Regeneron Pharmaceuticals, Inc. 2014 Long-</w:t>
        </w:r>
      </w:hyperlink>
      <w:hyperlink r:id="rId127">
        <w:r>
          <w:rPr>
            <w:rFonts w:ascii="Arial" w:cs="Arial" w:eastAsia="Arial" w:hAnsi="Arial"/>
            <w:sz w:val="16"/>
            <w:szCs w:val="16"/>
            <w:u w:val="single" w:color="auto"/>
            <w:color w:val="0000FF"/>
          </w:rPr>
          <w:t>Term Incentive Plan. (Incorporated by reference from the Form 8-K for the Registrant, filed June 18, 2014.)</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630555</wp:posOffset>
            </wp:positionH>
            <wp:positionV relativeFrom="paragraph">
              <wp:posOffset>635</wp:posOffset>
            </wp:positionV>
            <wp:extent cx="5880735" cy="4800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8">
                      <a:extLst>
                        <a:ext uri="{28A0092B-C50C-407E-A947-70E740481C1C}"/>
                      </a:extLst>
                    </a:blip>
                    <a:srcRect/>
                    <a:stretch>
                      <a:fillRect/>
                    </a:stretch>
                  </pic:blipFill>
                  <pic:spPr bwMode="auto">
                    <a:xfrm>
                      <a:off x="0" y="0"/>
                      <a:ext cx="5880735" cy="480060"/>
                    </a:xfrm>
                    <a:prstGeom prst="rect">
                      <a:avLst/>
                    </a:prstGeom>
                    <a:noFill/>
                  </pic:spPr>
                </pic:pic>
              </a:graphicData>
            </a:graphic>
          </wp:anchor>
        </w:drawing>
      </w:r>
    </w:p>
    <w:p>
      <w:pPr>
        <w:jc w:val="both"/>
        <w:ind w:left="2100" w:right="20" w:hanging="1079"/>
        <w:spacing w:after="0" w:line="219" w:lineRule="auto"/>
        <w:tabs>
          <w:tab w:leader="none" w:pos="2080" w:val="left"/>
        </w:tabs>
        <w:rPr>
          <w:rFonts w:ascii="Arial" w:cs="Arial" w:eastAsia="Arial" w:hAnsi="Arial"/>
          <w:sz w:val="18"/>
          <w:szCs w:val="18"/>
          <w:u w:val="single" w:color="auto"/>
          <w:color w:val="0000FF"/>
        </w:rPr>
      </w:pPr>
      <w:r>
        <w:rPr>
          <w:rFonts w:ascii="Arial" w:cs="Arial" w:eastAsia="Arial" w:hAnsi="Arial"/>
          <w:sz w:val="18"/>
          <w:szCs w:val="18"/>
          <w:color w:val="auto"/>
        </w:rPr>
        <w:t>10.2.4 +</w:t>
      </w:r>
      <w:r>
        <w:rPr>
          <w:sz w:val="20"/>
          <w:szCs w:val="20"/>
          <w:color w:val="auto"/>
        </w:rPr>
        <w:tab/>
      </w:r>
      <w:hyperlink r:id="rId129">
        <w:r>
          <w:rPr>
            <w:rFonts w:ascii="Arial" w:cs="Arial" w:eastAsia="Arial" w:hAnsi="Arial"/>
            <w:sz w:val="18"/>
            <w:szCs w:val="18"/>
            <w:u w:val="single" w:color="auto"/>
            <w:color w:val="0000FF"/>
          </w:rPr>
          <w:t>Form of stock option agreement and related notice of grant for use in connection with the grant of non-qualified</w:t>
        </w:r>
      </w:hyperlink>
      <w:r>
        <w:rPr>
          <w:rFonts w:ascii="Arial" w:cs="Arial" w:eastAsia="Arial" w:hAnsi="Arial"/>
          <w:sz w:val="18"/>
          <w:szCs w:val="18"/>
          <w:u w:val="single" w:color="auto"/>
          <w:color w:val="0000FF"/>
        </w:rPr>
        <w:t xml:space="preserve"> </w:t>
      </w:r>
      <w:hyperlink r:id="rId129">
        <w:r>
          <w:rPr>
            <w:rFonts w:ascii="Arial" w:cs="Arial" w:eastAsia="Arial" w:hAnsi="Arial"/>
            <w:sz w:val="18"/>
            <w:szCs w:val="18"/>
            <w:u w:val="single" w:color="auto"/>
            <w:color w:val="0000FF"/>
          </w:rPr>
          <w:t>stock options to P. Roy Vagelos, M.D. under the Regeneron Pharmaceuticals, Inc. 2014 Long-Term Incentive</w:t>
        </w:r>
      </w:hyperlink>
      <w:r>
        <w:rPr>
          <w:rFonts w:ascii="Arial" w:cs="Arial" w:eastAsia="Arial" w:hAnsi="Arial"/>
          <w:sz w:val="18"/>
          <w:szCs w:val="18"/>
          <w:u w:val="single" w:color="auto"/>
          <w:color w:val="0000FF"/>
        </w:rPr>
        <w:t xml:space="preserve"> </w:t>
      </w:r>
      <w:hyperlink r:id="rId129">
        <w:r>
          <w:rPr>
            <w:rFonts w:ascii="Arial" w:cs="Arial" w:eastAsia="Arial" w:hAnsi="Arial"/>
            <w:sz w:val="18"/>
            <w:szCs w:val="18"/>
            <w:u w:val="single" w:color="auto"/>
            <w:color w:val="0000FF"/>
          </w:rPr>
          <w:t>Plan. (Incorporated by reference from the Form 10-K for the Registrant, for the year ended December 31, 2015,</w:t>
        </w:r>
      </w:hyperlink>
      <w:r>
        <w:rPr>
          <w:rFonts w:ascii="Arial" w:cs="Arial" w:eastAsia="Arial" w:hAnsi="Arial"/>
          <w:sz w:val="18"/>
          <w:szCs w:val="18"/>
          <w:u w:val="single" w:color="auto"/>
          <w:color w:val="0000FF"/>
        </w:rPr>
        <w:t xml:space="preserve"> </w:t>
      </w:r>
      <w:hyperlink r:id="rId129">
        <w:r>
          <w:rPr>
            <w:rFonts w:ascii="Arial" w:cs="Arial" w:eastAsia="Arial" w:hAnsi="Arial"/>
            <w:sz w:val="18"/>
            <w:szCs w:val="18"/>
            <w:u w:val="single" w:color="auto"/>
            <w:color w:val="0000FF"/>
          </w:rPr>
          <w:t>filed February 11, 2016.)</w:t>
        </w:r>
      </w:hyperlink>
    </w:p>
    <w:p>
      <w:pPr>
        <w:spacing w:after="0" w:line="1" w:lineRule="exact"/>
        <w:rPr>
          <w:rFonts w:ascii="Arial" w:cs="Arial" w:eastAsia="Arial" w:hAnsi="Arial"/>
          <w:sz w:val="18"/>
          <w:szCs w:val="18"/>
          <w:u w:val="single" w:color="auto"/>
          <w:color w:val="0000FF"/>
        </w:rPr>
      </w:pPr>
    </w:p>
    <w:p>
      <w:pPr>
        <w:jc w:val="both"/>
        <w:ind w:left="2100" w:right="20" w:hanging="1079"/>
        <w:spacing w:after="0" w:line="219" w:lineRule="auto"/>
        <w:tabs>
          <w:tab w:leader="none" w:pos="2080" w:val="left"/>
        </w:tabs>
        <w:rPr>
          <w:rFonts w:ascii="Arial" w:cs="Arial" w:eastAsia="Arial" w:hAnsi="Arial"/>
          <w:sz w:val="18"/>
          <w:szCs w:val="18"/>
          <w:u w:val="single" w:color="auto"/>
          <w:color w:val="0000FF"/>
        </w:rPr>
      </w:pPr>
      <w:r>
        <w:rPr>
          <w:rFonts w:ascii="Arial" w:cs="Arial" w:eastAsia="Arial" w:hAnsi="Arial"/>
          <w:sz w:val="18"/>
          <w:szCs w:val="18"/>
          <w:color w:val="auto"/>
        </w:rPr>
        <w:t>10.2.5 +</w:t>
      </w:r>
      <w:r>
        <w:rPr>
          <w:sz w:val="20"/>
          <w:szCs w:val="20"/>
          <w:color w:val="auto"/>
        </w:rPr>
        <w:tab/>
      </w:r>
      <w:hyperlink r:id="rId130">
        <w:r>
          <w:rPr>
            <w:rFonts w:ascii="Arial" w:cs="Arial" w:eastAsia="Arial" w:hAnsi="Arial"/>
            <w:sz w:val="18"/>
            <w:szCs w:val="18"/>
            <w:u w:val="single" w:color="auto"/>
            <w:color w:val="0000FF"/>
          </w:rPr>
          <w:t>Form of stock option agreement and related notice of grant for use in connection with the grant of non-qualified</w:t>
        </w:r>
      </w:hyperlink>
      <w:r>
        <w:rPr>
          <w:rFonts w:ascii="Arial" w:cs="Arial" w:eastAsia="Arial" w:hAnsi="Arial"/>
          <w:sz w:val="18"/>
          <w:szCs w:val="18"/>
          <w:u w:val="single" w:color="auto"/>
          <w:color w:val="0000FF"/>
        </w:rPr>
        <w:t xml:space="preserve"> </w:t>
      </w:r>
      <w:hyperlink r:id="rId130">
        <w:r>
          <w:rPr>
            <w:rFonts w:ascii="Arial" w:cs="Arial" w:eastAsia="Arial" w:hAnsi="Arial"/>
            <w:sz w:val="18"/>
            <w:szCs w:val="18"/>
            <w:u w:val="single" w:color="auto"/>
            <w:color w:val="0000FF"/>
          </w:rPr>
          <w:t>stock options to the Registrant's executive officers under the Regeneron Pharmaceuticals, Inc. 2014 Long-Term</w:t>
        </w:r>
      </w:hyperlink>
      <w:r>
        <w:rPr>
          <w:rFonts w:ascii="Arial" w:cs="Arial" w:eastAsia="Arial" w:hAnsi="Arial"/>
          <w:sz w:val="18"/>
          <w:szCs w:val="18"/>
          <w:u w:val="single" w:color="auto"/>
          <w:color w:val="0000FF"/>
        </w:rPr>
        <w:t xml:space="preserve"> </w:t>
      </w:r>
      <w:hyperlink r:id="rId130">
        <w:r>
          <w:rPr>
            <w:rFonts w:ascii="Arial" w:cs="Arial" w:eastAsia="Arial" w:hAnsi="Arial"/>
            <w:sz w:val="18"/>
            <w:szCs w:val="18"/>
            <w:u w:val="single" w:color="auto"/>
            <w:color w:val="0000FF"/>
          </w:rPr>
          <w:t>Incentive Plan (revised). (Incorporated by reference from the Form 8-K for the Registrant, filed November 19,</w:t>
        </w:r>
      </w:hyperlink>
      <w:r>
        <w:rPr>
          <w:rFonts w:ascii="Arial" w:cs="Arial" w:eastAsia="Arial" w:hAnsi="Arial"/>
          <w:sz w:val="18"/>
          <w:szCs w:val="18"/>
          <w:u w:val="single" w:color="auto"/>
          <w:color w:val="0000FF"/>
        </w:rPr>
        <w:t xml:space="preserve"> </w:t>
      </w:r>
      <w:hyperlink r:id="rId130">
        <w:r>
          <w:rPr>
            <w:rFonts w:ascii="Arial" w:cs="Arial" w:eastAsia="Arial" w:hAnsi="Arial"/>
            <w:sz w:val="18"/>
            <w:szCs w:val="18"/>
            <w:u w:val="single" w:color="auto"/>
            <w:color w:val="0000FF"/>
          </w:rPr>
          <w:t>2015.)</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630555</wp:posOffset>
            </wp:positionH>
            <wp:positionV relativeFrom="paragraph">
              <wp:posOffset>635</wp:posOffset>
            </wp:positionV>
            <wp:extent cx="5880735" cy="4800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1">
                      <a:extLst>
                        <a:ext uri="{28A0092B-C50C-407E-A947-70E740481C1C}"/>
                      </a:extLst>
                    </a:blip>
                    <a:srcRect/>
                    <a:stretch>
                      <a:fillRect/>
                    </a:stretch>
                  </pic:blipFill>
                  <pic:spPr bwMode="auto">
                    <a:xfrm>
                      <a:off x="0" y="0"/>
                      <a:ext cx="5880735" cy="480060"/>
                    </a:xfrm>
                    <a:prstGeom prst="rect">
                      <a:avLst/>
                    </a:prstGeom>
                    <a:noFill/>
                  </pic:spPr>
                </pic:pic>
              </a:graphicData>
            </a:graphic>
          </wp:anchor>
        </w:drawing>
      </w:r>
    </w:p>
    <w:p>
      <w:pPr>
        <w:jc w:val="both"/>
        <w:ind w:left="2100" w:hanging="1079"/>
        <w:spacing w:after="0" w:line="219" w:lineRule="auto"/>
        <w:tabs>
          <w:tab w:leader="none" w:pos="2080" w:val="left"/>
        </w:tabs>
        <w:rPr>
          <w:rFonts w:ascii="Arial" w:cs="Arial" w:eastAsia="Arial" w:hAnsi="Arial"/>
          <w:sz w:val="18"/>
          <w:szCs w:val="18"/>
          <w:u w:val="single" w:color="auto"/>
          <w:color w:val="0000FF"/>
        </w:rPr>
      </w:pPr>
      <w:r>
        <w:rPr>
          <w:rFonts w:ascii="Arial" w:cs="Arial" w:eastAsia="Arial" w:hAnsi="Arial"/>
          <w:sz w:val="18"/>
          <w:szCs w:val="18"/>
          <w:color w:val="auto"/>
        </w:rPr>
        <w:t>10.2.6 +</w:t>
      </w:r>
      <w:r>
        <w:rPr>
          <w:sz w:val="20"/>
          <w:szCs w:val="20"/>
          <w:color w:val="auto"/>
        </w:rPr>
        <w:tab/>
      </w:r>
      <w:hyperlink r:id="rId132">
        <w:r>
          <w:rPr>
            <w:rFonts w:ascii="Arial" w:cs="Arial" w:eastAsia="Arial" w:hAnsi="Arial"/>
            <w:sz w:val="18"/>
            <w:szCs w:val="18"/>
            <w:u w:val="single" w:color="auto"/>
            <w:color w:val="0000FF"/>
          </w:rPr>
          <w:t>Form of restricted stock award agreement and related notice of grant for use in connection with the grant of</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u w:val="single" w:color="auto"/>
            <w:color w:val="0000FF"/>
          </w:rPr>
          <w:t>restricted stock awards to the Registrant's executive officers under the Regeneron Pharmaceuticals, Inc. 2014</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u w:val="single" w:color="auto"/>
            <w:color w:val="0000FF"/>
          </w:rPr>
          <w:t>Long-Term Incentive Plan (revised). (Incorporated by reference from the Form 8-K for the Registrant, filed</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u w:val="single" w:color="auto"/>
            <w:color w:val="0000FF"/>
          </w:rPr>
          <w:t>November 19, 2015.)</w:t>
        </w:r>
      </w:hyperlink>
    </w:p>
    <w:p>
      <w:pPr>
        <w:spacing w:after="0" w:line="1" w:lineRule="exact"/>
        <w:rPr>
          <w:rFonts w:ascii="Arial" w:cs="Arial" w:eastAsia="Arial" w:hAnsi="Arial"/>
          <w:sz w:val="18"/>
          <w:szCs w:val="18"/>
          <w:u w:val="single" w:color="auto"/>
          <w:color w:val="0000FF"/>
        </w:rPr>
      </w:pPr>
    </w:p>
    <w:p>
      <w:pPr>
        <w:jc w:val="both"/>
        <w:ind w:left="2100" w:hanging="1079"/>
        <w:spacing w:after="0" w:line="219" w:lineRule="auto"/>
        <w:tabs>
          <w:tab w:leader="none" w:pos="2080" w:val="left"/>
        </w:tabs>
        <w:rPr>
          <w:rFonts w:ascii="Arial" w:cs="Arial" w:eastAsia="Arial" w:hAnsi="Arial"/>
          <w:sz w:val="18"/>
          <w:szCs w:val="18"/>
          <w:u w:val="single" w:color="auto"/>
          <w:color w:val="0000FF"/>
        </w:rPr>
      </w:pPr>
      <w:r>
        <w:rPr>
          <w:rFonts w:ascii="Arial" w:cs="Arial" w:eastAsia="Arial" w:hAnsi="Arial"/>
          <w:sz w:val="18"/>
          <w:szCs w:val="18"/>
          <w:color w:val="auto"/>
        </w:rPr>
        <w:t>10.2.7 +</w:t>
      </w:r>
      <w:r>
        <w:rPr>
          <w:sz w:val="20"/>
          <w:szCs w:val="20"/>
          <w:color w:val="auto"/>
        </w:rPr>
        <w:tab/>
      </w:r>
      <w:hyperlink r:id="rId133">
        <w:r>
          <w:rPr>
            <w:rFonts w:ascii="Arial" w:cs="Arial" w:eastAsia="Arial" w:hAnsi="Arial"/>
            <w:sz w:val="18"/>
            <w:szCs w:val="18"/>
            <w:u w:val="single" w:color="auto"/>
            <w:color w:val="0000FF"/>
          </w:rPr>
          <w:t>Form of stock option agreement and related notice of grant for use in connection with the grant of non-qualified</w:t>
        </w:r>
      </w:hyperlink>
      <w:r>
        <w:rPr>
          <w:rFonts w:ascii="Arial" w:cs="Arial" w:eastAsia="Arial" w:hAnsi="Arial"/>
          <w:sz w:val="18"/>
          <w:szCs w:val="18"/>
          <w:u w:val="single" w:color="auto"/>
          <w:color w:val="0000FF"/>
        </w:rPr>
        <w:t xml:space="preserve"> </w:t>
      </w:r>
      <w:hyperlink r:id="rId133">
        <w:r>
          <w:rPr>
            <w:rFonts w:ascii="Arial" w:cs="Arial" w:eastAsia="Arial" w:hAnsi="Arial"/>
            <w:sz w:val="18"/>
            <w:szCs w:val="18"/>
            <w:u w:val="single" w:color="auto"/>
            <w:color w:val="0000FF"/>
          </w:rPr>
          <w:t>stock options to the Registrant's non-employee directors under the Regeneron Pharmaceuticals, Inc. 2014 Long-</w:t>
        </w:r>
      </w:hyperlink>
      <w:hyperlink r:id="rId133">
        <w:r>
          <w:rPr>
            <w:rFonts w:ascii="Arial" w:cs="Arial" w:eastAsia="Arial" w:hAnsi="Arial"/>
            <w:sz w:val="18"/>
            <w:szCs w:val="18"/>
            <w:u w:val="single" w:color="auto"/>
            <w:color w:val="0000FF"/>
          </w:rPr>
          <w:t>Term Incentive Plan (revised). (Incorporated by reference from the Form 10-K for the Registrant, for the year</w:t>
        </w:r>
      </w:hyperlink>
      <w:r>
        <w:rPr>
          <w:rFonts w:ascii="Arial" w:cs="Arial" w:eastAsia="Arial" w:hAnsi="Arial"/>
          <w:sz w:val="18"/>
          <w:szCs w:val="18"/>
          <w:u w:val="single" w:color="auto"/>
          <w:color w:val="0000FF"/>
        </w:rPr>
        <w:t xml:space="preserve"> </w:t>
      </w:r>
      <w:hyperlink r:id="rId133">
        <w:r>
          <w:rPr>
            <w:rFonts w:ascii="Arial" w:cs="Arial" w:eastAsia="Arial" w:hAnsi="Arial"/>
            <w:sz w:val="18"/>
            <w:szCs w:val="18"/>
            <w:u w:val="single" w:color="auto"/>
            <w:color w:val="0000FF"/>
          </w:rPr>
          <w:t>ended December 31, 2015, filed February 11, 2016.)</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630555</wp:posOffset>
            </wp:positionH>
            <wp:positionV relativeFrom="paragraph">
              <wp:posOffset>635</wp:posOffset>
            </wp:positionV>
            <wp:extent cx="5880735" cy="4800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4">
                      <a:extLst>
                        <a:ext uri="{28A0092B-C50C-407E-A947-70E740481C1C}"/>
                      </a:extLst>
                    </a:blip>
                    <a:srcRect/>
                    <a:stretch>
                      <a:fillRect/>
                    </a:stretch>
                  </pic:blipFill>
                  <pic:spPr bwMode="auto">
                    <a:xfrm>
                      <a:off x="0" y="0"/>
                      <a:ext cx="5880735" cy="480060"/>
                    </a:xfrm>
                    <a:prstGeom prst="rect">
                      <a:avLst/>
                    </a:prstGeom>
                    <a:noFill/>
                  </pic:spPr>
                </pic:pic>
              </a:graphicData>
            </a:graphic>
          </wp:anchor>
        </w:drawing>
      </w:r>
    </w:p>
    <w:p>
      <w:pPr>
        <w:jc w:val="both"/>
        <w:ind w:left="2100" w:hanging="1079"/>
        <w:spacing w:after="0" w:line="219" w:lineRule="auto"/>
        <w:tabs>
          <w:tab w:leader="none" w:pos="2080" w:val="left"/>
        </w:tabs>
        <w:rPr>
          <w:rFonts w:ascii="Arial" w:cs="Arial" w:eastAsia="Arial" w:hAnsi="Arial"/>
          <w:sz w:val="18"/>
          <w:szCs w:val="18"/>
          <w:u w:val="single" w:color="auto"/>
          <w:color w:val="0000FF"/>
        </w:rPr>
      </w:pPr>
      <w:r>
        <w:rPr>
          <w:rFonts w:ascii="Arial" w:cs="Arial" w:eastAsia="Arial" w:hAnsi="Arial"/>
          <w:sz w:val="18"/>
          <w:szCs w:val="18"/>
          <w:color w:val="auto"/>
        </w:rPr>
        <w:t>10.2.8 +</w:t>
      </w:r>
      <w:r>
        <w:rPr>
          <w:sz w:val="20"/>
          <w:szCs w:val="20"/>
          <w:color w:val="auto"/>
        </w:rPr>
        <w:tab/>
      </w:r>
      <w:hyperlink r:id="rId135">
        <w:r>
          <w:rPr>
            <w:rFonts w:ascii="Arial" w:cs="Arial" w:eastAsia="Arial" w:hAnsi="Arial"/>
            <w:sz w:val="18"/>
            <w:szCs w:val="18"/>
            <w:u w:val="single" w:color="auto"/>
            <w:color w:val="0000FF"/>
          </w:rPr>
          <w:t>Form of stock option agreement and related notice of grant for use in connection with the grant of non-qualified</w:t>
        </w:r>
      </w:hyperlink>
      <w:r>
        <w:rPr>
          <w:rFonts w:ascii="Arial" w:cs="Arial" w:eastAsia="Arial" w:hAnsi="Arial"/>
          <w:sz w:val="18"/>
          <w:szCs w:val="18"/>
          <w:u w:val="single" w:color="auto"/>
          <w:color w:val="0000FF"/>
        </w:rPr>
        <w:t xml:space="preserve"> </w:t>
      </w:r>
      <w:hyperlink r:id="rId135">
        <w:r>
          <w:rPr>
            <w:rFonts w:ascii="Arial" w:cs="Arial" w:eastAsia="Arial" w:hAnsi="Arial"/>
            <w:sz w:val="18"/>
            <w:szCs w:val="18"/>
            <w:u w:val="single" w:color="auto"/>
            <w:color w:val="0000FF"/>
          </w:rPr>
          <w:t>stock options to the Registrant's executive officers under the Amended and Restated Regeneron Pharmaceuticals,</w:t>
        </w:r>
      </w:hyperlink>
      <w:r>
        <w:rPr>
          <w:rFonts w:ascii="Arial" w:cs="Arial" w:eastAsia="Arial" w:hAnsi="Arial"/>
          <w:sz w:val="18"/>
          <w:szCs w:val="18"/>
          <w:u w:val="single" w:color="auto"/>
          <w:color w:val="0000FF"/>
        </w:rPr>
        <w:t xml:space="preserve"> </w:t>
      </w:r>
      <w:hyperlink r:id="rId135">
        <w:r>
          <w:rPr>
            <w:rFonts w:ascii="Arial" w:cs="Arial" w:eastAsia="Arial" w:hAnsi="Arial"/>
            <w:sz w:val="18"/>
            <w:szCs w:val="18"/>
            <w:u w:val="single" w:color="auto"/>
            <w:color w:val="0000FF"/>
          </w:rPr>
          <w:t>Inc. 2014 Long-Term Incentive Plan. (Incorporated by reference from the Form 10-K for the Registrant, for the</w:t>
        </w:r>
      </w:hyperlink>
      <w:r>
        <w:rPr>
          <w:rFonts w:ascii="Arial" w:cs="Arial" w:eastAsia="Arial" w:hAnsi="Arial"/>
          <w:sz w:val="18"/>
          <w:szCs w:val="18"/>
          <w:u w:val="single" w:color="auto"/>
          <w:color w:val="0000FF"/>
        </w:rPr>
        <w:t xml:space="preserve"> </w:t>
      </w:r>
      <w:hyperlink r:id="rId135">
        <w:r>
          <w:rPr>
            <w:rFonts w:ascii="Arial" w:cs="Arial" w:eastAsia="Arial" w:hAnsi="Arial"/>
            <w:sz w:val="18"/>
            <w:szCs w:val="18"/>
            <w:u w:val="single" w:color="auto"/>
            <w:color w:val="0000FF"/>
          </w:rPr>
          <w:t>year ended December 31, 2017, filed February 8, 2018.)</w:t>
        </w:r>
      </w:hyperlink>
    </w:p>
    <w:p>
      <w:pPr>
        <w:spacing w:after="0" w:line="1" w:lineRule="exact"/>
        <w:rPr>
          <w:rFonts w:ascii="Arial" w:cs="Arial" w:eastAsia="Arial" w:hAnsi="Arial"/>
          <w:sz w:val="18"/>
          <w:szCs w:val="18"/>
          <w:u w:val="single" w:color="auto"/>
          <w:color w:val="0000FF"/>
        </w:rPr>
      </w:pPr>
    </w:p>
    <w:p>
      <w:pPr>
        <w:jc w:val="both"/>
        <w:ind w:left="2100" w:hanging="1079"/>
        <w:spacing w:after="0" w:line="219" w:lineRule="auto"/>
        <w:tabs>
          <w:tab w:leader="none" w:pos="2080" w:val="left"/>
        </w:tabs>
        <w:rPr>
          <w:rFonts w:ascii="Arial" w:cs="Arial" w:eastAsia="Arial" w:hAnsi="Arial"/>
          <w:sz w:val="18"/>
          <w:szCs w:val="18"/>
          <w:u w:val="single" w:color="auto"/>
          <w:color w:val="0000FF"/>
        </w:rPr>
      </w:pPr>
      <w:r>
        <w:rPr>
          <w:rFonts w:ascii="Arial" w:cs="Arial" w:eastAsia="Arial" w:hAnsi="Arial"/>
          <w:sz w:val="18"/>
          <w:szCs w:val="18"/>
          <w:color w:val="auto"/>
        </w:rPr>
        <w:t>10.2.9 +</w:t>
      </w:r>
      <w:r>
        <w:rPr>
          <w:sz w:val="20"/>
          <w:szCs w:val="20"/>
          <w:color w:val="auto"/>
        </w:rPr>
        <w:tab/>
      </w:r>
      <w:hyperlink r:id="rId136">
        <w:r>
          <w:rPr>
            <w:rFonts w:ascii="Arial" w:cs="Arial" w:eastAsia="Arial" w:hAnsi="Arial"/>
            <w:sz w:val="18"/>
            <w:szCs w:val="18"/>
            <w:u w:val="single" w:color="auto"/>
            <w:color w:val="0000FF"/>
          </w:rPr>
          <w:t>Form of stock option agreement and related notice of grant for use in connection with the grant of non-qualified</w:t>
        </w:r>
      </w:hyperlink>
      <w:r>
        <w:rPr>
          <w:rFonts w:ascii="Arial" w:cs="Arial" w:eastAsia="Arial" w:hAnsi="Arial"/>
          <w:sz w:val="18"/>
          <w:szCs w:val="18"/>
          <w:u w:val="single" w:color="auto"/>
          <w:color w:val="0000FF"/>
        </w:rPr>
        <w:t xml:space="preserve"> </w:t>
      </w:r>
      <w:hyperlink r:id="rId136">
        <w:r>
          <w:rPr>
            <w:rFonts w:ascii="Arial" w:cs="Arial" w:eastAsia="Arial" w:hAnsi="Arial"/>
            <w:sz w:val="18"/>
            <w:szCs w:val="18"/>
            <w:u w:val="single" w:color="auto"/>
            <w:color w:val="0000FF"/>
          </w:rPr>
          <w:t>stock options to P. Roy Vagelos, M.D. under the Amended and Restated Regeneron Pharmaceuticals, Inc. 2014</w:t>
        </w:r>
      </w:hyperlink>
      <w:r>
        <w:rPr>
          <w:rFonts w:ascii="Arial" w:cs="Arial" w:eastAsia="Arial" w:hAnsi="Arial"/>
          <w:sz w:val="18"/>
          <w:szCs w:val="18"/>
          <w:u w:val="single" w:color="auto"/>
          <w:color w:val="0000FF"/>
        </w:rPr>
        <w:t xml:space="preserve"> </w:t>
      </w:r>
      <w:hyperlink r:id="rId136">
        <w:r>
          <w:rPr>
            <w:rFonts w:ascii="Arial" w:cs="Arial" w:eastAsia="Arial" w:hAnsi="Arial"/>
            <w:sz w:val="18"/>
            <w:szCs w:val="18"/>
            <w:u w:val="single" w:color="auto"/>
            <w:color w:val="0000FF"/>
          </w:rPr>
          <w:t>Long-Term Incentive Plan. (Incorporated by reference from the Form 10-K for the Registrant, for the year ended</w:t>
        </w:r>
      </w:hyperlink>
      <w:r>
        <w:rPr>
          <w:rFonts w:ascii="Arial" w:cs="Arial" w:eastAsia="Arial" w:hAnsi="Arial"/>
          <w:sz w:val="18"/>
          <w:szCs w:val="18"/>
          <w:u w:val="single" w:color="auto"/>
          <w:color w:val="0000FF"/>
        </w:rPr>
        <w:t xml:space="preserve"> </w:t>
      </w:r>
      <w:hyperlink r:id="rId136">
        <w:r>
          <w:rPr>
            <w:rFonts w:ascii="Arial" w:cs="Arial" w:eastAsia="Arial" w:hAnsi="Arial"/>
            <w:sz w:val="18"/>
            <w:szCs w:val="18"/>
            <w:u w:val="single" w:color="auto"/>
            <w:color w:val="0000FF"/>
          </w:rPr>
          <w:t>December 31, 2017, filed February 8, 2018.)</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630555</wp:posOffset>
            </wp:positionH>
            <wp:positionV relativeFrom="paragraph">
              <wp:posOffset>635</wp:posOffset>
            </wp:positionV>
            <wp:extent cx="5880735" cy="4800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7">
                      <a:extLst>
                        <a:ext uri="{28A0092B-C50C-407E-A947-70E740481C1C}"/>
                      </a:extLst>
                    </a:blip>
                    <a:srcRect/>
                    <a:stretch>
                      <a:fillRect/>
                    </a:stretch>
                  </pic:blipFill>
                  <pic:spPr bwMode="auto">
                    <a:xfrm>
                      <a:off x="0" y="0"/>
                      <a:ext cx="5880735" cy="480060"/>
                    </a:xfrm>
                    <a:prstGeom prst="rect">
                      <a:avLst/>
                    </a:prstGeom>
                    <a:noFill/>
                  </pic:spPr>
                </pic:pic>
              </a:graphicData>
            </a:graphic>
          </wp:anchor>
        </w:drawing>
      </w:r>
    </w:p>
    <w:p>
      <w:pPr>
        <w:jc w:val="both"/>
        <w:ind w:left="2100" w:hanging="1079"/>
        <w:spacing w:after="0" w:line="232" w:lineRule="auto"/>
        <w:tabs>
          <w:tab w:leader="none" w:pos="2080" w:val="left"/>
        </w:tabs>
        <w:rPr>
          <w:rFonts w:ascii="Arial" w:cs="Arial" w:eastAsia="Arial" w:hAnsi="Arial"/>
          <w:sz w:val="17"/>
          <w:szCs w:val="17"/>
          <w:u w:val="single" w:color="auto"/>
          <w:color w:val="0000FF"/>
        </w:rPr>
      </w:pPr>
      <w:r>
        <w:rPr>
          <w:rFonts w:ascii="Arial" w:cs="Arial" w:eastAsia="Arial" w:hAnsi="Arial"/>
          <w:sz w:val="18"/>
          <w:szCs w:val="18"/>
          <w:color w:val="auto"/>
        </w:rPr>
        <w:t>10.2.10 +</w:t>
      </w:r>
      <w:r>
        <w:rPr>
          <w:sz w:val="20"/>
          <w:szCs w:val="20"/>
          <w:color w:val="auto"/>
        </w:rPr>
        <w:tab/>
      </w:r>
      <w:hyperlink r:id="rId138">
        <w:r>
          <w:rPr>
            <w:rFonts w:ascii="Arial" w:cs="Arial" w:eastAsia="Arial" w:hAnsi="Arial"/>
            <w:sz w:val="17"/>
            <w:szCs w:val="17"/>
            <w:u w:val="single" w:color="auto"/>
            <w:color w:val="0000FF"/>
          </w:rPr>
          <w:t>Form of restricted stock award agreement and related notice of grant for use in connection with the grant of</w:t>
        </w:r>
      </w:hyperlink>
      <w:r>
        <w:rPr>
          <w:rFonts w:ascii="Arial" w:cs="Arial" w:eastAsia="Arial" w:hAnsi="Arial"/>
          <w:sz w:val="17"/>
          <w:szCs w:val="17"/>
          <w:u w:val="single" w:color="auto"/>
          <w:color w:val="0000FF"/>
        </w:rPr>
        <w:t xml:space="preserve"> </w:t>
      </w:r>
      <w:hyperlink r:id="rId138">
        <w:r>
          <w:rPr>
            <w:rFonts w:ascii="Arial" w:cs="Arial" w:eastAsia="Arial" w:hAnsi="Arial"/>
            <w:sz w:val="17"/>
            <w:szCs w:val="17"/>
            <w:u w:val="single" w:color="auto"/>
            <w:color w:val="0000FF"/>
          </w:rPr>
          <w:t>restricted stock awards to the Registrant's executive officers under the Amended and Restated Regeneron</w:t>
        </w:r>
      </w:hyperlink>
      <w:r>
        <w:rPr>
          <w:rFonts w:ascii="Arial" w:cs="Arial" w:eastAsia="Arial" w:hAnsi="Arial"/>
          <w:sz w:val="17"/>
          <w:szCs w:val="17"/>
          <w:u w:val="single" w:color="auto"/>
          <w:color w:val="0000FF"/>
        </w:rPr>
        <w:t xml:space="preserve"> </w:t>
      </w:r>
      <w:hyperlink r:id="rId138">
        <w:r>
          <w:rPr>
            <w:rFonts w:ascii="Arial" w:cs="Arial" w:eastAsia="Arial" w:hAnsi="Arial"/>
            <w:sz w:val="17"/>
            <w:szCs w:val="17"/>
            <w:u w:val="single" w:color="auto"/>
            <w:color w:val="0000FF"/>
          </w:rPr>
          <w:t>Pharmaceuticals, Inc. 2014 Long-Term Incentive Plan. (Incorporated by reference from the Form 10-K for the</w:t>
        </w:r>
      </w:hyperlink>
      <w:r>
        <w:rPr>
          <w:rFonts w:ascii="Arial" w:cs="Arial" w:eastAsia="Arial" w:hAnsi="Arial"/>
          <w:sz w:val="17"/>
          <w:szCs w:val="17"/>
          <w:u w:val="single" w:color="auto"/>
          <w:color w:val="0000FF"/>
        </w:rPr>
        <w:t xml:space="preserve"> </w:t>
      </w:r>
      <w:hyperlink r:id="rId138">
        <w:r>
          <w:rPr>
            <w:rFonts w:ascii="Arial" w:cs="Arial" w:eastAsia="Arial" w:hAnsi="Arial"/>
            <w:sz w:val="17"/>
            <w:szCs w:val="17"/>
            <w:u w:val="single" w:color="auto"/>
            <w:color w:val="0000FF"/>
          </w:rPr>
          <w:t>Registrant, for the year ended December 31, 2017, filed February 8, 2018.)</w:t>
        </w:r>
      </w:hyperlink>
    </w:p>
    <w:p>
      <w:pPr>
        <w:jc w:val="both"/>
        <w:ind w:left="2100" w:hanging="1079"/>
        <w:spacing w:after="0" w:line="219" w:lineRule="auto"/>
        <w:tabs>
          <w:tab w:leader="none" w:pos="2080" w:val="left"/>
        </w:tabs>
        <w:rPr>
          <w:rFonts w:ascii="Arial" w:cs="Arial" w:eastAsia="Arial" w:hAnsi="Arial"/>
          <w:sz w:val="18"/>
          <w:szCs w:val="18"/>
          <w:u w:val="single" w:color="auto"/>
          <w:color w:val="0000FF"/>
        </w:rPr>
      </w:pPr>
      <w:r>
        <w:rPr>
          <w:rFonts w:ascii="Arial" w:cs="Arial" w:eastAsia="Arial" w:hAnsi="Arial"/>
          <w:sz w:val="18"/>
          <w:szCs w:val="18"/>
          <w:color w:val="auto"/>
        </w:rPr>
        <w:t>10.2.11 +</w:t>
      </w:r>
      <w:r>
        <w:rPr>
          <w:sz w:val="20"/>
          <w:szCs w:val="20"/>
          <w:color w:val="auto"/>
        </w:rPr>
        <w:tab/>
      </w:r>
      <w:hyperlink r:id="rId139">
        <w:r>
          <w:rPr>
            <w:rFonts w:ascii="Arial" w:cs="Arial" w:eastAsia="Arial" w:hAnsi="Arial"/>
            <w:sz w:val="18"/>
            <w:szCs w:val="18"/>
            <w:u w:val="single" w:color="auto"/>
            <w:color w:val="0000FF"/>
          </w:rPr>
          <w:t>Form of stock option agreement and related notice of grant for use in connection with the grant of non-qualified</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stock options to the Registrant's non-employee directors under the Amended and Restated Regeneron</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Pharmaceuticals, Inc. 2014 Long-Term Incentive Plan. (Incorporated by reference from the Form 10-K for the</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Registrant, for the year ended December 31, 2017, filed February 8, 2018.)</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630555</wp:posOffset>
            </wp:positionH>
            <wp:positionV relativeFrom="paragraph">
              <wp:posOffset>635</wp:posOffset>
            </wp:positionV>
            <wp:extent cx="5880735" cy="4800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0">
                      <a:extLst>
                        <a:ext uri="{28A0092B-C50C-407E-A947-70E740481C1C}"/>
                      </a:extLst>
                    </a:blip>
                    <a:srcRect/>
                    <a:stretch>
                      <a:fillRect/>
                    </a:stretch>
                  </pic:blipFill>
                  <pic:spPr bwMode="auto">
                    <a:xfrm>
                      <a:off x="0" y="0"/>
                      <a:ext cx="5880735" cy="480060"/>
                    </a:xfrm>
                    <a:prstGeom prst="rect">
                      <a:avLst/>
                    </a:prstGeom>
                    <a:noFill/>
                  </pic:spPr>
                </pic:pic>
              </a:graphicData>
            </a:graphic>
          </wp:anchor>
        </w:drawing>
      </w:r>
    </w:p>
    <w:p>
      <w:pPr>
        <w:jc w:val="both"/>
        <w:ind w:left="2100" w:hanging="1079"/>
        <w:spacing w:after="0" w:line="232" w:lineRule="auto"/>
        <w:tabs>
          <w:tab w:leader="none" w:pos="2080" w:val="left"/>
        </w:tabs>
        <w:rPr>
          <w:rFonts w:ascii="Arial" w:cs="Arial" w:eastAsia="Arial" w:hAnsi="Arial"/>
          <w:sz w:val="17"/>
          <w:szCs w:val="17"/>
          <w:u w:val="single" w:color="auto"/>
          <w:color w:val="0000FF"/>
        </w:rPr>
      </w:pPr>
      <w:r>
        <w:rPr>
          <w:rFonts w:ascii="Arial" w:cs="Arial" w:eastAsia="Arial" w:hAnsi="Arial"/>
          <w:sz w:val="18"/>
          <w:szCs w:val="18"/>
          <w:color w:val="auto"/>
        </w:rPr>
        <w:t>10.2.12 +</w:t>
      </w:r>
      <w:r>
        <w:rPr>
          <w:sz w:val="20"/>
          <w:szCs w:val="20"/>
          <w:color w:val="auto"/>
        </w:rPr>
        <w:tab/>
      </w:r>
      <w:hyperlink r:id="rId141">
        <w:r>
          <w:rPr>
            <w:rFonts w:ascii="Arial" w:cs="Arial" w:eastAsia="Arial" w:hAnsi="Arial"/>
            <w:sz w:val="17"/>
            <w:szCs w:val="17"/>
            <w:u w:val="single" w:color="auto"/>
            <w:color w:val="0000FF"/>
          </w:rPr>
          <w:t>Form of stock option agreement and related notice of grant for use in connection with the grant of non-qualified</w:t>
        </w:r>
      </w:hyperlink>
      <w:r>
        <w:rPr>
          <w:rFonts w:ascii="Arial" w:cs="Arial" w:eastAsia="Arial" w:hAnsi="Arial"/>
          <w:sz w:val="17"/>
          <w:szCs w:val="17"/>
          <w:u w:val="single" w:color="auto"/>
          <w:color w:val="0000FF"/>
        </w:rPr>
        <w:t xml:space="preserve"> </w:t>
      </w:r>
      <w:hyperlink r:id="rId141">
        <w:r>
          <w:rPr>
            <w:rFonts w:ascii="Arial" w:cs="Arial" w:eastAsia="Arial" w:hAnsi="Arial"/>
            <w:sz w:val="17"/>
            <w:szCs w:val="17"/>
            <w:u w:val="single" w:color="auto"/>
            <w:color w:val="0000FF"/>
          </w:rPr>
          <w:t>stock options to the Registrant's executive officers under the Amended and Restated Regeneron Pharmaceuticals,</w:t>
        </w:r>
      </w:hyperlink>
      <w:r>
        <w:rPr>
          <w:rFonts w:ascii="Arial" w:cs="Arial" w:eastAsia="Arial" w:hAnsi="Arial"/>
          <w:sz w:val="17"/>
          <w:szCs w:val="17"/>
          <w:u w:val="single" w:color="auto"/>
          <w:color w:val="0000FF"/>
        </w:rPr>
        <w:t xml:space="preserve"> </w:t>
      </w:r>
      <w:hyperlink r:id="rId141">
        <w:r>
          <w:rPr>
            <w:rFonts w:ascii="Arial" w:cs="Arial" w:eastAsia="Arial" w:hAnsi="Arial"/>
            <w:sz w:val="17"/>
            <w:szCs w:val="17"/>
            <w:u w:val="single" w:color="auto"/>
            <w:color w:val="0000FF"/>
          </w:rPr>
          <w:t>Inc. 2014 Long-Term Incentive Plan (revised 2018). (Incorporated by reference from the Form 10-K for the</w:t>
        </w:r>
      </w:hyperlink>
      <w:r>
        <w:rPr>
          <w:rFonts w:ascii="Arial" w:cs="Arial" w:eastAsia="Arial" w:hAnsi="Arial"/>
          <w:sz w:val="17"/>
          <w:szCs w:val="17"/>
          <w:u w:val="single" w:color="auto"/>
          <w:color w:val="0000FF"/>
        </w:rPr>
        <w:t xml:space="preserve"> </w:t>
      </w:r>
      <w:hyperlink r:id="rId141">
        <w:r>
          <w:rPr>
            <w:rFonts w:ascii="Arial" w:cs="Arial" w:eastAsia="Arial" w:hAnsi="Arial"/>
            <w:sz w:val="17"/>
            <w:szCs w:val="17"/>
            <w:u w:val="single" w:color="auto"/>
            <w:color w:val="0000FF"/>
          </w:rPr>
          <w:t>Registrant, for the year ended December 31, 2018, filed February 7, 2019.)</w:t>
        </w:r>
      </w:hyperlink>
    </w:p>
    <w:p>
      <w:pPr>
        <w:jc w:val="both"/>
        <w:ind w:left="2100" w:hanging="1079"/>
        <w:spacing w:after="0" w:line="219" w:lineRule="auto"/>
        <w:tabs>
          <w:tab w:leader="none" w:pos="2080" w:val="left"/>
        </w:tabs>
        <w:rPr>
          <w:rFonts w:ascii="Arial" w:cs="Arial" w:eastAsia="Arial" w:hAnsi="Arial"/>
          <w:sz w:val="18"/>
          <w:szCs w:val="18"/>
          <w:u w:val="single" w:color="auto"/>
          <w:color w:val="0000FF"/>
        </w:rPr>
      </w:pPr>
      <w:r>
        <w:rPr>
          <w:rFonts w:ascii="Arial" w:cs="Arial" w:eastAsia="Arial" w:hAnsi="Arial"/>
          <w:sz w:val="18"/>
          <w:szCs w:val="18"/>
          <w:color w:val="auto"/>
        </w:rPr>
        <w:t>10.2.13 +</w:t>
      </w:r>
      <w:r>
        <w:rPr>
          <w:sz w:val="20"/>
          <w:szCs w:val="20"/>
          <w:color w:val="auto"/>
        </w:rPr>
        <w:tab/>
      </w:r>
      <w:hyperlink r:id="rId142">
        <w:r>
          <w:rPr>
            <w:rFonts w:ascii="Arial" w:cs="Arial" w:eastAsia="Arial" w:hAnsi="Arial"/>
            <w:sz w:val="18"/>
            <w:szCs w:val="18"/>
            <w:u w:val="single" w:color="auto"/>
            <w:color w:val="0000FF"/>
          </w:rPr>
          <w:t>Form of stock option agreement and related notice of grant for use in connection with the grant of non-qualified</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stock options to P. Roy Vagelos, M.D. under the Amended and Restated Regeneron Pharmaceuticals, Inc. 2014</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Long-Term Incentive Plan (revised 2018). (Incorporated by reference from the Form 10-K for the Registrant, for</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the year ended December 31, 2018, filed February 7, 2019.)</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630555</wp:posOffset>
            </wp:positionH>
            <wp:positionV relativeFrom="paragraph">
              <wp:posOffset>635</wp:posOffset>
            </wp:positionV>
            <wp:extent cx="5880735" cy="4800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3">
                      <a:extLst>
                        <a:ext uri="{28A0092B-C50C-407E-A947-70E740481C1C}"/>
                      </a:extLst>
                    </a:blip>
                    <a:srcRect/>
                    <a:stretch>
                      <a:fillRect/>
                    </a:stretch>
                  </pic:blipFill>
                  <pic:spPr bwMode="auto">
                    <a:xfrm>
                      <a:off x="0" y="0"/>
                      <a:ext cx="5880735" cy="480060"/>
                    </a:xfrm>
                    <a:prstGeom prst="rect">
                      <a:avLst/>
                    </a:prstGeom>
                    <a:noFill/>
                  </pic:spPr>
                </pic:pic>
              </a:graphicData>
            </a:graphic>
          </wp:anchor>
        </w:drawing>
      </w:r>
    </w:p>
    <w:p>
      <w:pPr>
        <w:jc w:val="both"/>
        <w:ind w:left="2100" w:hanging="1079"/>
        <w:spacing w:after="0" w:line="232" w:lineRule="auto"/>
        <w:tabs>
          <w:tab w:leader="none" w:pos="2080" w:val="left"/>
        </w:tabs>
        <w:rPr>
          <w:rFonts w:ascii="Arial" w:cs="Arial" w:eastAsia="Arial" w:hAnsi="Arial"/>
          <w:sz w:val="17"/>
          <w:szCs w:val="17"/>
          <w:u w:val="single" w:color="auto"/>
          <w:color w:val="0000FF"/>
        </w:rPr>
      </w:pPr>
      <w:r>
        <w:rPr>
          <w:rFonts w:ascii="Arial" w:cs="Arial" w:eastAsia="Arial" w:hAnsi="Arial"/>
          <w:sz w:val="18"/>
          <w:szCs w:val="18"/>
          <w:color w:val="auto"/>
        </w:rPr>
        <w:t>10.2.14 +</w:t>
      </w:r>
      <w:r>
        <w:rPr>
          <w:sz w:val="20"/>
          <w:szCs w:val="20"/>
          <w:color w:val="auto"/>
        </w:rPr>
        <w:tab/>
      </w:r>
      <w:hyperlink r:id="rId144">
        <w:r>
          <w:rPr>
            <w:rFonts w:ascii="Arial" w:cs="Arial" w:eastAsia="Arial" w:hAnsi="Arial"/>
            <w:sz w:val="17"/>
            <w:szCs w:val="17"/>
            <w:u w:val="single" w:color="auto"/>
            <w:color w:val="0000FF"/>
          </w:rPr>
          <w:t>Form of restricted stock award agreement and related notice of grant for use in connection with the grant of</w:t>
        </w:r>
      </w:hyperlink>
      <w:r>
        <w:rPr>
          <w:rFonts w:ascii="Arial" w:cs="Arial" w:eastAsia="Arial" w:hAnsi="Arial"/>
          <w:sz w:val="17"/>
          <w:szCs w:val="17"/>
          <w:u w:val="single" w:color="auto"/>
          <w:color w:val="0000FF"/>
        </w:rPr>
        <w:t xml:space="preserve"> </w:t>
      </w:r>
      <w:hyperlink r:id="rId144">
        <w:r>
          <w:rPr>
            <w:rFonts w:ascii="Arial" w:cs="Arial" w:eastAsia="Arial" w:hAnsi="Arial"/>
            <w:sz w:val="17"/>
            <w:szCs w:val="17"/>
            <w:u w:val="single" w:color="auto"/>
            <w:color w:val="0000FF"/>
          </w:rPr>
          <w:t>restricted stock awards to the Registrant's executive officers under the Amended and Restated Regeneron</w:t>
        </w:r>
      </w:hyperlink>
      <w:r>
        <w:rPr>
          <w:rFonts w:ascii="Arial" w:cs="Arial" w:eastAsia="Arial" w:hAnsi="Arial"/>
          <w:sz w:val="17"/>
          <w:szCs w:val="17"/>
          <w:u w:val="single" w:color="auto"/>
          <w:color w:val="0000FF"/>
        </w:rPr>
        <w:t xml:space="preserve"> </w:t>
      </w:r>
      <w:hyperlink r:id="rId144">
        <w:r>
          <w:rPr>
            <w:rFonts w:ascii="Arial" w:cs="Arial" w:eastAsia="Arial" w:hAnsi="Arial"/>
            <w:sz w:val="17"/>
            <w:szCs w:val="17"/>
            <w:u w:val="single" w:color="auto"/>
            <w:color w:val="0000FF"/>
          </w:rPr>
          <w:t>Pharmaceuticals, Inc. 2014 Long-Term Incentive Plan (revised 2018). (Incorporated by reference from the Form</w:t>
        </w:r>
      </w:hyperlink>
      <w:r>
        <w:rPr>
          <w:rFonts w:ascii="Arial" w:cs="Arial" w:eastAsia="Arial" w:hAnsi="Arial"/>
          <w:sz w:val="17"/>
          <w:szCs w:val="17"/>
          <w:u w:val="single" w:color="auto"/>
          <w:color w:val="0000FF"/>
        </w:rPr>
        <w:t xml:space="preserve"> </w:t>
      </w:r>
      <w:hyperlink r:id="rId144">
        <w:r>
          <w:rPr>
            <w:rFonts w:ascii="Arial" w:cs="Arial" w:eastAsia="Arial" w:hAnsi="Arial"/>
            <w:sz w:val="17"/>
            <w:szCs w:val="17"/>
            <w:u w:val="single" w:color="auto"/>
            <w:color w:val="0000FF"/>
          </w:rPr>
          <w:t>10-K for the Registrant, for the year ended December 31, 2018, filed February 7, 2019.)</w:t>
        </w:r>
      </w:hyperlink>
    </w:p>
    <w:p>
      <w:pPr>
        <w:spacing w:after="0" w:line="200" w:lineRule="exact"/>
        <w:rPr>
          <w:rFonts w:ascii="Arial" w:cs="Arial" w:eastAsia="Arial" w:hAnsi="Arial"/>
          <w:sz w:val="17"/>
          <w:szCs w:val="17"/>
          <w:u w:val="single" w:color="auto"/>
          <w:color w:val="0000FF"/>
        </w:rPr>
      </w:pPr>
    </w:p>
    <w:p>
      <w:pPr>
        <w:spacing w:after="0" w:line="231" w:lineRule="exact"/>
        <w:rPr>
          <w:rFonts w:ascii="Arial" w:cs="Arial" w:eastAsia="Arial" w:hAnsi="Arial"/>
          <w:sz w:val="17"/>
          <w:szCs w:val="17"/>
          <w:u w:val="single" w:color="auto"/>
          <w:color w:val="0000FF"/>
        </w:rPr>
      </w:pPr>
    </w:p>
    <w:p>
      <w:pPr>
        <w:ind w:left="5540"/>
        <w:spacing w:after="0"/>
        <w:rPr>
          <w:sz w:val="20"/>
          <w:szCs w:val="20"/>
          <w:color w:val="auto"/>
        </w:rPr>
      </w:pPr>
      <w:r>
        <w:rPr>
          <w:rFonts w:ascii="Arial" w:cs="Arial" w:eastAsia="Arial" w:hAnsi="Arial"/>
          <w:sz w:val="18"/>
          <w:szCs w:val="18"/>
          <w:color w:val="auto"/>
        </w:rPr>
        <w:t>93</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40"/>
          </w:cols>
          <w:pgMar w:left="320" w:top="130" w:right="1339" w:bottom="1440" w:gutter="0" w:footer="0" w:header="0"/>
        </w:sectPr>
      </w:pPr>
    </w:p>
    <w:bookmarkStart w:id="94" w:name="page95"/>
    <w:bookmarkEnd w:id="9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00" w:type="dxa"/>
            <w:vAlign w:val="bottom"/>
            <w:gridSpan w:val="2"/>
          </w:tcPr>
          <w:p>
            <w:pPr>
              <w:ind w:left="1020"/>
              <w:spacing w:after="0"/>
              <w:rPr>
                <w:sz w:val="20"/>
                <w:szCs w:val="20"/>
                <w:color w:val="auto"/>
              </w:rPr>
            </w:pPr>
            <w:r>
              <w:rPr>
                <w:rFonts w:ascii="Arial" w:cs="Arial" w:eastAsia="Arial" w:hAnsi="Arial"/>
                <w:sz w:val="18"/>
                <w:szCs w:val="18"/>
                <w:color w:val="auto"/>
              </w:rPr>
              <w:t>10.2.15 +</w:t>
            </w:r>
          </w:p>
        </w:tc>
        <w:tc>
          <w:tcPr>
            <w:tcW w:w="9140" w:type="dxa"/>
            <w:vAlign w:val="bottom"/>
            <w:gridSpan w:val="27"/>
          </w:tcPr>
          <w:p>
            <w:pPr>
              <w:spacing w:after="0"/>
              <w:rPr>
                <w:rFonts w:ascii="Arial" w:cs="Arial" w:eastAsia="Arial" w:hAnsi="Arial"/>
                <w:sz w:val="18"/>
                <w:szCs w:val="18"/>
                <w:color w:val="0000FF"/>
              </w:rPr>
            </w:pPr>
            <w:hyperlink r:id="rId146">
              <w:r>
                <w:rPr>
                  <w:rFonts w:ascii="Arial" w:cs="Arial" w:eastAsia="Arial" w:hAnsi="Arial"/>
                  <w:sz w:val="18"/>
                  <w:szCs w:val="18"/>
                  <w:color w:val="0000FF"/>
                </w:rPr>
                <w:t>Form of stock option agreement and related notice of grant for use in connection with the grant of non-qualified</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46">
              <w:r>
                <w:rPr>
                  <w:rFonts w:ascii="Arial" w:cs="Arial" w:eastAsia="Arial" w:hAnsi="Arial"/>
                  <w:sz w:val="18"/>
                  <w:szCs w:val="18"/>
                  <w:color w:val="0000FF"/>
                </w:rPr>
                <w:t>stock options to the Registrant's non-employee directors under the Amended and Restated Regeneron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14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146">
              <w:r>
                <w:rPr>
                  <w:rFonts w:ascii="Arial" w:cs="Arial" w:eastAsia="Arial" w:hAnsi="Arial"/>
                  <w:sz w:val="18"/>
                  <w:szCs w:val="18"/>
                  <w:color w:val="0000FF"/>
                  <w:w w:val="91"/>
                </w:rPr>
                <w:t>Pharmaceuticals, Inc. 2014 Long-Term Incentive Plan (revised 2018). (Incorporated by reference from the Form</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180" w:type="dxa"/>
            <w:vAlign w:val="bottom"/>
            <w:gridSpan w:val="12"/>
          </w:tcPr>
          <w:p>
            <w:pPr>
              <w:spacing w:after="0" w:line="156" w:lineRule="exact"/>
              <w:rPr>
                <w:rFonts w:ascii="Arial" w:cs="Arial" w:eastAsia="Arial" w:hAnsi="Arial"/>
                <w:sz w:val="18"/>
                <w:szCs w:val="18"/>
                <w:color w:val="0000FF"/>
              </w:rPr>
            </w:pPr>
            <w:hyperlink r:id="rId146">
              <w:r>
                <w:rPr>
                  <w:rFonts w:ascii="Arial" w:cs="Arial" w:eastAsia="Arial" w:hAnsi="Arial"/>
                  <w:sz w:val="18"/>
                  <w:szCs w:val="18"/>
                  <w:color w:val="0000FF"/>
                </w:rPr>
                <w:t>10-K for the Registrant, for the year ended December 31, 2018, filed February 7, 2019.)</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6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10.2.16 +</w:t>
            </w:r>
          </w:p>
        </w:tc>
        <w:tc>
          <w:tcPr>
            <w:tcW w:w="8480" w:type="dxa"/>
            <w:vAlign w:val="bottom"/>
            <w:tcBorders>
              <w:right w:val="single" w:sz="8" w:color="CCEEFF"/>
            </w:tcBorders>
            <w:gridSpan w:val="26"/>
            <w:shd w:val="clear" w:color="auto" w:fill="CCEEFF"/>
          </w:tcPr>
          <w:p>
            <w:pPr>
              <w:spacing w:after="0" w:line="189" w:lineRule="exact"/>
              <w:rPr>
                <w:rFonts w:ascii="Arial" w:cs="Arial" w:eastAsia="Arial" w:hAnsi="Arial"/>
                <w:sz w:val="18"/>
                <w:szCs w:val="18"/>
                <w:color w:val="0000FF"/>
                <w:w w:val="95"/>
              </w:rPr>
            </w:pPr>
            <w:hyperlink r:id="rId147">
              <w:r>
                <w:rPr>
                  <w:rFonts w:ascii="Arial" w:cs="Arial" w:eastAsia="Arial" w:hAnsi="Arial"/>
                  <w:sz w:val="18"/>
                  <w:szCs w:val="18"/>
                  <w:color w:val="0000FF"/>
                  <w:w w:val="95"/>
                </w:rPr>
                <w:t>Form of restricted stock unit award agreement and related notice of grant for use in connection with the grant of</w:t>
              </w:r>
            </w:hyperlink>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100" w:type="dxa"/>
            <w:vAlign w:val="bottom"/>
            <w:tcBorders>
              <w:top w:val="single" w:sz="8" w:color="CCEEFF"/>
              <w:bottom w:val="single" w:sz="8" w:color="CCEEFF"/>
            </w:tcBorders>
            <w:shd w:val="clear" w:color="auto" w:fill="CCEEFF"/>
          </w:tcPr>
          <w:p>
            <w:pPr>
              <w:spacing w:after="0"/>
              <w:rPr>
                <w:sz w:val="13"/>
                <w:szCs w:val="13"/>
                <w:color w:val="auto"/>
              </w:rPr>
            </w:pPr>
          </w:p>
        </w:tc>
        <w:tc>
          <w:tcPr>
            <w:tcW w:w="8360" w:type="dxa"/>
            <w:vAlign w:val="bottom"/>
            <w:tcBorders>
              <w:top w:val="single" w:sz="8" w:color="0000FF"/>
              <w:bottom w:val="single" w:sz="8" w:color="0000FF"/>
            </w:tcBorders>
            <w:gridSpan w:val="21"/>
            <w:shd w:val="clear" w:color="auto" w:fill="CCEEFF"/>
          </w:tcPr>
          <w:p>
            <w:pPr>
              <w:spacing w:after="0" w:line="156" w:lineRule="exact"/>
              <w:rPr>
                <w:rFonts w:ascii="Arial" w:cs="Arial" w:eastAsia="Arial" w:hAnsi="Arial"/>
                <w:sz w:val="18"/>
                <w:szCs w:val="18"/>
                <w:color w:val="0000FF"/>
                <w:w w:val="95"/>
              </w:rPr>
            </w:pPr>
            <w:hyperlink r:id="rId147">
              <w:r>
                <w:rPr>
                  <w:rFonts w:ascii="Arial" w:cs="Arial" w:eastAsia="Arial" w:hAnsi="Arial"/>
                  <w:sz w:val="18"/>
                  <w:szCs w:val="18"/>
                  <w:color w:val="0000FF"/>
                  <w:w w:val="95"/>
                </w:rPr>
                <w:t>restricted stock units to the Registrant's non-employee directors under the Amended and Restated Regeneron</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400" w:type="dxa"/>
            <w:vAlign w:val="bottom"/>
            <w:gridSpan w:val="23"/>
            <w:shd w:val="clear" w:color="auto" w:fill="CCEEFF"/>
          </w:tcPr>
          <w:p>
            <w:pPr>
              <w:spacing w:after="0" w:line="156" w:lineRule="exact"/>
              <w:rPr>
                <w:rFonts w:ascii="Arial" w:cs="Arial" w:eastAsia="Arial" w:hAnsi="Arial"/>
                <w:sz w:val="18"/>
                <w:szCs w:val="18"/>
                <w:color w:val="0000FF"/>
                <w:w w:val="96"/>
              </w:rPr>
            </w:pPr>
            <w:hyperlink r:id="rId147">
              <w:r>
                <w:rPr>
                  <w:rFonts w:ascii="Arial" w:cs="Arial" w:eastAsia="Arial" w:hAnsi="Arial"/>
                  <w:sz w:val="18"/>
                  <w:szCs w:val="18"/>
                  <w:color w:val="0000FF"/>
                  <w:w w:val="96"/>
                </w:rPr>
                <w:t>Pharmaceuticals, Inc. 2014 Long-Term Incentive Plan. (Incorporated by reference from the Form 10-K for the</w:t>
              </w:r>
            </w:hyperlink>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8380" w:type="dxa"/>
            <w:vAlign w:val="bottom"/>
            <w:tcBorders>
              <w:top w:val="single" w:sz="8" w:color="0000FF"/>
            </w:tcBorders>
            <w:gridSpan w:val="22"/>
            <w:shd w:val="clear" w:color="auto" w:fill="CCEEFF"/>
          </w:tcPr>
          <w:p>
            <w:pPr>
              <w:spacing w:after="0" w:line="156" w:lineRule="exact"/>
              <w:rPr>
                <w:rFonts w:ascii="Arial" w:cs="Arial" w:eastAsia="Arial" w:hAnsi="Arial"/>
                <w:sz w:val="18"/>
                <w:szCs w:val="18"/>
                <w:color w:val="0000FF"/>
              </w:rPr>
            </w:pPr>
            <w:hyperlink r:id="rId147">
              <w:r>
                <w:rPr>
                  <w:rFonts w:ascii="Arial" w:cs="Arial" w:eastAsia="Arial" w:hAnsi="Arial"/>
                  <w:sz w:val="18"/>
                  <w:szCs w:val="18"/>
                  <w:color w:val="0000FF"/>
                </w:rPr>
                <w:t>Registrant, for the year ended December 31, 2018, filed February 7, 2019.)</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46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tcPr>
          <w:p>
            <w:pPr>
              <w:ind w:left="20"/>
              <w:spacing w:after="0" w:line="189" w:lineRule="exact"/>
              <w:rPr>
                <w:sz w:val="20"/>
                <w:szCs w:val="20"/>
                <w:color w:val="auto"/>
              </w:rPr>
            </w:pPr>
            <w:r>
              <w:rPr>
                <w:rFonts w:ascii="Arial" w:cs="Arial" w:eastAsia="Arial" w:hAnsi="Arial"/>
                <w:sz w:val="18"/>
                <w:szCs w:val="18"/>
                <w:color w:val="auto"/>
              </w:rPr>
              <w:t>10.2.17 +</w:t>
            </w:r>
          </w:p>
        </w:tc>
        <w:tc>
          <w:tcPr>
            <w:tcW w:w="8480" w:type="dxa"/>
            <w:vAlign w:val="bottom"/>
            <w:gridSpan w:val="26"/>
          </w:tcPr>
          <w:p>
            <w:pPr>
              <w:spacing w:after="0" w:line="189" w:lineRule="exact"/>
              <w:rPr>
                <w:rFonts w:ascii="Arial" w:cs="Arial" w:eastAsia="Arial" w:hAnsi="Arial"/>
                <w:sz w:val="18"/>
                <w:szCs w:val="18"/>
                <w:color w:val="0000FF"/>
                <w:w w:val="95"/>
              </w:rPr>
            </w:pPr>
            <w:hyperlink r:id="rId148">
              <w:r>
                <w:rPr>
                  <w:rFonts w:ascii="Arial" w:cs="Arial" w:eastAsia="Arial" w:hAnsi="Arial"/>
                  <w:sz w:val="18"/>
                  <w:szCs w:val="18"/>
                  <w:color w:val="0000FF"/>
                  <w:w w:val="95"/>
                </w:rPr>
                <w:t>Form of stock option agreement and related notice of grant for use in connection with the grant of non-qualified</w:t>
              </w:r>
            </w:hyperlink>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2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0"/>
              </w:rPr>
            </w:pPr>
            <w:hyperlink r:id="rId148">
              <w:r>
                <w:rPr>
                  <w:rFonts w:ascii="Arial" w:cs="Arial" w:eastAsia="Arial" w:hAnsi="Arial"/>
                  <w:sz w:val="18"/>
                  <w:szCs w:val="18"/>
                  <w:color w:val="0000FF"/>
                  <w:w w:val="90"/>
                </w:rPr>
                <w:t>stock options to the Registrant's executive officers under the Amended and Restated Regeneron Pharmaceuticals,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440" w:type="dxa"/>
            <w:vAlign w:val="bottom"/>
            <w:gridSpan w:val="25"/>
          </w:tcPr>
          <w:p>
            <w:pPr>
              <w:spacing w:after="0" w:line="142" w:lineRule="exact"/>
              <w:rPr>
                <w:rFonts w:ascii="Arial" w:cs="Arial" w:eastAsia="Arial" w:hAnsi="Arial"/>
                <w:sz w:val="16"/>
                <w:szCs w:val="16"/>
                <w:u w:val="single" w:color="auto"/>
                <w:color w:val="0000FF"/>
              </w:rPr>
            </w:pPr>
            <w:hyperlink r:id="rId148">
              <w:r>
                <w:rPr>
                  <w:rFonts w:ascii="Arial" w:cs="Arial" w:eastAsia="Arial" w:hAnsi="Arial"/>
                  <w:sz w:val="16"/>
                  <w:szCs w:val="16"/>
                  <w:u w:val="single" w:color="auto"/>
                  <w:color w:val="0000FF"/>
                </w:rPr>
                <w:t>Inc. 2014 Long-Term Incentive Plan (revised 2019). (Incorporated by reference from the Form 10-K for the</w:t>
              </w:r>
            </w:hyperlink>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140" w:type="dxa"/>
            <w:vAlign w:val="bottom"/>
            <w:gridSpan w:val="27"/>
          </w:tcPr>
          <w:p>
            <w:pPr>
              <w:spacing w:after="0" w:line="189" w:lineRule="exact"/>
              <w:rPr>
                <w:rFonts w:ascii="Arial" w:cs="Arial" w:eastAsia="Arial" w:hAnsi="Arial"/>
                <w:sz w:val="18"/>
                <w:szCs w:val="18"/>
                <w:color w:val="0000FF"/>
              </w:rPr>
            </w:pPr>
            <w:hyperlink r:id="rId148">
              <w:r>
                <w:rPr>
                  <w:rFonts w:ascii="Arial" w:cs="Arial" w:eastAsia="Arial" w:hAnsi="Arial"/>
                  <w:sz w:val="18"/>
                  <w:szCs w:val="18"/>
                  <w:color w:val="0000FF"/>
                </w:rPr>
                <w:t>Registrant, for the year ended December 31, 201</w:t>
              </w:r>
              <w:r>
                <w:rPr>
                  <w:rFonts w:ascii="Arial" w:cs="Arial" w:eastAsia="Arial" w:hAnsi="Arial"/>
                  <w:sz w:val="18"/>
                  <w:szCs w:val="18"/>
                  <w:u w:val="single" w:color="auto"/>
                  <w:color w:val="0000FF"/>
                </w:rPr>
                <w:t>9, filed February 7, 2020.)</w:t>
              </w:r>
            </w:hyperlink>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10.2.18 +</w:t>
            </w:r>
          </w:p>
        </w:tc>
        <w:tc>
          <w:tcPr>
            <w:tcW w:w="8480" w:type="dxa"/>
            <w:vAlign w:val="bottom"/>
            <w:tcBorders>
              <w:right w:val="single" w:sz="8" w:color="CCEEFF"/>
            </w:tcBorders>
            <w:gridSpan w:val="26"/>
            <w:shd w:val="clear" w:color="auto" w:fill="CCEEFF"/>
          </w:tcPr>
          <w:p>
            <w:pPr>
              <w:spacing w:after="0" w:line="189" w:lineRule="exact"/>
              <w:rPr>
                <w:rFonts w:ascii="Arial" w:cs="Arial" w:eastAsia="Arial" w:hAnsi="Arial"/>
                <w:sz w:val="18"/>
                <w:szCs w:val="18"/>
                <w:color w:val="0000FF"/>
                <w:w w:val="95"/>
              </w:rPr>
            </w:pPr>
            <w:hyperlink r:id="rId149">
              <w:r>
                <w:rPr>
                  <w:rFonts w:ascii="Arial" w:cs="Arial" w:eastAsia="Arial" w:hAnsi="Arial"/>
                  <w:sz w:val="18"/>
                  <w:szCs w:val="18"/>
                  <w:color w:val="0000FF"/>
                  <w:w w:val="95"/>
                </w:rPr>
                <w:t>Form of stock option agreement and related notice of grant for use in connection with the grant of non-qualified</w:t>
              </w:r>
            </w:hyperlink>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100" w:type="dxa"/>
            <w:vAlign w:val="bottom"/>
            <w:tcBorders>
              <w:top w:val="single" w:sz="8" w:color="CCEEFF"/>
              <w:bottom w:val="single" w:sz="8" w:color="CCEEFF"/>
            </w:tcBorders>
            <w:shd w:val="clear" w:color="auto" w:fill="CCEEFF"/>
          </w:tcPr>
          <w:p>
            <w:pPr>
              <w:spacing w:after="0"/>
              <w:rPr>
                <w:sz w:val="13"/>
                <w:szCs w:val="13"/>
                <w:color w:val="auto"/>
              </w:rPr>
            </w:pPr>
          </w:p>
        </w:tc>
        <w:tc>
          <w:tcPr>
            <w:tcW w:w="8220" w:type="dxa"/>
            <w:vAlign w:val="bottom"/>
            <w:tcBorders>
              <w:top w:val="single" w:sz="8" w:color="0000FF"/>
              <w:bottom w:val="single" w:sz="8" w:color="0000FF"/>
            </w:tcBorders>
            <w:gridSpan w:val="14"/>
            <w:shd w:val="clear" w:color="auto" w:fill="CCEEFF"/>
          </w:tcPr>
          <w:p>
            <w:pPr>
              <w:spacing w:after="0" w:line="156" w:lineRule="exact"/>
              <w:rPr>
                <w:rFonts w:ascii="Arial" w:cs="Arial" w:eastAsia="Arial" w:hAnsi="Arial"/>
                <w:sz w:val="18"/>
                <w:szCs w:val="18"/>
                <w:color w:val="0000FF"/>
                <w:w w:val="91"/>
              </w:rPr>
            </w:pPr>
            <w:hyperlink r:id="rId149">
              <w:r>
                <w:rPr>
                  <w:rFonts w:ascii="Arial" w:cs="Arial" w:eastAsia="Arial" w:hAnsi="Arial"/>
                  <w:sz w:val="18"/>
                  <w:szCs w:val="18"/>
                  <w:color w:val="0000FF"/>
                  <w:w w:val="91"/>
                </w:rPr>
                <w:t>stock options to P. Roy Vagelos, M.D. under the Amended and Restated Regeneron Pharmaceuticals, Inc. 2014</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gridSpan w:val="4"/>
            <w:shd w:val="clear" w:color="auto" w:fill="CCEEFF"/>
          </w:tcPr>
          <w:p>
            <w:pPr>
              <w:spacing w:after="0"/>
              <w:rPr>
                <w:sz w:val="13"/>
                <w:szCs w:val="13"/>
                <w:color w:val="auto"/>
              </w:rPr>
            </w:pPr>
          </w:p>
        </w:tc>
        <w:tc>
          <w:tcPr>
            <w:tcW w:w="60" w:type="dxa"/>
            <w:vAlign w:val="bottom"/>
            <w:tcBorders>
              <w:top w:val="single" w:sz="8" w:color="CCEEFF"/>
              <w:bottom w:val="single" w:sz="8" w:color="CCEEFF"/>
              <w:right w:val="single" w:sz="8" w:color="CCEEFF"/>
            </w:tcBorders>
            <w:gridSpan w:val="2"/>
            <w:shd w:val="clear" w:color="auto" w:fill="CCEEFF"/>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300" w:type="dxa"/>
            <w:vAlign w:val="bottom"/>
            <w:gridSpan w:val="18"/>
            <w:shd w:val="clear" w:color="auto" w:fill="CCEEFF"/>
          </w:tcPr>
          <w:p>
            <w:pPr>
              <w:spacing w:after="0" w:line="142" w:lineRule="exact"/>
              <w:rPr>
                <w:rFonts w:ascii="Arial" w:cs="Arial" w:eastAsia="Arial" w:hAnsi="Arial"/>
                <w:sz w:val="16"/>
                <w:szCs w:val="16"/>
                <w:u w:val="single" w:color="auto"/>
                <w:color w:val="0000FF"/>
              </w:rPr>
            </w:pPr>
            <w:hyperlink r:id="rId149">
              <w:r>
                <w:rPr>
                  <w:rFonts w:ascii="Arial" w:cs="Arial" w:eastAsia="Arial" w:hAnsi="Arial"/>
                  <w:sz w:val="16"/>
                  <w:szCs w:val="16"/>
                  <w:u w:val="single" w:color="auto"/>
                  <w:color w:val="0000FF"/>
                </w:rPr>
                <w:t>Long-Term Incentive Plan (revised 2019). (Incorporated by reference from the Form 10-K for the Registrant, for</w:t>
              </w:r>
            </w:hyperlink>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gridSpan w:val="4"/>
            <w:shd w:val="clear" w:color="auto" w:fill="CCEEFF"/>
          </w:tcPr>
          <w:p>
            <w:pPr>
              <w:spacing w:after="0"/>
              <w:rPr>
                <w:sz w:val="12"/>
                <w:szCs w:val="12"/>
                <w:color w:val="auto"/>
              </w:rPr>
            </w:pPr>
          </w:p>
        </w:tc>
        <w:tc>
          <w:tcPr>
            <w:tcW w:w="60" w:type="dxa"/>
            <w:vAlign w:val="bottom"/>
            <w:tcBorders>
              <w:right w:val="single" w:sz="8" w:color="CCEEFF"/>
            </w:tcBorders>
            <w:gridSpan w:val="2"/>
            <w:shd w:val="clear" w:color="auto" w:fill="CCEEFF"/>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480" w:type="dxa"/>
            <w:vAlign w:val="bottom"/>
            <w:tcBorders>
              <w:right w:val="single" w:sz="8" w:color="CCEEFF"/>
            </w:tcBorders>
            <w:gridSpan w:val="26"/>
            <w:shd w:val="clear" w:color="auto" w:fill="CCEEFF"/>
          </w:tcPr>
          <w:p>
            <w:pPr>
              <w:spacing w:after="0" w:line="189" w:lineRule="exact"/>
              <w:rPr>
                <w:rFonts w:ascii="Arial" w:cs="Arial" w:eastAsia="Arial" w:hAnsi="Arial"/>
                <w:sz w:val="18"/>
                <w:szCs w:val="18"/>
                <w:color w:val="0000FF"/>
              </w:rPr>
            </w:pPr>
            <w:hyperlink r:id="rId149">
              <w:r>
                <w:rPr>
                  <w:rFonts w:ascii="Arial" w:cs="Arial" w:eastAsia="Arial" w:hAnsi="Arial"/>
                  <w:sz w:val="18"/>
                  <w:szCs w:val="18"/>
                  <w:color w:val="0000FF"/>
                </w:rPr>
                <w:t>the year ended December 31, 201</w:t>
              </w:r>
              <w:r>
                <w:rPr>
                  <w:rFonts w:ascii="Arial" w:cs="Arial" w:eastAsia="Arial" w:hAnsi="Arial"/>
                  <w:sz w:val="18"/>
                  <w:szCs w:val="18"/>
                  <w:u w:val="single" w:color="auto"/>
                  <w:color w:val="0000FF"/>
                </w:rPr>
                <w:t>9, filed February 7, 2020.)</w:t>
              </w:r>
            </w:hyperlink>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tcPr>
          <w:p>
            <w:pPr>
              <w:ind w:left="20"/>
              <w:spacing w:after="0" w:line="189" w:lineRule="exact"/>
              <w:rPr>
                <w:sz w:val="20"/>
                <w:szCs w:val="20"/>
                <w:color w:val="auto"/>
              </w:rPr>
            </w:pPr>
            <w:r>
              <w:rPr>
                <w:rFonts w:ascii="Arial" w:cs="Arial" w:eastAsia="Arial" w:hAnsi="Arial"/>
                <w:sz w:val="18"/>
                <w:szCs w:val="18"/>
                <w:color w:val="auto"/>
              </w:rPr>
              <w:t>10.2.19 +</w:t>
            </w:r>
          </w:p>
        </w:tc>
        <w:tc>
          <w:tcPr>
            <w:tcW w:w="8480" w:type="dxa"/>
            <w:vAlign w:val="bottom"/>
            <w:gridSpan w:val="26"/>
          </w:tcPr>
          <w:p>
            <w:pPr>
              <w:spacing w:after="0" w:line="189" w:lineRule="exact"/>
              <w:rPr>
                <w:rFonts w:ascii="Arial" w:cs="Arial" w:eastAsia="Arial" w:hAnsi="Arial"/>
                <w:sz w:val="18"/>
                <w:szCs w:val="18"/>
                <w:color w:val="0000FF"/>
                <w:w w:val="99"/>
              </w:rPr>
            </w:pPr>
            <w:hyperlink r:id="rId150">
              <w:r>
                <w:rPr>
                  <w:rFonts w:ascii="Arial" w:cs="Arial" w:eastAsia="Arial" w:hAnsi="Arial"/>
                  <w:sz w:val="18"/>
                  <w:szCs w:val="18"/>
                  <w:color w:val="0000FF"/>
                  <w:w w:val="99"/>
                </w:rPr>
                <w:t>Form of restricted stock award agreement and related notice of grant for use in connection with the grant of</w:t>
              </w:r>
            </w:hyperlink>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320" w:type="dxa"/>
            <w:vAlign w:val="bottom"/>
            <w:tcBorders>
              <w:top w:val="single" w:sz="8" w:color="0000FF"/>
            </w:tcBorders>
            <w:gridSpan w:val="19"/>
          </w:tcPr>
          <w:p>
            <w:pPr>
              <w:spacing w:after="0" w:line="156" w:lineRule="exact"/>
              <w:rPr>
                <w:rFonts w:ascii="Arial" w:cs="Arial" w:eastAsia="Arial" w:hAnsi="Arial"/>
                <w:sz w:val="18"/>
                <w:szCs w:val="18"/>
                <w:color w:val="0000FF"/>
                <w:w w:val="98"/>
              </w:rPr>
            </w:pPr>
            <w:hyperlink r:id="rId150">
              <w:r>
                <w:rPr>
                  <w:rFonts w:ascii="Arial" w:cs="Arial" w:eastAsia="Arial" w:hAnsi="Arial"/>
                  <w:sz w:val="18"/>
                  <w:szCs w:val="18"/>
                  <w:color w:val="0000FF"/>
                  <w:w w:val="98"/>
                </w:rPr>
                <w:t>restricted stock awards to the Registrant's executive officers under the Amended and Restated Regeneron</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40" w:type="dxa"/>
            <w:vAlign w:val="bottom"/>
            <w:tcBorders>
              <w:top w:val="single" w:sz="8" w:color="0000FF"/>
            </w:tcBorders>
            <w:gridSpan w:val="15"/>
          </w:tcPr>
          <w:p>
            <w:pPr>
              <w:spacing w:after="0" w:line="142" w:lineRule="exact"/>
              <w:rPr>
                <w:rFonts w:ascii="Arial" w:cs="Arial" w:eastAsia="Arial" w:hAnsi="Arial"/>
                <w:sz w:val="16"/>
                <w:szCs w:val="16"/>
                <w:u w:val="single" w:color="auto"/>
                <w:color w:val="0000FF"/>
              </w:rPr>
            </w:pPr>
            <w:hyperlink r:id="rId150">
              <w:r>
                <w:rPr>
                  <w:rFonts w:ascii="Arial" w:cs="Arial" w:eastAsia="Arial" w:hAnsi="Arial"/>
                  <w:sz w:val="16"/>
                  <w:szCs w:val="16"/>
                  <w:u w:val="single" w:color="auto"/>
                  <w:color w:val="0000FF"/>
                </w:rPr>
                <w:t>Pharmaceuticals, Inc. 2014 Long-Term Incentive Plan (revised 2019). (Incorporated by reference from the Form</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2"/>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140" w:type="dxa"/>
            <w:vAlign w:val="bottom"/>
            <w:gridSpan w:val="27"/>
          </w:tcPr>
          <w:p>
            <w:pPr>
              <w:spacing w:after="0" w:line="189" w:lineRule="exact"/>
              <w:rPr>
                <w:rFonts w:ascii="Arial" w:cs="Arial" w:eastAsia="Arial" w:hAnsi="Arial"/>
                <w:sz w:val="18"/>
                <w:szCs w:val="18"/>
                <w:color w:val="0000FF"/>
              </w:rPr>
            </w:pPr>
            <w:hyperlink r:id="rId150">
              <w:r>
                <w:rPr>
                  <w:rFonts w:ascii="Arial" w:cs="Arial" w:eastAsia="Arial" w:hAnsi="Arial"/>
                  <w:sz w:val="18"/>
                  <w:szCs w:val="18"/>
                  <w:color w:val="0000FF"/>
                </w:rPr>
                <w:t>10-K for the Registrant, for the year ended December 31, 2019, filed February 7, 2020.)</w:t>
              </w:r>
            </w:hyperlink>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6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10.2.20 +</w:t>
            </w:r>
          </w:p>
        </w:tc>
        <w:tc>
          <w:tcPr>
            <w:tcW w:w="8480" w:type="dxa"/>
            <w:vAlign w:val="bottom"/>
            <w:tcBorders>
              <w:right w:val="single" w:sz="8" w:color="CCEEFF"/>
            </w:tcBorders>
            <w:gridSpan w:val="26"/>
            <w:shd w:val="clear" w:color="auto" w:fill="CCEEFF"/>
          </w:tcPr>
          <w:p>
            <w:pPr>
              <w:spacing w:after="0" w:line="189" w:lineRule="exact"/>
              <w:rPr>
                <w:rFonts w:ascii="Arial" w:cs="Arial" w:eastAsia="Arial" w:hAnsi="Arial"/>
                <w:sz w:val="18"/>
                <w:szCs w:val="18"/>
                <w:color w:val="0000FF"/>
                <w:w w:val="95"/>
              </w:rPr>
            </w:pPr>
            <w:hyperlink r:id="rId151">
              <w:r>
                <w:rPr>
                  <w:rFonts w:ascii="Arial" w:cs="Arial" w:eastAsia="Arial" w:hAnsi="Arial"/>
                  <w:sz w:val="18"/>
                  <w:szCs w:val="18"/>
                  <w:color w:val="0000FF"/>
                  <w:w w:val="95"/>
                </w:rPr>
                <w:t>Form of stock option agreement and related notice of grant for use in connection with the grant of non-qualified</w:t>
              </w:r>
            </w:hyperlink>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8200" w:type="dxa"/>
            <w:vAlign w:val="bottom"/>
            <w:tcBorders>
              <w:top w:val="single" w:sz="8" w:color="0000FF"/>
            </w:tcBorders>
            <w:gridSpan w:val="13"/>
            <w:shd w:val="clear" w:color="auto" w:fill="CCEEFF"/>
          </w:tcPr>
          <w:p>
            <w:pPr>
              <w:spacing w:after="0" w:line="156" w:lineRule="exact"/>
              <w:rPr>
                <w:rFonts w:ascii="Arial" w:cs="Arial" w:eastAsia="Arial" w:hAnsi="Arial"/>
                <w:sz w:val="18"/>
                <w:szCs w:val="18"/>
                <w:color w:val="0000FF"/>
              </w:rPr>
            </w:pPr>
            <w:hyperlink r:id="rId151">
              <w:r>
                <w:rPr>
                  <w:rFonts w:ascii="Arial" w:cs="Arial" w:eastAsia="Arial" w:hAnsi="Arial"/>
                  <w:sz w:val="18"/>
                  <w:szCs w:val="18"/>
                  <w:color w:val="0000FF"/>
                </w:rPr>
                <w:t>stock options to the Registrant's non-employee directors under the Amended and Restated Regeneron</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60" w:type="dxa"/>
            <w:vAlign w:val="bottom"/>
            <w:tcBorders>
              <w:top w:val="single" w:sz="8" w:color="CCEEFF"/>
              <w:right w:val="single" w:sz="8" w:color="CCEEFF"/>
            </w:tcBorders>
            <w:gridSpan w:val="2"/>
            <w:shd w:val="clear" w:color="auto" w:fill="CCEEFF"/>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100" w:type="dxa"/>
            <w:vAlign w:val="bottom"/>
            <w:tcBorders>
              <w:top w:val="single" w:sz="8" w:color="CCEEFF"/>
            </w:tcBorders>
            <w:shd w:val="clear" w:color="auto" w:fill="CCEEFF"/>
          </w:tcPr>
          <w:p>
            <w:pPr>
              <w:spacing w:after="0"/>
              <w:rPr>
                <w:sz w:val="12"/>
                <w:szCs w:val="12"/>
                <w:color w:val="auto"/>
              </w:rPr>
            </w:pPr>
          </w:p>
        </w:tc>
        <w:tc>
          <w:tcPr>
            <w:tcW w:w="8140" w:type="dxa"/>
            <w:vAlign w:val="bottom"/>
            <w:tcBorders>
              <w:top w:val="single" w:sz="8" w:color="0000FF"/>
            </w:tcBorders>
            <w:gridSpan w:val="10"/>
            <w:shd w:val="clear" w:color="auto" w:fill="CCEEFF"/>
          </w:tcPr>
          <w:p>
            <w:pPr>
              <w:spacing w:after="0" w:line="142" w:lineRule="exact"/>
              <w:rPr>
                <w:rFonts w:ascii="Arial" w:cs="Arial" w:eastAsia="Arial" w:hAnsi="Arial"/>
                <w:sz w:val="16"/>
                <w:szCs w:val="16"/>
                <w:u w:val="single" w:color="auto"/>
                <w:color w:val="0000FF"/>
              </w:rPr>
            </w:pPr>
            <w:hyperlink r:id="rId151">
              <w:r>
                <w:rPr>
                  <w:rFonts w:ascii="Arial" w:cs="Arial" w:eastAsia="Arial" w:hAnsi="Arial"/>
                  <w:sz w:val="16"/>
                  <w:szCs w:val="16"/>
                  <w:u w:val="single" w:color="auto"/>
                  <w:color w:val="0000FF"/>
                </w:rPr>
                <w:t>Pharmaceuticals, Inc. 2014 Long-Term Incentive Plan (revised 2019). (Incorporated by reference from the Form</w:t>
              </w:r>
            </w:hyperlink>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5"/>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60" w:type="dxa"/>
            <w:vAlign w:val="bottom"/>
            <w:tcBorders>
              <w:top w:val="single" w:sz="8" w:color="CCEEFF"/>
              <w:right w:val="single" w:sz="8" w:color="CCEEFF"/>
            </w:tcBorders>
            <w:gridSpan w:val="2"/>
            <w:shd w:val="clear" w:color="auto" w:fill="CCEEFF"/>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480" w:type="dxa"/>
            <w:vAlign w:val="bottom"/>
            <w:tcBorders>
              <w:right w:val="single" w:sz="8" w:color="CCEEFF"/>
            </w:tcBorders>
            <w:gridSpan w:val="26"/>
            <w:shd w:val="clear" w:color="auto" w:fill="CCEEFF"/>
          </w:tcPr>
          <w:p>
            <w:pPr>
              <w:spacing w:after="0" w:line="189" w:lineRule="exact"/>
              <w:rPr>
                <w:rFonts w:ascii="Arial" w:cs="Arial" w:eastAsia="Arial" w:hAnsi="Arial"/>
                <w:sz w:val="18"/>
                <w:szCs w:val="18"/>
                <w:color w:val="0000FF"/>
              </w:rPr>
            </w:pPr>
            <w:hyperlink r:id="rId151">
              <w:r>
                <w:rPr>
                  <w:rFonts w:ascii="Arial" w:cs="Arial" w:eastAsia="Arial" w:hAnsi="Arial"/>
                  <w:sz w:val="18"/>
                  <w:szCs w:val="18"/>
                  <w:color w:val="0000FF"/>
                </w:rPr>
                <w:t>10-K for the Registrant, for the year ended December 31, 2019, filed February 7, 2020.)</w:t>
              </w:r>
            </w:hyperlink>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46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tcPr>
          <w:p>
            <w:pPr>
              <w:ind w:left="20"/>
              <w:spacing w:after="0" w:line="189" w:lineRule="exact"/>
              <w:rPr>
                <w:sz w:val="20"/>
                <w:szCs w:val="20"/>
                <w:color w:val="auto"/>
              </w:rPr>
            </w:pPr>
            <w:r>
              <w:rPr>
                <w:rFonts w:ascii="Arial" w:cs="Arial" w:eastAsia="Arial" w:hAnsi="Arial"/>
                <w:sz w:val="18"/>
                <w:szCs w:val="18"/>
                <w:color w:val="auto"/>
              </w:rPr>
              <w:t>10.2.21 +</w:t>
            </w:r>
          </w:p>
        </w:tc>
        <w:tc>
          <w:tcPr>
            <w:tcW w:w="8480" w:type="dxa"/>
            <w:vAlign w:val="bottom"/>
            <w:gridSpan w:val="26"/>
          </w:tcPr>
          <w:p>
            <w:pPr>
              <w:spacing w:after="0" w:line="189" w:lineRule="exact"/>
              <w:rPr>
                <w:rFonts w:ascii="Arial" w:cs="Arial" w:eastAsia="Arial" w:hAnsi="Arial"/>
                <w:sz w:val="18"/>
                <w:szCs w:val="18"/>
                <w:color w:val="0000FF"/>
                <w:w w:val="95"/>
              </w:rPr>
            </w:pPr>
            <w:hyperlink r:id="rId152">
              <w:r>
                <w:rPr>
                  <w:rFonts w:ascii="Arial" w:cs="Arial" w:eastAsia="Arial" w:hAnsi="Arial"/>
                  <w:sz w:val="18"/>
                  <w:szCs w:val="18"/>
                  <w:color w:val="0000FF"/>
                  <w:w w:val="95"/>
                </w:rPr>
                <w:t>Form of restricted stock unit award agreement and related notice of grant for use in connection with the grant of</w:t>
              </w:r>
            </w:hyperlink>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360" w:type="dxa"/>
            <w:vAlign w:val="bottom"/>
            <w:tcBorders>
              <w:top w:val="single" w:sz="8" w:color="0000FF"/>
            </w:tcBorders>
            <w:gridSpan w:val="21"/>
          </w:tcPr>
          <w:p>
            <w:pPr>
              <w:spacing w:after="0" w:line="156" w:lineRule="exact"/>
              <w:rPr>
                <w:rFonts w:ascii="Arial" w:cs="Arial" w:eastAsia="Arial" w:hAnsi="Arial"/>
                <w:sz w:val="18"/>
                <w:szCs w:val="18"/>
                <w:color w:val="0000FF"/>
                <w:w w:val="95"/>
              </w:rPr>
            </w:pPr>
            <w:hyperlink r:id="rId152">
              <w:r>
                <w:rPr>
                  <w:rFonts w:ascii="Arial" w:cs="Arial" w:eastAsia="Arial" w:hAnsi="Arial"/>
                  <w:sz w:val="18"/>
                  <w:szCs w:val="18"/>
                  <w:color w:val="0000FF"/>
                  <w:w w:val="95"/>
                </w:rPr>
                <w:t>restricted stock units to the Registrant's non-employee directors under the Amended and Restated Regeneron</w:t>
              </w:r>
            </w:hyperlink>
          </w:p>
        </w:tc>
        <w:tc>
          <w:tcPr>
            <w:tcW w:w="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400" w:type="dxa"/>
            <w:vAlign w:val="bottom"/>
            <w:tcBorders>
              <w:top w:val="single" w:sz="8" w:color="0000FF"/>
            </w:tcBorders>
            <w:gridSpan w:val="23"/>
          </w:tcPr>
          <w:p>
            <w:pPr>
              <w:spacing w:after="0" w:line="142" w:lineRule="exact"/>
              <w:rPr>
                <w:rFonts w:ascii="Arial" w:cs="Arial" w:eastAsia="Arial" w:hAnsi="Arial"/>
                <w:sz w:val="16"/>
                <w:szCs w:val="16"/>
                <w:u w:val="single" w:color="auto"/>
                <w:color w:val="0000FF"/>
              </w:rPr>
            </w:pPr>
            <w:hyperlink r:id="rId152">
              <w:r>
                <w:rPr>
                  <w:rFonts w:ascii="Arial" w:cs="Arial" w:eastAsia="Arial" w:hAnsi="Arial"/>
                  <w:sz w:val="16"/>
                  <w:szCs w:val="16"/>
                  <w:u w:val="single" w:color="auto"/>
                  <w:color w:val="0000FF"/>
                </w:rPr>
                <w:t>Pharmaceuticals, Inc. 2014 Long-Term Incentive Plan (revised 2019). (Incorporated by reference from the Form</w:t>
              </w:r>
            </w:hyperlink>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140" w:type="dxa"/>
            <w:vAlign w:val="bottom"/>
            <w:gridSpan w:val="27"/>
          </w:tcPr>
          <w:p>
            <w:pPr>
              <w:spacing w:after="0" w:line="189" w:lineRule="exact"/>
              <w:rPr>
                <w:rFonts w:ascii="Arial" w:cs="Arial" w:eastAsia="Arial" w:hAnsi="Arial"/>
                <w:sz w:val="18"/>
                <w:szCs w:val="18"/>
                <w:color w:val="0000FF"/>
              </w:rPr>
            </w:pPr>
            <w:hyperlink r:id="rId152">
              <w:r>
                <w:rPr>
                  <w:rFonts w:ascii="Arial" w:cs="Arial" w:eastAsia="Arial" w:hAnsi="Arial"/>
                  <w:sz w:val="18"/>
                  <w:szCs w:val="18"/>
                  <w:color w:val="0000FF"/>
                </w:rPr>
                <w:t>10-K for the Registrant, for the year ended December 31, 2019, filed February 7, 2020.)</w:t>
              </w:r>
            </w:hyperlink>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6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10.2.22 +</w:t>
            </w:r>
          </w:p>
        </w:tc>
        <w:tc>
          <w:tcPr>
            <w:tcW w:w="8480" w:type="dxa"/>
            <w:vAlign w:val="bottom"/>
            <w:tcBorders>
              <w:right w:val="single" w:sz="8" w:color="CCEEFF"/>
            </w:tcBorders>
            <w:gridSpan w:val="26"/>
            <w:shd w:val="clear" w:color="auto" w:fill="CCEEFF"/>
          </w:tcPr>
          <w:p>
            <w:pPr>
              <w:spacing w:after="0" w:line="189" w:lineRule="exact"/>
              <w:rPr>
                <w:rFonts w:ascii="Arial" w:cs="Arial" w:eastAsia="Arial" w:hAnsi="Arial"/>
                <w:sz w:val="18"/>
                <w:szCs w:val="18"/>
                <w:color w:val="0000FF"/>
                <w:w w:val="94"/>
              </w:rPr>
            </w:pPr>
            <w:hyperlink r:id="rId153">
              <w:r>
                <w:rPr>
                  <w:rFonts w:ascii="Arial" w:cs="Arial" w:eastAsia="Arial" w:hAnsi="Arial"/>
                  <w:sz w:val="18"/>
                  <w:szCs w:val="18"/>
                  <w:color w:val="0000FF"/>
                  <w:w w:val="94"/>
                </w:rPr>
                <w:t>Form of performance restricted stock unit award agreement and related notice of grant for use in connection with</w:t>
              </w:r>
            </w:hyperlink>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8300" w:type="dxa"/>
            <w:vAlign w:val="bottom"/>
            <w:tcBorders>
              <w:top w:val="single" w:sz="8" w:color="0000FF"/>
            </w:tcBorders>
            <w:gridSpan w:val="18"/>
            <w:shd w:val="clear" w:color="auto" w:fill="CCEEFF"/>
          </w:tcPr>
          <w:p>
            <w:pPr>
              <w:spacing w:after="0" w:line="156" w:lineRule="exact"/>
              <w:rPr>
                <w:rFonts w:ascii="Arial" w:cs="Arial" w:eastAsia="Arial" w:hAnsi="Arial"/>
                <w:sz w:val="18"/>
                <w:szCs w:val="18"/>
                <w:color w:val="0000FF"/>
                <w:w w:val="95"/>
              </w:rPr>
            </w:pPr>
            <w:hyperlink r:id="rId153">
              <w:r>
                <w:rPr>
                  <w:rFonts w:ascii="Arial" w:cs="Arial" w:eastAsia="Arial" w:hAnsi="Arial"/>
                  <w:sz w:val="18"/>
                  <w:szCs w:val="18"/>
                  <w:color w:val="0000FF"/>
                  <w:w w:val="95"/>
                </w:rPr>
                <w:t>the grant of performance restricted stock units to Leonard S. Schleifer, M.D., Ph.D., George D. Yancopoulos,</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60" w:type="dxa"/>
            <w:vAlign w:val="bottom"/>
            <w:tcBorders>
              <w:top w:val="single" w:sz="8" w:color="CCEEFF"/>
              <w:right w:val="single" w:sz="8" w:color="CCEEFF"/>
            </w:tcBorders>
            <w:gridSpan w:val="2"/>
            <w:shd w:val="clear" w:color="auto" w:fill="CCEEFF"/>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8160" w:type="dxa"/>
            <w:vAlign w:val="bottom"/>
            <w:tcBorders>
              <w:top w:val="single" w:sz="8" w:color="0000FF"/>
            </w:tcBorders>
            <w:gridSpan w:val="11"/>
            <w:shd w:val="clear" w:color="auto" w:fill="CCEEFF"/>
          </w:tcPr>
          <w:p>
            <w:pPr>
              <w:spacing w:after="0" w:line="156" w:lineRule="exact"/>
              <w:rPr>
                <w:rFonts w:ascii="Arial" w:cs="Arial" w:eastAsia="Arial" w:hAnsi="Arial"/>
                <w:sz w:val="18"/>
                <w:szCs w:val="18"/>
                <w:color w:val="0000FF"/>
                <w:w w:val="90"/>
              </w:rPr>
            </w:pPr>
            <w:hyperlink r:id="rId153">
              <w:r>
                <w:rPr>
                  <w:rFonts w:ascii="Arial" w:cs="Arial" w:eastAsia="Arial" w:hAnsi="Arial"/>
                  <w:sz w:val="18"/>
                  <w:szCs w:val="18"/>
                  <w:color w:val="0000FF"/>
                  <w:w w:val="90"/>
                </w:rPr>
                <w:t>M.D., Ph.D., and P. Roy Vagelos, M.D. under the Amended and Restated Regeneron Pharmaceuticals, Inc. 2014</w:t>
              </w:r>
            </w:hyperlink>
          </w:p>
        </w:tc>
        <w:tc>
          <w:tcPr>
            <w:tcW w:w="100" w:type="dxa"/>
            <w:vAlign w:val="bottom"/>
            <w:tcBorders>
              <w:top w:val="single" w:sz="8" w:color="CCEEFF"/>
            </w:tcBorders>
            <w:gridSpan w:val="5"/>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60" w:type="dxa"/>
            <w:vAlign w:val="bottom"/>
            <w:tcBorders>
              <w:top w:val="single" w:sz="8" w:color="CCEEFF"/>
              <w:right w:val="single" w:sz="8" w:color="CCEEFF"/>
            </w:tcBorders>
            <w:gridSpan w:val="2"/>
            <w:shd w:val="clear" w:color="auto" w:fill="CCEEFF"/>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100" w:type="dxa"/>
            <w:vAlign w:val="bottom"/>
            <w:tcBorders>
              <w:top w:val="single" w:sz="8" w:color="CCEEFF"/>
            </w:tcBorders>
            <w:shd w:val="clear" w:color="auto" w:fill="CCEEFF"/>
          </w:tcPr>
          <w:p>
            <w:pPr>
              <w:spacing w:after="0"/>
              <w:rPr>
                <w:sz w:val="12"/>
                <w:szCs w:val="12"/>
                <w:color w:val="auto"/>
              </w:rPr>
            </w:pPr>
          </w:p>
        </w:tc>
        <w:tc>
          <w:tcPr>
            <w:tcW w:w="8120" w:type="dxa"/>
            <w:vAlign w:val="bottom"/>
            <w:tcBorders>
              <w:top w:val="single" w:sz="8" w:color="0000FF"/>
            </w:tcBorders>
            <w:gridSpan w:val="9"/>
            <w:shd w:val="clear" w:color="auto" w:fill="CCEEFF"/>
          </w:tcPr>
          <w:p>
            <w:pPr>
              <w:spacing w:after="0" w:line="142" w:lineRule="exact"/>
              <w:rPr>
                <w:rFonts w:ascii="Arial" w:cs="Arial" w:eastAsia="Arial" w:hAnsi="Arial"/>
                <w:sz w:val="16"/>
                <w:szCs w:val="16"/>
                <w:u w:val="single" w:color="auto"/>
                <w:color w:val="0000FF"/>
              </w:rPr>
            </w:pPr>
            <w:hyperlink r:id="rId153">
              <w:r>
                <w:rPr>
                  <w:rFonts w:ascii="Arial" w:cs="Arial" w:eastAsia="Arial" w:hAnsi="Arial"/>
                  <w:sz w:val="16"/>
                  <w:szCs w:val="16"/>
                  <w:u w:val="single" w:color="auto"/>
                  <w:color w:val="0000FF"/>
                </w:rPr>
                <w:t>Long-Term Incentive Plan. (Incorporated by reference from the Form 10-K for the Registrant, for the year ended</w:t>
              </w:r>
            </w:hyperlink>
          </w:p>
        </w:tc>
        <w:tc>
          <w:tcPr>
            <w:tcW w:w="140" w:type="dxa"/>
            <w:vAlign w:val="bottom"/>
            <w:tcBorders>
              <w:top w:val="single" w:sz="8" w:color="CCEEFF"/>
            </w:tcBorders>
            <w:gridSpan w:val="7"/>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60" w:type="dxa"/>
            <w:vAlign w:val="bottom"/>
            <w:tcBorders>
              <w:top w:val="single" w:sz="8" w:color="CCEEFF"/>
              <w:right w:val="single" w:sz="8" w:color="CCEEFF"/>
            </w:tcBorders>
            <w:gridSpan w:val="2"/>
            <w:shd w:val="clear" w:color="auto" w:fill="CCEEFF"/>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480" w:type="dxa"/>
            <w:vAlign w:val="bottom"/>
            <w:tcBorders>
              <w:right w:val="single" w:sz="8" w:color="CCEEFF"/>
            </w:tcBorders>
            <w:gridSpan w:val="26"/>
            <w:shd w:val="clear" w:color="auto" w:fill="CCEEFF"/>
          </w:tcPr>
          <w:p>
            <w:pPr>
              <w:spacing w:after="0" w:line="189" w:lineRule="exact"/>
              <w:rPr>
                <w:rFonts w:ascii="Arial" w:cs="Arial" w:eastAsia="Arial" w:hAnsi="Arial"/>
                <w:sz w:val="18"/>
                <w:szCs w:val="18"/>
                <w:color w:val="0000FF"/>
              </w:rPr>
            </w:pPr>
            <w:hyperlink r:id="rId153">
              <w:r>
                <w:rPr>
                  <w:rFonts w:ascii="Arial" w:cs="Arial" w:eastAsia="Arial" w:hAnsi="Arial"/>
                  <w:sz w:val="18"/>
                  <w:szCs w:val="18"/>
                  <w:color w:val="0000FF"/>
                </w:rPr>
                <w:t>December 31, 2019, filed February 7, 2020.)</w:t>
              </w:r>
            </w:hyperlink>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tcPr>
          <w:p>
            <w:pPr>
              <w:ind w:left="20"/>
              <w:spacing w:after="0" w:line="189" w:lineRule="exact"/>
              <w:rPr>
                <w:sz w:val="20"/>
                <w:szCs w:val="20"/>
                <w:color w:val="auto"/>
              </w:rPr>
            </w:pPr>
            <w:r>
              <w:rPr>
                <w:rFonts w:ascii="Arial" w:cs="Arial" w:eastAsia="Arial" w:hAnsi="Arial"/>
                <w:sz w:val="18"/>
                <w:szCs w:val="18"/>
                <w:color w:val="auto"/>
              </w:rPr>
              <w:t>10.3 +</w:t>
            </w:r>
          </w:p>
        </w:tc>
        <w:tc>
          <w:tcPr>
            <w:tcW w:w="8480" w:type="dxa"/>
            <w:vAlign w:val="bottom"/>
            <w:gridSpan w:val="26"/>
          </w:tcPr>
          <w:p>
            <w:pPr>
              <w:spacing w:after="0" w:line="189" w:lineRule="exact"/>
              <w:rPr>
                <w:rFonts w:ascii="Arial" w:cs="Arial" w:eastAsia="Arial" w:hAnsi="Arial"/>
                <w:sz w:val="18"/>
                <w:szCs w:val="18"/>
                <w:color w:val="0000FF"/>
                <w:w w:val="93"/>
              </w:rPr>
            </w:pPr>
            <w:hyperlink r:id="rId154">
              <w:r>
                <w:rPr>
                  <w:rFonts w:ascii="Arial" w:cs="Arial" w:eastAsia="Arial" w:hAnsi="Arial"/>
                  <w:sz w:val="18"/>
                  <w:szCs w:val="18"/>
                  <w:u w:val="single" w:color="auto"/>
                  <w:color w:val="0000FF"/>
                  <w:w w:val="93"/>
                </w:rPr>
                <w:t>Second Amended and Restated Regeneron Pharmaceuticals, Inc. 2014 Long-Term Incentive Plan.</w:t>
              </w:r>
              <w:r>
                <w:rPr>
                  <w:rFonts w:ascii="Arial" w:cs="Arial" w:eastAsia="Arial" w:hAnsi="Arial"/>
                  <w:sz w:val="18"/>
                  <w:szCs w:val="18"/>
                  <w:color w:val="0000FF"/>
                  <w:w w:val="93"/>
                </w:rPr>
                <w:t xml:space="preserve"> (Incorporated</w:t>
              </w:r>
            </w:hyperlink>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160" w:type="dxa"/>
            <w:vAlign w:val="bottom"/>
            <w:gridSpan w:val="8"/>
          </w:tcPr>
          <w:p>
            <w:pPr>
              <w:spacing w:after="0" w:line="196" w:lineRule="exact"/>
              <w:rPr>
                <w:rFonts w:ascii="Arial" w:cs="Arial" w:eastAsia="Arial" w:hAnsi="Arial"/>
                <w:sz w:val="18"/>
                <w:szCs w:val="18"/>
                <w:u w:val="single" w:color="auto"/>
                <w:color w:val="0000FF"/>
                <w:w w:val="91"/>
              </w:rPr>
            </w:pPr>
            <w:hyperlink r:id="rId154">
              <w:r>
                <w:rPr>
                  <w:rFonts w:ascii="Arial" w:cs="Arial" w:eastAsia="Arial" w:hAnsi="Arial"/>
                  <w:sz w:val="18"/>
                  <w:szCs w:val="18"/>
                  <w:u w:val="single" w:color="auto"/>
                  <w:color w:val="0000FF"/>
                  <w:w w:val="91"/>
                </w:rPr>
                <w:t>by reference from the Registration Statement on Form S-8 for the Registrant, filed June 16, 2020.)</w:t>
              </w:r>
            </w:hyperlink>
          </w:p>
        </w:tc>
        <w:tc>
          <w:tcPr>
            <w:tcW w:w="1100" w:type="dxa"/>
            <w:vAlign w:val="bottom"/>
            <w:tcBorders>
              <w:top w:val="single" w:sz="8" w:color="0000FF"/>
            </w:tcBorders>
            <w:gridSpan w:val="8"/>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gridSpan w:val="2"/>
          </w:tcPr>
          <w:p>
            <w:pPr>
              <w:spacing w:after="0"/>
              <w:rPr>
                <w:sz w:val="17"/>
                <w:szCs w:val="17"/>
                <w:color w:val="auto"/>
              </w:rPr>
            </w:pPr>
          </w:p>
        </w:tc>
        <w:tc>
          <w:tcPr>
            <w:tcW w:w="80" w:type="dxa"/>
            <w:vAlign w:val="bottom"/>
            <w:gridSpan w:val="4"/>
          </w:tcPr>
          <w:p>
            <w:pPr>
              <w:spacing w:after="0"/>
              <w:rPr>
                <w:sz w:val="17"/>
                <w:szCs w:val="17"/>
                <w:color w:val="auto"/>
              </w:rPr>
            </w:pPr>
          </w:p>
        </w:tc>
        <w:tc>
          <w:tcPr>
            <w:tcW w:w="6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1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10.3.1 +</w:t>
            </w:r>
          </w:p>
        </w:tc>
        <w:tc>
          <w:tcPr>
            <w:tcW w:w="8480" w:type="dxa"/>
            <w:vAlign w:val="bottom"/>
            <w:tcBorders>
              <w:right w:val="single" w:sz="8" w:color="CCEEFF"/>
            </w:tcBorders>
            <w:gridSpan w:val="26"/>
            <w:shd w:val="clear" w:color="auto" w:fill="CCEEFF"/>
          </w:tcPr>
          <w:p>
            <w:pPr>
              <w:spacing w:after="0" w:line="189" w:lineRule="exact"/>
              <w:rPr>
                <w:rFonts w:ascii="Arial" w:cs="Arial" w:eastAsia="Arial" w:hAnsi="Arial"/>
                <w:sz w:val="18"/>
                <w:szCs w:val="18"/>
                <w:color w:val="0000FF"/>
                <w:w w:val="95"/>
              </w:rPr>
            </w:pPr>
            <w:hyperlink w:anchor="page150">
              <w:r>
                <w:rPr>
                  <w:rFonts w:ascii="Arial" w:cs="Arial" w:eastAsia="Arial" w:hAnsi="Arial"/>
                  <w:sz w:val="18"/>
                  <w:szCs w:val="18"/>
                  <w:color w:val="0000FF"/>
                  <w:w w:val="95"/>
                </w:rPr>
                <w:t>Form of stock option agreement and related notice of grant for use in connection with the grant of non-qualified</w:t>
              </w:r>
            </w:hyperlink>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100" w:type="dxa"/>
            <w:vAlign w:val="bottom"/>
            <w:tcBorders>
              <w:top w:val="single" w:sz="8" w:color="CCEEFF"/>
              <w:bottom w:val="single" w:sz="8" w:color="CCEEFF"/>
            </w:tcBorders>
            <w:shd w:val="clear" w:color="auto" w:fill="CCEEFF"/>
          </w:tcPr>
          <w:p>
            <w:pPr>
              <w:spacing w:after="0"/>
              <w:rPr>
                <w:sz w:val="13"/>
                <w:szCs w:val="13"/>
                <w:color w:val="auto"/>
              </w:rPr>
            </w:pPr>
          </w:p>
        </w:tc>
        <w:tc>
          <w:tcPr>
            <w:tcW w:w="8220" w:type="dxa"/>
            <w:vAlign w:val="bottom"/>
            <w:tcBorders>
              <w:top w:val="single" w:sz="8" w:color="0000FF"/>
              <w:bottom w:val="single" w:sz="8" w:color="0000FF"/>
            </w:tcBorders>
            <w:gridSpan w:val="14"/>
            <w:shd w:val="clear" w:color="auto" w:fill="CCEEFF"/>
          </w:tcPr>
          <w:p>
            <w:pPr>
              <w:spacing w:after="0" w:line="156" w:lineRule="exact"/>
              <w:rPr>
                <w:rFonts w:ascii="Arial" w:cs="Arial" w:eastAsia="Arial" w:hAnsi="Arial"/>
                <w:sz w:val="18"/>
                <w:szCs w:val="18"/>
                <w:color w:val="0000FF"/>
                <w:w w:val="98"/>
              </w:rPr>
            </w:pPr>
            <w:hyperlink w:anchor="page150">
              <w:r>
                <w:rPr>
                  <w:rFonts w:ascii="Arial" w:cs="Arial" w:eastAsia="Arial" w:hAnsi="Arial"/>
                  <w:sz w:val="18"/>
                  <w:szCs w:val="18"/>
                  <w:color w:val="0000FF"/>
                  <w:w w:val="98"/>
                </w:rPr>
                <w:t>stock options to the Registrant's executive officers under the Second Amended and Restated Regeneron</w:t>
              </w:r>
            </w:hyperlink>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80" w:type="dxa"/>
            <w:vAlign w:val="bottom"/>
            <w:tcBorders>
              <w:top w:val="single" w:sz="8" w:color="CCEEFF"/>
              <w:bottom w:val="single" w:sz="8" w:color="CCEEFF"/>
            </w:tcBorders>
            <w:gridSpan w:val="4"/>
            <w:shd w:val="clear" w:color="auto" w:fill="CCEEFF"/>
          </w:tcPr>
          <w:p>
            <w:pPr>
              <w:spacing w:after="0"/>
              <w:rPr>
                <w:sz w:val="13"/>
                <w:szCs w:val="13"/>
                <w:color w:val="auto"/>
              </w:rPr>
            </w:pPr>
          </w:p>
        </w:tc>
        <w:tc>
          <w:tcPr>
            <w:tcW w:w="60" w:type="dxa"/>
            <w:vAlign w:val="bottom"/>
            <w:tcBorders>
              <w:top w:val="single" w:sz="8" w:color="CCEEFF"/>
              <w:bottom w:val="single" w:sz="8" w:color="CCEEFF"/>
              <w:right w:val="single" w:sz="8" w:color="CCEEFF"/>
            </w:tcBorders>
            <w:gridSpan w:val="2"/>
            <w:shd w:val="clear" w:color="auto" w:fill="CCEEFF"/>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280" w:type="dxa"/>
            <w:vAlign w:val="bottom"/>
            <w:gridSpan w:val="17"/>
            <w:shd w:val="clear" w:color="auto" w:fill="CCEEFF"/>
          </w:tcPr>
          <w:p>
            <w:pPr>
              <w:spacing w:after="0" w:line="156" w:lineRule="exact"/>
              <w:rPr>
                <w:rFonts w:ascii="Arial" w:cs="Arial" w:eastAsia="Arial" w:hAnsi="Arial"/>
                <w:sz w:val="18"/>
                <w:szCs w:val="18"/>
                <w:color w:val="0000FF"/>
              </w:rPr>
            </w:pPr>
            <w:hyperlink w:anchor="page150">
              <w:r>
                <w:rPr>
                  <w:rFonts w:ascii="Arial" w:cs="Arial" w:eastAsia="Arial" w:hAnsi="Arial"/>
                  <w:sz w:val="18"/>
                  <w:szCs w:val="18"/>
                  <w:color w:val="0000FF"/>
                </w:rPr>
                <w:t>Pharmaceuticals, Inc. 2014 Long-Term Incentive Plan.</w:t>
              </w:r>
            </w:hyperlink>
          </w:p>
        </w:tc>
        <w:tc>
          <w:tcPr>
            <w:tcW w:w="60" w:type="dxa"/>
            <w:vAlign w:val="bottom"/>
            <w:gridSpan w:val="3"/>
            <w:shd w:val="clear" w:color="auto" w:fill="CCEEFF"/>
          </w:tcPr>
          <w:p>
            <w:pPr>
              <w:spacing w:after="0"/>
              <w:rPr>
                <w:sz w:val="13"/>
                <w:szCs w:val="13"/>
                <w:color w:val="auto"/>
              </w:rPr>
            </w:pPr>
          </w:p>
        </w:tc>
        <w:tc>
          <w:tcPr>
            <w:tcW w:w="80" w:type="dxa"/>
            <w:vAlign w:val="bottom"/>
            <w:gridSpan w:val="4"/>
            <w:shd w:val="clear" w:color="auto" w:fill="CCEEFF"/>
          </w:tcPr>
          <w:p>
            <w:pPr>
              <w:spacing w:after="0"/>
              <w:rPr>
                <w:sz w:val="13"/>
                <w:szCs w:val="13"/>
                <w:color w:val="auto"/>
              </w:rPr>
            </w:pPr>
          </w:p>
        </w:tc>
        <w:tc>
          <w:tcPr>
            <w:tcW w:w="60" w:type="dxa"/>
            <w:vAlign w:val="bottom"/>
            <w:tcBorders>
              <w:right w:val="single" w:sz="8" w:color="CCEEFF"/>
            </w:tcBorders>
            <w:gridSpan w:val="2"/>
            <w:shd w:val="clear" w:color="auto" w:fill="CCEEFF"/>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tcPr>
          <w:p>
            <w:pPr>
              <w:ind w:left="20"/>
              <w:spacing w:after="0" w:line="189" w:lineRule="exact"/>
              <w:rPr>
                <w:sz w:val="20"/>
                <w:szCs w:val="20"/>
                <w:color w:val="auto"/>
              </w:rPr>
            </w:pPr>
            <w:r>
              <w:rPr>
                <w:rFonts w:ascii="Arial" w:cs="Arial" w:eastAsia="Arial" w:hAnsi="Arial"/>
                <w:sz w:val="18"/>
                <w:szCs w:val="18"/>
                <w:color w:val="auto"/>
              </w:rPr>
              <w:t>10.3.2 +</w:t>
            </w:r>
          </w:p>
        </w:tc>
        <w:tc>
          <w:tcPr>
            <w:tcW w:w="8480" w:type="dxa"/>
            <w:vAlign w:val="bottom"/>
            <w:gridSpan w:val="26"/>
          </w:tcPr>
          <w:p>
            <w:pPr>
              <w:spacing w:after="0" w:line="189" w:lineRule="exact"/>
              <w:rPr>
                <w:rFonts w:ascii="Arial" w:cs="Arial" w:eastAsia="Arial" w:hAnsi="Arial"/>
                <w:sz w:val="18"/>
                <w:szCs w:val="18"/>
                <w:color w:val="0000FF"/>
                <w:w w:val="95"/>
              </w:rPr>
            </w:pPr>
            <w:hyperlink w:anchor="page155">
              <w:r>
                <w:rPr>
                  <w:rFonts w:ascii="Arial" w:cs="Arial" w:eastAsia="Arial" w:hAnsi="Arial"/>
                  <w:sz w:val="18"/>
                  <w:szCs w:val="18"/>
                  <w:color w:val="0000FF"/>
                  <w:w w:val="95"/>
                </w:rPr>
                <w:t>Form of stock option agreement and related notice of grant for use in connection with the grant of non-qualified</w:t>
              </w:r>
            </w:hyperlink>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2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3"/>
              </w:rPr>
            </w:pPr>
            <w:hyperlink w:anchor="page155">
              <w:r>
                <w:rPr>
                  <w:rFonts w:ascii="Arial" w:cs="Arial" w:eastAsia="Arial" w:hAnsi="Arial"/>
                  <w:sz w:val="18"/>
                  <w:szCs w:val="18"/>
                  <w:color w:val="0000FF"/>
                  <w:w w:val="93"/>
                </w:rPr>
                <w:t>stock options to P. Roy Vagelos, M.D. under the Second Amended and Restated Regeneron Pharmaceuticals,</w:t>
              </w:r>
            </w:hyperlink>
          </w:p>
        </w:tc>
        <w:tc>
          <w:tcPr>
            <w:tcW w:w="40" w:type="dxa"/>
            <w:vAlign w:val="bottom"/>
            <w:tcBorders>
              <w:bottom w:val="single" w:sz="8" w:color="0000FF"/>
            </w:tcBorders>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60" w:type="dxa"/>
            <w:vAlign w:val="bottom"/>
            <w:gridSpan w:val="16"/>
          </w:tcPr>
          <w:p>
            <w:pPr>
              <w:spacing w:after="0" w:line="156" w:lineRule="exact"/>
              <w:rPr>
                <w:rFonts w:ascii="Arial" w:cs="Arial" w:eastAsia="Arial" w:hAnsi="Arial"/>
                <w:sz w:val="18"/>
                <w:szCs w:val="18"/>
                <w:color w:val="0000FF"/>
              </w:rPr>
            </w:pPr>
            <w:hyperlink w:anchor="page155">
              <w:r>
                <w:rPr>
                  <w:rFonts w:ascii="Arial" w:cs="Arial" w:eastAsia="Arial" w:hAnsi="Arial"/>
                  <w:sz w:val="18"/>
                  <w:szCs w:val="18"/>
                  <w:color w:val="0000FF"/>
                </w:rPr>
                <w:t>Inc. 2014 Long-Term Incentive Plan.</w:t>
              </w:r>
            </w:hyperlink>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10.3.3 +</w:t>
            </w:r>
          </w:p>
        </w:tc>
        <w:tc>
          <w:tcPr>
            <w:tcW w:w="8480" w:type="dxa"/>
            <w:vAlign w:val="bottom"/>
            <w:tcBorders>
              <w:right w:val="single" w:sz="8" w:color="CCEEFF"/>
            </w:tcBorders>
            <w:gridSpan w:val="26"/>
            <w:shd w:val="clear" w:color="auto" w:fill="CCEEFF"/>
          </w:tcPr>
          <w:p>
            <w:pPr>
              <w:spacing w:after="0" w:line="189" w:lineRule="exact"/>
              <w:rPr>
                <w:rFonts w:ascii="Arial" w:cs="Arial" w:eastAsia="Arial" w:hAnsi="Arial"/>
                <w:sz w:val="18"/>
                <w:szCs w:val="18"/>
                <w:color w:val="0000FF"/>
                <w:w w:val="99"/>
              </w:rPr>
            </w:pPr>
            <w:hyperlink w:anchor="page159">
              <w:r>
                <w:rPr>
                  <w:rFonts w:ascii="Arial" w:cs="Arial" w:eastAsia="Arial" w:hAnsi="Arial"/>
                  <w:sz w:val="18"/>
                  <w:szCs w:val="18"/>
                  <w:color w:val="0000FF"/>
                  <w:w w:val="99"/>
                </w:rPr>
                <w:t>Form of restricted stock award agreement and related notice of grant for use in connection with the grant of</w:t>
              </w:r>
            </w:hyperlink>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100" w:type="dxa"/>
            <w:vAlign w:val="bottom"/>
            <w:tcBorders>
              <w:top w:val="single" w:sz="8" w:color="CCEEFF"/>
              <w:bottom w:val="single" w:sz="8" w:color="CCEEFF"/>
            </w:tcBorders>
            <w:shd w:val="clear" w:color="auto" w:fill="CCEEFF"/>
          </w:tcPr>
          <w:p>
            <w:pPr>
              <w:spacing w:after="0"/>
              <w:rPr>
                <w:sz w:val="13"/>
                <w:szCs w:val="13"/>
                <w:color w:val="auto"/>
              </w:rPr>
            </w:pPr>
          </w:p>
        </w:tc>
        <w:tc>
          <w:tcPr>
            <w:tcW w:w="8340" w:type="dxa"/>
            <w:vAlign w:val="bottom"/>
            <w:tcBorders>
              <w:top w:val="single" w:sz="8" w:color="0000FF"/>
              <w:bottom w:val="single" w:sz="8" w:color="0000FF"/>
            </w:tcBorders>
            <w:gridSpan w:val="20"/>
            <w:shd w:val="clear" w:color="auto" w:fill="CCEEFF"/>
          </w:tcPr>
          <w:p>
            <w:pPr>
              <w:spacing w:after="0" w:line="156" w:lineRule="exact"/>
              <w:rPr>
                <w:rFonts w:ascii="Arial" w:cs="Arial" w:eastAsia="Arial" w:hAnsi="Arial"/>
                <w:sz w:val="18"/>
                <w:szCs w:val="18"/>
                <w:color w:val="0000FF"/>
                <w:w w:val="91"/>
              </w:rPr>
            </w:pPr>
            <w:hyperlink w:anchor="page159">
              <w:r>
                <w:rPr>
                  <w:rFonts w:ascii="Arial" w:cs="Arial" w:eastAsia="Arial" w:hAnsi="Arial"/>
                  <w:sz w:val="18"/>
                  <w:szCs w:val="18"/>
                  <w:color w:val="0000FF"/>
                  <w:w w:val="91"/>
                </w:rPr>
                <w:t>restricted stock awards to the Registrant's executive officers under the Second Amended and Restated Regeneron</w:t>
              </w:r>
            </w:hyperlink>
          </w:p>
        </w:tc>
        <w:tc>
          <w:tcPr>
            <w:tcW w:w="80" w:type="dxa"/>
            <w:vAlign w:val="bottom"/>
            <w:tcBorders>
              <w:top w:val="single" w:sz="8" w:color="CCEEFF"/>
              <w:bottom w:val="single" w:sz="8" w:color="0000FF"/>
            </w:tcBorders>
            <w:gridSpan w:val="4"/>
            <w:shd w:val="clear" w:color="auto" w:fill="CCEEFF"/>
          </w:tcPr>
          <w:p>
            <w:pPr>
              <w:spacing w:after="0"/>
              <w:rPr>
                <w:sz w:val="13"/>
                <w:szCs w:val="13"/>
                <w:color w:val="auto"/>
              </w:rPr>
            </w:pPr>
          </w:p>
        </w:tc>
        <w:tc>
          <w:tcPr>
            <w:tcW w:w="60" w:type="dxa"/>
            <w:vAlign w:val="bottom"/>
            <w:tcBorders>
              <w:top w:val="single" w:sz="8" w:color="CCEEFF"/>
              <w:bottom w:val="single" w:sz="8" w:color="CCEEFF"/>
              <w:right w:val="single" w:sz="8" w:color="CCEEFF"/>
            </w:tcBorders>
            <w:gridSpan w:val="2"/>
            <w:shd w:val="clear" w:color="auto" w:fill="CCEEFF"/>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420" w:type="dxa"/>
            <w:vAlign w:val="bottom"/>
            <w:gridSpan w:val="24"/>
            <w:shd w:val="clear" w:color="auto" w:fill="CCEEFF"/>
          </w:tcPr>
          <w:p>
            <w:pPr>
              <w:spacing w:after="0" w:line="156" w:lineRule="exact"/>
              <w:rPr>
                <w:rFonts w:ascii="Arial" w:cs="Arial" w:eastAsia="Arial" w:hAnsi="Arial"/>
                <w:sz w:val="18"/>
                <w:szCs w:val="18"/>
                <w:color w:val="0000FF"/>
              </w:rPr>
            </w:pPr>
            <w:hyperlink w:anchor="page159">
              <w:r>
                <w:rPr>
                  <w:rFonts w:ascii="Arial" w:cs="Arial" w:eastAsia="Arial" w:hAnsi="Arial"/>
                  <w:sz w:val="18"/>
                  <w:szCs w:val="18"/>
                  <w:color w:val="0000FF"/>
                </w:rPr>
                <w:t>Pharmaceuticals, Inc. 2014 Long-Term Incentive Plan.</w:t>
              </w:r>
            </w:hyperlink>
          </w:p>
        </w:tc>
        <w:tc>
          <w:tcPr>
            <w:tcW w:w="60" w:type="dxa"/>
            <w:vAlign w:val="bottom"/>
            <w:tcBorders>
              <w:right w:val="single" w:sz="8" w:color="CCEEFF"/>
            </w:tcBorders>
            <w:gridSpan w:val="2"/>
            <w:shd w:val="clear" w:color="auto" w:fill="CCEEFF"/>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tcPr>
          <w:p>
            <w:pPr>
              <w:ind w:left="20"/>
              <w:spacing w:after="0" w:line="189" w:lineRule="exact"/>
              <w:rPr>
                <w:sz w:val="20"/>
                <w:szCs w:val="20"/>
                <w:color w:val="auto"/>
              </w:rPr>
            </w:pPr>
            <w:r>
              <w:rPr>
                <w:rFonts w:ascii="Arial" w:cs="Arial" w:eastAsia="Arial" w:hAnsi="Arial"/>
                <w:sz w:val="18"/>
                <w:szCs w:val="18"/>
                <w:color w:val="auto"/>
              </w:rPr>
              <w:t>10.3.4 +</w:t>
            </w:r>
          </w:p>
        </w:tc>
        <w:tc>
          <w:tcPr>
            <w:tcW w:w="8480" w:type="dxa"/>
            <w:vAlign w:val="bottom"/>
            <w:gridSpan w:val="26"/>
          </w:tcPr>
          <w:p>
            <w:pPr>
              <w:spacing w:after="0" w:line="189" w:lineRule="exact"/>
              <w:rPr>
                <w:rFonts w:ascii="Arial" w:cs="Arial" w:eastAsia="Arial" w:hAnsi="Arial"/>
                <w:sz w:val="18"/>
                <w:szCs w:val="18"/>
                <w:color w:val="0000FF"/>
                <w:w w:val="95"/>
              </w:rPr>
            </w:pPr>
            <w:hyperlink w:anchor="page164">
              <w:r>
                <w:rPr>
                  <w:rFonts w:ascii="Arial" w:cs="Arial" w:eastAsia="Arial" w:hAnsi="Arial"/>
                  <w:sz w:val="18"/>
                  <w:szCs w:val="18"/>
                  <w:color w:val="0000FF"/>
                  <w:w w:val="95"/>
                </w:rPr>
                <w:t>Form of restricted stock unit award agreement and related notice of grant for use in connection with the grant of</w:t>
              </w:r>
            </w:hyperlink>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36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6"/>
              </w:rPr>
            </w:pPr>
            <w:hyperlink w:anchor="page164">
              <w:r>
                <w:rPr>
                  <w:rFonts w:ascii="Arial" w:cs="Arial" w:eastAsia="Arial" w:hAnsi="Arial"/>
                  <w:sz w:val="18"/>
                  <w:szCs w:val="18"/>
                  <w:color w:val="0000FF"/>
                  <w:w w:val="96"/>
                </w:rPr>
                <w:t>restricted  stock  units  to  P.  Roy  Vagelos,  M.D.  under  the  Second  Amended  and  Restated  Regeneron</w:t>
              </w:r>
            </w:hyperlink>
          </w:p>
        </w:tc>
        <w:tc>
          <w:tcPr>
            <w:tcW w:w="120" w:type="dxa"/>
            <w:vAlign w:val="bottom"/>
            <w:tcBorders>
              <w:bottom w:val="single" w:sz="8" w:color="0000FF"/>
            </w:tcBorders>
            <w:gridSpan w:val="5"/>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480" w:type="dxa"/>
            <w:vAlign w:val="bottom"/>
            <w:gridSpan w:val="26"/>
          </w:tcPr>
          <w:p>
            <w:pPr>
              <w:spacing w:after="0" w:line="156" w:lineRule="exact"/>
              <w:rPr>
                <w:rFonts w:ascii="Arial" w:cs="Arial" w:eastAsia="Arial" w:hAnsi="Arial"/>
                <w:sz w:val="18"/>
                <w:szCs w:val="18"/>
                <w:color w:val="0000FF"/>
              </w:rPr>
            </w:pPr>
            <w:hyperlink w:anchor="page164">
              <w:r>
                <w:rPr>
                  <w:rFonts w:ascii="Arial" w:cs="Arial" w:eastAsia="Arial" w:hAnsi="Arial"/>
                  <w:sz w:val="18"/>
                  <w:szCs w:val="18"/>
                  <w:color w:val="0000FF"/>
                </w:rPr>
                <w:t>Pharmaceuticals, Inc. 2014 Long-Term Incentive Plan.</w:t>
              </w:r>
            </w:hyperlink>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10.3.5 +</w:t>
            </w:r>
          </w:p>
        </w:tc>
        <w:tc>
          <w:tcPr>
            <w:tcW w:w="8480" w:type="dxa"/>
            <w:vAlign w:val="bottom"/>
            <w:tcBorders>
              <w:right w:val="single" w:sz="8" w:color="CCEEFF"/>
            </w:tcBorders>
            <w:gridSpan w:val="26"/>
            <w:shd w:val="clear" w:color="auto" w:fill="CCEEFF"/>
          </w:tcPr>
          <w:p>
            <w:pPr>
              <w:spacing w:after="0" w:line="189" w:lineRule="exact"/>
              <w:rPr>
                <w:rFonts w:ascii="Arial" w:cs="Arial" w:eastAsia="Arial" w:hAnsi="Arial"/>
                <w:sz w:val="18"/>
                <w:szCs w:val="18"/>
                <w:color w:val="0000FF"/>
                <w:w w:val="95"/>
              </w:rPr>
            </w:pPr>
            <w:hyperlink w:anchor="page168">
              <w:r>
                <w:rPr>
                  <w:rFonts w:ascii="Arial" w:cs="Arial" w:eastAsia="Arial" w:hAnsi="Arial"/>
                  <w:sz w:val="18"/>
                  <w:szCs w:val="18"/>
                  <w:color w:val="0000FF"/>
                  <w:w w:val="95"/>
                </w:rPr>
                <w:t>Form of stock option agreement and related notice of grant for use in connection with the grant of non-qualified</w:t>
              </w:r>
            </w:hyperlink>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8220" w:type="dxa"/>
            <w:vAlign w:val="bottom"/>
            <w:tcBorders>
              <w:top w:val="single" w:sz="8" w:color="0000FF"/>
            </w:tcBorders>
            <w:gridSpan w:val="14"/>
            <w:shd w:val="clear" w:color="auto" w:fill="CCEEFF"/>
          </w:tcPr>
          <w:p>
            <w:pPr>
              <w:spacing w:after="0" w:line="156" w:lineRule="exact"/>
              <w:rPr>
                <w:rFonts w:ascii="Arial" w:cs="Arial" w:eastAsia="Arial" w:hAnsi="Arial"/>
                <w:sz w:val="18"/>
                <w:szCs w:val="18"/>
                <w:color w:val="0000FF"/>
                <w:w w:val="92"/>
              </w:rPr>
            </w:pPr>
            <w:hyperlink w:anchor="page168">
              <w:r>
                <w:rPr>
                  <w:rFonts w:ascii="Arial" w:cs="Arial" w:eastAsia="Arial" w:hAnsi="Arial"/>
                  <w:sz w:val="18"/>
                  <w:szCs w:val="18"/>
                  <w:color w:val="0000FF"/>
                  <w:w w:val="92"/>
                </w:rPr>
                <w:t>stock options to the Registrant's non-employee directors under the Second Amended and Restated Regeneron</w:t>
              </w:r>
            </w:hyperlink>
          </w:p>
        </w:tc>
        <w:tc>
          <w:tcPr>
            <w:tcW w:w="260" w:type="dxa"/>
            <w:vAlign w:val="bottom"/>
            <w:tcBorders>
              <w:top w:val="single" w:sz="8" w:color="CCEEFF"/>
              <w:right w:val="single" w:sz="8" w:color="CCEEFF"/>
            </w:tcBorders>
            <w:gridSpan w:val="12"/>
            <w:shd w:val="clear" w:color="auto" w:fill="CCEEFF"/>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1100" w:type="dxa"/>
            <w:vAlign w:val="bottom"/>
            <w:tcBorders>
              <w:top w:val="single" w:sz="8" w:color="CCEEFF"/>
            </w:tcBorders>
            <w:shd w:val="clear" w:color="auto" w:fill="CCEEFF"/>
          </w:tcPr>
          <w:p>
            <w:pPr>
              <w:spacing w:after="0"/>
              <w:rPr>
                <w:sz w:val="15"/>
                <w:szCs w:val="15"/>
                <w:color w:val="auto"/>
              </w:rPr>
            </w:pPr>
          </w:p>
        </w:tc>
        <w:tc>
          <w:tcPr>
            <w:tcW w:w="8380" w:type="dxa"/>
            <w:vAlign w:val="bottom"/>
            <w:tcBorders>
              <w:top w:val="single" w:sz="8" w:color="0000FF"/>
            </w:tcBorders>
            <w:gridSpan w:val="22"/>
            <w:shd w:val="clear" w:color="auto" w:fill="CCEEFF"/>
          </w:tcPr>
          <w:p>
            <w:pPr>
              <w:spacing w:after="0" w:line="156" w:lineRule="exact"/>
              <w:rPr>
                <w:rFonts w:ascii="Arial" w:cs="Arial" w:eastAsia="Arial" w:hAnsi="Arial"/>
                <w:sz w:val="18"/>
                <w:szCs w:val="18"/>
                <w:color w:val="0000FF"/>
              </w:rPr>
            </w:pPr>
            <w:hyperlink w:anchor="page168">
              <w:r>
                <w:rPr>
                  <w:rFonts w:ascii="Arial" w:cs="Arial" w:eastAsia="Arial" w:hAnsi="Arial"/>
                  <w:sz w:val="18"/>
                  <w:szCs w:val="18"/>
                  <w:color w:val="0000FF"/>
                </w:rPr>
                <w:t>Pharmaceuticals, Inc. 2014 Long-Term Incentive Plan.</w:t>
              </w:r>
            </w:hyperlink>
          </w:p>
        </w:tc>
        <w:tc>
          <w:tcPr>
            <w:tcW w:w="100" w:type="dxa"/>
            <w:vAlign w:val="bottom"/>
            <w:tcBorders>
              <w:top w:val="single" w:sz="8" w:color="CCEEFF"/>
              <w:right w:val="single" w:sz="8" w:color="CCEEFF"/>
            </w:tcBorders>
            <w:gridSpan w:val="4"/>
            <w:shd w:val="clear" w:color="auto" w:fill="CCEEFF"/>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2"/>
        </w:trPr>
        <w:tc>
          <w:tcPr>
            <w:tcW w:w="1000" w:type="dxa"/>
            <w:vAlign w:val="bottom"/>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3920" w:type="dxa"/>
            <w:vAlign w:val="bottom"/>
            <w:tcBorders>
              <w:top w:val="single" w:sz="8" w:color="0000FF"/>
            </w:tcBorders>
            <w:gridSpan w:val="5"/>
          </w:tcPr>
          <w:p>
            <w:pPr>
              <w:ind w:left="3440"/>
              <w:spacing w:after="0"/>
              <w:rPr>
                <w:sz w:val="20"/>
                <w:szCs w:val="20"/>
                <w:color w:val="auto"/>
              </w:rPr>
            </w:pPr>
            <w:r>
              <w:rPr>
                <w:rFonts w:ascii="Arial" w:cs="Arial" w:eastAsia="Arial" w:hAnsi="Arial"/>
                <w:sz w:val="18"/>
                <w:szCs w:val="18"/>
                <w:color w:val="auto"/>
              </w:rPr>
              <w:t>94</w:t>
            </w:r>
          </w:p>
        </w:tc>
        <w:tc>
          <w:tcPr>
            <w:tcW w:w="146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5" w:name="page96"/>
    <w:bookmarkEnd w:id="9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00" w:type="dxa"/>
            <w:vAlign w:val="bottom"/>
            <w:gridSpan w:val="2"/>
          </w:tcPr>
          <w:p>
            <w:pPr>
              <w:ind w:left="1020"/>
              <w:spacing w:after="0"/>
              <w:rPr>
                <w:sz w:val="20"/>
                <w:szCs w:val="20"/>
                <w:color w:val="auto"/>
              </w:rPr>
            </w:pPr>
            <w:r>
              <w:rPr>
                <w:rFonts w:ascii="Arial" w:cs="Arial" w:eastAsia="Arial" w:hAnsi="Arial"/>
                <w:sz w:val="18"/>
                <w:szCs w:val="18"/>
                <w:color w:val="auto"/>
              </w:rPr>
              <w:t>10.3.6 +</w:t>
            </w:r>
          </w:p>
        </w:tc>
        <w:tc>
          <w:tcPr>
            <w:tcW w:w="9140" w:type="dxa"/>
            <w:vAlign w:val="bottom"/>
            <w:gridSpan w:val="46"/>
          </w:tcPr>
          <w:p>
            <w:pPr>
              <w:spacing w:after="0"/>
              <w:rPr>
                <w:rFonts w:ascii="Arial" w:cs="Arial" w:eastAsia="Arial" w:hAnsi="Arial"/>
                <w:sz w:val="18"/>
                <w:szCs w:val="18"/>
                <w:color w:val="0000FF"/>
              </w:rPr>
            </w:pPr>
            <w:hyperlink w:anchor="page172">
              <w:r>
                <w:rPr>
                  <w:rFonts w:ascii="Arial" w:cs="Arial" w:eastAsia="Arial" w:hAnsi="Arial"/>
                  <w:sz w:val="18"/>
                  <w:szCs w:val="18"/>
                  <w:color w:val="0000FF"/>
                </w:rPr>
                <w:t>Form of restricted stock unit award agreement and related notice of grant for use in connection with the grant of</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480" w:type="dxa"/>
            <w:vAlign w:val="bottom"/>
            <w:tcBorders>
              <w:top w:val="single" w:sz="8" w:color="0000FF"/>
            </w:tcBorders>
            <w:gridSpan w:val="35"/>
          </w:tcPr>
          <w:p>
            <w:pPr>
              <w:spacing w:after="0" w:line="156" w:lineRule="exact"/>
              <w:rPr>
                <w:rFonts w:ascii="Arial" w:cs="Arial" w:eastAsia="Arial" w:hAnsi="Arial"/>
                <w:sz w:val="18"/>
                <w:szCs w:val="18"/>
                <w:color w:val="0000FF"/>
                <w:w w:val="99"/>
              </w:rPr>
            </w:pPr>
            <w:hyperlink w:anchor="page172">
              <w:r>
                <w:rPr>
                  <w:rFonts w:ascii="Arial" w:cs="Arial" w:eastAsia="Arial" w:hAnsi="Arial"/>
                  <w:sz w:val="18"/>
                  <w:szCs w:val="18"/>
                  <w:color w:val="0000FF"/>
                  <w:w w:val="99"/>
                </w:rPr>
                <w:t>restricted stock units to the Registrant's non-employee directors under the Second Amended and Restated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6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w:anchor="page172">
              <w:r>
                <w:rPr>
                  <w:rFonts w:ascii="Arial" w:cs="Arial" w:eastAsia="Arial" w:hAnsi="Arial"/>
                  <w:sz w:val="18"/>
                  <w:szCs w:val="18"/>
                  <w:color w:val="0000FF"/>
                </w:rPr>
                <w:t>Regeneron Pharmaceuticals, Inc. 2014 Long-Term Incentive Plan.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10.3.7 +</w:t>
            </w:r>
          </w:p>
        </w:tc>
        <w:tc>
          <w:tcPr>
            <w:tcW w:w="870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6"/>
              </w:rPr>
            </w:pPr>
            <w:hyperlink w:anchor="page176">
              <w:r>
                <w:rPr>
                  <w:rFonts w:ascii="Arial" w:cs="Arial" w:eastAsia="Arial" w:hAnsi="Arial"/>
                  <w:sz w:val="18"/>
                  <w:szCs w:val="18"/>
                  <w:color w:val="0000FF"/>
                  <w:w w:val="96"/>
                </w:rPr>
                <w:t>Form of performance restricted stock unit award agreement and related notice of grant for use in connection with</w:t>
              </w:r>
            </w:hyperlink>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8420" w:type="dxa"/>
            <w:vAlign w:val="bottom"/>
            <w:tcBorders>
              <w:top w:val="single" w:sz="8" w:color="0000FF"/>
            </w:tcBorders>
            <w:gridSpan w:val="32"/>
            <w:shd w:val="clear" w:color="auto" w:fill="CCEEFF"/>
          </w:tcPr>
          <w:p>
            <w:pPr>
              <w:spacing w:after="0" w:line="156" w:lineRule="exact"/>
              <w:rPr>
                <w:rFonts w:ascii="Arial" w:cs="Arial" w:eastAsia="Arial" w:hAnsi="Arial"/>
                <w:sz w:val="18"/>
                <w:szCs w:val="18"/>
                <w:color w:val="0000FF"/>
                <w:w w:val="93"/>
              </w:rPr>
            </w:pPr>
            <w:hyperlink w:anchor="page176">
              <w:r>
                <w:rPr>
                  <w:rFonts w:ascii="Arial" w:cs="Arial" w:eastAsia="Arial" w:hAnsi="Arial"/>
                  <w:sz w:val="18"/>
                  <w:szCs w:val="18"/>
                  <w:color w:val="0000FF"/>
                  <w:w w:val="93"/>
                </w:rPr>
                <w:t>the grant of performance restricted stock units to Leonard S. Schleifer, M.D., Ph.D. and George D. Yancopoulos,</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8380" w:type="dxa"/>
            <w:vAlign w:val="bottom"/>
            <w:tcBorders>
              <w:top w:val="single" w:sz="8" w:color="0000FF"/>
            </w:tcBorders>
            <w:gridSpan w:val="30"/>
            <w:shd w:val="clear" w:color="auto" w:fill="CCEEFF"/>
          </w:tcPr>
          <w:p>
            <w:pPr>
              <w:spacing w:after="0" w:line="156" w:lineRule="exact"/>
              <w:rPr>
                <w:rFonts w:ascii="Arial" w:cs="Arial" w:eastAsia="Arial" w:hAnsi="Arial"/>
                <w:sz w:val="18"/>
                <w:szCs w:val="18"/>
                <w:color w:val="0000FF"/>
                <w:w w:val="99"/>
              </w:rPr>
            </w:pPr>
            <w:hyperlink w:anchor="page176">
              <w:r>
                <w:rPr>
                  <w:rFonts w:ascii="Arial" w:cs="Arial" w:eastAsia="Arial" w:hAnsi="Arial"/>
                  <w:sz w:val="18"/>
                  <w:szCs w:val="18"/>
                  <w:color w:val="0000FF"/>
                  <w:w w:val="99"/>
                </w:rPr>
                <w:t>M.D., Ph.D. under the Second Amended and Restated Regeneron Pharmaceuticals, Inc. 2014 Long-Term</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1100" w:type="dxa"/>
            <w:vAlign w:val="bottom"/>
            <w:tcBorders>
              <w:top w:val="single" w:sz="8" w:color="CCEEFF"/>
              <w:bottom w:val="single" w:sz="8" w:color="CCEEFF"/>
            </w:tcBorders>
            <w:shd w:val="clear" w:color="auto" w:fill="CCEEFF"/>
          </w:tcPr>
          <w:p>
            <w:pPr>
              <w:spacing w:after="0"/>
              <w:rPr>
                <w:sz w:val="15"/>
                <w:szCs w:val="15"/>
                <w:color w:val="auto"/>
              </w:rPr>
            </w:pPr>
          </w:p>
        </w:tc>
        <w:tc>
          <w:tcPr>
            <w:tcW w:w="1080" w:type="dxa"/>
            <w:vAlign w:val="bottom"/>
            <w:tcBorders>
              <w:top w:val="single" w:sz="8" w:color="0000FF"/>
              <w:bottom w:val="single" w:sz="8" w:color="0000FF"/>
            </w:tcBorders>
            <w:shd w:val="clear" w:color="auto" w:fill="CCEEFF"/>
          </w:tcPr>
          <w:p>
            <w:pPr>
              <w:spacing w:after="0" w:line="156" w:lineRule="exact"/>
              <w:rPr>
                <w:rFonts w:ascii="Arial" w:cs="Arial" w:eastAsia="Arial" w:hAnsi="Arial"/>
                <w:sz w:val="18"/>
                <w:szCs w:val="18"/>
                <w:color w:val="0000FF"/>
                <w:w w:val="89"/>
              </w:rPr>
            </w:pPr>
            <w:hyperlink w:anchor="page176">
              <w:r>
                <w:rPr>
                  <w:rFonts w:ascii="Arial" w:cs="Arial" w:eastAsia="Arial" w:hAnsi="Arial"/>
                  <w:sz w:val="18"/>
                  <w:szCs w:val="18"/>
                  <w:color w:val="0000FF"/>
                  <w:w w:val="89"/>
                </w:rPr>
                <w:t>Incentive Plan.</w:t>
              </w:r>
            </w:hyperlink>
          </w:p>
        </w:tc>
        <w:tc>
          <w:tcPr>
            <w:tcW w:w="7100" w:type="dxa"/>
            <w:vAlign w:val="bottom"/>
            <w:tcBorders>
              <w:top w:val="single" w:sz="8" w:color="0000FF"/>
              <w:bottom w:val="single" w:sz="8" w:color="CCEEFF"/>
            </w:tcBorders>
            <w:gridSpan w:val="19"/>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100" w:type="dxa"/>
            <w:vAlign w:val="bottom"/>
          </w:tcPr>
          <w:p>
            <w:pPr>
              <w:ind w:left="20"/>
              <w:spacing w:after="0" w:line="189" w:lineRule="exact"/>
              <w:rPr>
                <w:sz w:val="20"/>
                <w:szCs w:val="20"/>
                <w:color w:val="auto"/>
              </w:rPr>
            </w:pPr>
            <w:r>
              <w:rPr>
                <w:rFonts w:ascii="Arial" w:cs="Arial" w:eastAsia="Arial" w:hAnsi="Arial"/>
                <w:sz w:val="18"/>
                <w:szCs w:val="18"/>
                <w:color w:val="auto"/>
              </w:rPr>
              <w:t>10.4 +</w:t>
            </w:r>
          </w:p>
        </w:tc>
        <w:tc>
          <w:tcPr>
            <w:tcW w:w="8700" w:type="dxa"/>
            <w:vAlign w:val="bottom"/>
            <w:gridSpan w:val="45"/>
          </w:tcPr>
          <w:p>
            <w:pPr>
              <w:spacing w:after="0" w:line="189" w:lineRule="exact"/>
              <w:rPr>
                <w:rFonts w:ascii="Arial" w:cs="Arial" w:eastAsia="Arial" w:hAnsi="Arial"/>
                <w:sz w:val="18"/>
                <w:szCs w:val="18"/>
                <w:color w:val="0000FF"/>
                <w:w w:val="98"/>
              </w:rPr>
            </w:pPr>
            <w:hyperlink r:id="rId157">
              <w:r>
                <w:rPr>
                  <w:rFonts w:ascii="Arial" w:cs="Arial" w:eastAsia="Arial" w:hAnsi="Arial"/>
                  <w:sz w:val="18"/>
                  <w:szCs w:val="18"/>
                  <w:color w:val="0000FF"/>
                  <w:w w:val="98"/>
                </w:rPr>
                <w:t>Amended and Restated Employment Agreement, dated as of November 14, 2008, between the Registrant and</w:t>
              </w:r>
            </w:hyperlink>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80" w:type="dxa"/>
            <w:vAlign w:val="bottom"/>
            <w:tcBorders>
              <w:top w:val="single" w:sz="8" w:color="0000FF"/>
              <w:bottom w:val="single" w:sz="8" w:color="0000FF"/>
            </w:tcBorders>
            <w:gridSpan w:val="25"/>
          </w:tcPr>
          <w:p>
            <w:pPr>
              <w:spacing w:after="0" w:line="156" w:lineRule="exact"/>
              <w:rPr>
                <w:rFonts w:ascii="Arial" w:cs="Arial" w:eastAsia="Arial" w:hAnsi="Arial"/>
                <w:sz w:val="18"/>
                <w:szCs w:val="18"/>
                <w:color w:val="0000FF"/>
                <w:w w:val="92"/>
              </w:rPr>
            </w:pPr>
            <w:hyperlink r:id="rId157">
              <w:r>
                <w:rPr>
                  <w:rFonts w:ascii="Arial" w:cs="Arial" w:eastAsia="Arial" w:hAnsi="Arial"/>
                  <w:sz w:val="18"/>
                  <w:szCs w:val="18"/>
                  <w:color w:val="0000FF"/>
                  <w:w w:val="92"/>
                </w:rPr>
                <w:t>Leonard S. Schleifer, M.D., Ph.D. (Incorporated by reference from the Form 10-K for the Registrant, for the year</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540" w:type="dxa"/>
            <w:vAlign w:val="bottom"/>
            <w:gridSpan w:val="38"/>
          </w:tcPr>
          <w:p>
            <w:pPr>
              <w:spacing w:after="0" w:line="156" w:lineRule="exact"/>
              <w:rPr>
                <w:rFonts w:ascii="Arial" w:cs="Arial" w:eastAsia="Arial" w:hAnsi="Arial"/>
                <w:sz w:val="18"/>
                <w:szCs w:val="18"/>
                <w:color w:val="0000FF"/>
              </w:rPr>
            </w:pPr>
            <w:hyperlink r:id="rId157">
              <w:r>
                <w:rPr>
                  <w:rFonts w:ascii="Arial" w:cs="Arial" w:eastAsia="Arial" w:hAnsi="Arial"/>
                  <w:sz w:val="18"/>
                  <w:szCs w:val="18"/>
                  <w:color w:val="0000FF"/>
                </w:rPr>
                <w:t>ended December 31, 2008, filed February 26, 2009.)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10.5* +</w:t>
            </w:r>
          </w:p>
        </w:tc>
        <w:tc>
          <w:tcPr>
            <w:tcW w:w="870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rPr>
            </w:pPr>
            <w:hyperlink r:id="rId158">
              <w:r>
                <w:rPr>
                  <w:rFonts w:ascii="Arial" w:cs="Arial" w:eastAsia="Arial" w:hAnsi="Arial"/>
                  <w:sz w:val="18"/>
                  <w:szCs w:val="18"/>
                  <w:color w:val="0000FF"/>
                </w:rPr>
                <w:t>Employment Agreement, dated as of December 31, 1998, between the Registrant and P. Roy Vagelos, M.D.</w:t>
              </w:r>
            </w:hyperlink>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8320" w:type="dxa"/>
            <w:vAlign w:val="bottom"/>
            <w:tcBorders>
              <w:top w:val="single" w:sz="8" w:color="0000FF"/>
            </w:tcBorders>
            <w:gridSpan w:val="27"/>
            <w:shd w:val="clear" w:color="auto" w:fill="CCEEFF"/>
          </w:tcPr>
          <w:p>
            <w:pPr>
              <w:spacing w:after="0" w:line="156" w:lineRule="exact"/>
              <w:rPr>
                <w:rFonts w:ascii="Arial" w:cs="Arial" w:eastAsia="Arial" w:hAnsi="Arial"/>
                <w:sz w:val="18"/>
                <w:szCs w:val="18"/>
                <w:color w:val="0000FF"/>
                <w:w w:val="94"/>
              </w:rPr>
            </w:pPr>
            <w:hyperlink r:id="rId158">
              <w:r>
                <w:rPr>
                  <w:rFonts w:ascii="Arial" w:cs="Arial" w:eastAsia="Arial" w:hAnsi="Arial"/>
                  <w:sz w:val="18"/>
                  <w:szCs w:val="18"/>
                  <w:color w:val="0000FF"/>
                  <w:w w:val="94"/>
                </w:rPr>
                <w:t>(Incorporated by reference from the Form 10-K for the Registrant, for the year ended December 31, 2004, filed</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1100" w:type="dxa"/>
            <w:vAlign w:val="bottom"/>
            <w:tcBorders>
              <w:top w:val="single" w:sz="8" w:color="CCEEFF"/>
              <w:bottom w:val="single" w:sz="8" w:color="CCEEFF"/>
            </w:tcBorders>
            <w:shd w:val="clear" w:color="auto" w:fill="CCEEFF"/>
          </w:tcPr>
          <w:p>
            <w:pPr>
              <w:spacing w:after="0"/>
              <w:rPr>
                <w:sz w:val="15"/>
                <w:szCs w:val="15"/>
                <w:color w:val="auto"/>
              </w:rPr>
            </w:pPr>
          </w:p>
        </w:tc>
        <w:tc>
          <w:tcPr>
            <w:tcW w:w="1240" w:type="dxa"/>
            <w:vAlign w:val="bottom"/>
            <w:tcBorders>
              <w:top w:val="single" w:sz="8" w:color="0000FF"/>
              <w:bottom w:val="single" w:sz="8" w:color="0000FF"/>
            </w:tcBorders>
            <w:gridSpan w:val="2"/>
            <w:shd w:val="clear" w:color="auto" w:fill="CCEEFF"/>
          </w:tcPr>
          <w:p>
            <w:pPr>
              <w:spacing w:after="0" w:line="156" w:lineRule="exact"/>
              <w:rPr>
                <w:rFonts w:ascii="Arial" w:cs="Arial" w:eastAsia="Arial" w:hAnsi="Arial"/>
                <w:sz w:val="18"/>
                <w:szCs w:val="18"/>
                <w:color w:val="0000FF"/>
                <w:w w:val="89"/>
              </w:rPr>
            </w:pPr>
            <w:hyperlink r:id="rId158">
              <w:r>
                <w:rPr>
                  <w:rFonts w:ascii="Arial" w:cs="Arial" w:eastAsia="Arial" w:hAnsi="Arial"/>
                  <w:sz w:val="18"/>
                  <w:szCs w:val="18"/>
                  <w:color w:val="0000FF"/>
                  <w:w w:val="89"/>
                </w:rPr>
                <w:t>March 11, 2005.)</w:t>
              </w:r>
            </w:hyperlink>
          </w:p>
        </w:tc>
        <w:tc>
          <w:tcPr>
            <w:tcW w:w="7180" w:type="dxa"/>
            <w:vAlign w:val="bottom"/>
            <w:tcBorders>
              <w:top w:val="single" w:sz="8" w:color="0000FF"/>
              <w:bottom w:val="single" w:sz="8" w:color="CCEEFF"/>
            </w:tcBorders>
            <w:gridSpan w:val="30"/>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100" w:type="dxa"/>
            <w:vAlign w:val="bottom"/>
          </w:tcPr>
          <w:p>
            <w:pPr>
              <w:ind w:left="20"/>
              <w:spacing w:after="0" w:line="189" w:lineRule="exact"/>
              <w:rPr>
                <w:sz w:val="20"/>
                <w:szCs w:val="20"/>
                <w:color w:val="auto"/>
              </w:rPr>
            </w:pPr>
            <w:r>
              <w:rPr>
                <w:rFonts w:ascii="Arial" w:cs="Arial" w:eastAsia="Arial" w:hAnsi="Arial"/>
                <w:sz w:val="18"/>
                <w:szCs w:val="18"/>
                <w:color w:val="auto"/>
              </w:rPr>
              <w:t>10.6 +</w:t>
            </w:r>
          </w:p>
        </w:tc>
        <w:tc>
          <w:tcPr>
            <w:tcW w:w="8700" w:type="dxa"/>
            <w:vAlign w:val="bottom"/>
            <w:gridSpan w:val="45"/>
          </w:tcPr>
          <w:p>
            <w:pPr>
              <w:spacing w:after="0" w:line="189" w:lineRule="exact"/>
              <w:rPr>
                <w:rFonts w:ascii="Arial" w:cs="Arial" w:eastAsia="Arial" w:hAnsi="Arial"/>
                <w:sz w:val="18"/>
                <w:szCs w:val="18"/>
                <w:color w:val="0000FF"/>
              </w:rPr>
            </w:pPr>
            <w:hyperlink r:id="rId159">
              <w:r>
                <w:rPr>
                  <w:rFonts w:ascii="Arial" w:cs="Arial" w:eastAsia="Arial" w:hAnsi="Arial"/>
                  <w:sz w:val="18"/>
                  <w:szCs w:val="18"/>
                  <w:color w:val="0000FF"/>
                </w:rPr>
                <w:t>Offer Letter for Robert E. Landry effective September 9, 2013. (Incorporated by reference from the Form 8-K</w:t>
              </w:r>
            </w:hyperlink>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520" w:type="dxa"/>
            <w:vAlign w:val="bottom"/>
            <w:tcBorders>
              <w:top w:val="single" w:sz="8" w:color="0000FF"/>
            </w:tcBorders>
            <w:gridSpan w:val="37"/>
          </w:tcPr>
          <w:p>
            <w:pPr>
              <w:spacing w:after="0" w:line="156" w:lineRule="exact"/>
              <w:rPr>
                <w:rFonts w:ascii="Arial" w:cs="Arial" w:eastAsia="Arial" w:hAnsi="Arial"/>
                <w:sz w:val="18"/>
                <w:szCs w:val="18"/>
                <w:color w:val="0000FF"/>
              </w:rPr>
            </w:pPr>
            <w:hyperlink r:id="rId159">
              <w:r>
                <w:rPr>
                  <w:rFonts w:ascii="Arial" w:cs="Arial" w:eastAsia="Arial" w:hAnsi="Arial"/>
                  <w:sz w:val="18"/>
                  <w:szCs w:val="18"/>
                  <w:color w:val="0000FF"/>
                </w:rPr>
                <w:t>for the Registrant, filed September 12, 2013.)</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10.7 +</w:t>
            </w:r>
          </w:p>
        </w:tc>
        <w:tc>
          <w:tcPr>
            <w:tcW w:w="870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rPr>
            </w:pPr>
            <w:hyperlink r:id="rId160">
              <w:r>
                <w:rPr>
                  <w:rFonts w:ascii="Arial" w:cs="Arial" w:eastAsia="Arial" w:hAnsi="Arial"/>
                  <w:sz w:val="18"/>
                  <w:szCs w:val="18"/>
                  <w:color w:val="0000FF"/>
                </w:rPr>
                <w:t>Regeneron Pharmaceuticals, Inc. Change in Control Severance Plan, amended and restated effective as of</w:t>
              </w:r>
            </w:hyperlink>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8500" w:type="dxa"/>
            <w:vAlign w:val="bottom"/>
            <w:tcBorders>
              <w:top w:val="single" w:sz="8" w:color="0000FF"/>
            </w:tcBorders>
            <w:gridSpan w:val="36"/>
            <w:shd w:val="clear" w:color="auto" w:fill="CCEEFF"/>
          </w:tcPr>
          <w:p>
            <w:pPr>
              <w:spacing w:after="0" w:line="156" w:lineRule="exact"/>
              <w:rPr>
                <w:rFonts w:ascii="Arial" w:cs="Arial" w:eastAsia="Arial" w:hAnsi="Arial"/>
                <w:sz w:val="18"/>
                <w:szCs w:val="18"/>
                <w:color w:val="0000FF"/>
              </w:rPr>
            </w:pPr>
            <w:hyperlink r:id="rId160">
              <w:r>
                <w:rPr>
                  <w:rFonts w:ascii="Arial" w:cs="Arial" w:eastAsia="Arial" w:hAnsi="Arial"/>
                  <w:sz w:val="18"/>
                  <w:szCs w:val="18"/>
                  <w:color w:val="0000FF"/>
                </w:rPr>
                <w:t>November 14, 2008. (Incorporated by reference from the Form 10-K for the Registrant, for the year ended</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1100" w:type="dxa"/>
            <w:vAlign w:val="bottom"/>
            <w:tcBorders>
              <w:top w:val="single" w:sz="8" w:color="CCEEFF"/>
              <w:bottom w:val="single" w:sz="8" w:color="CCEEFF"/>
            </w:tcBorders>
            <w:shd w:val="clear" w:color="auto" w:fill="CCEEFF"/>
          </w:tcPr>
          <w:p>
            <w:pPr>
              <w:spacing w:after="0"/>
              <w:rPr>
                <w:sz w:val="15"/>
                <w:szCs w:val="15"/>
                <w:color w:val="auto"/>
              </w:rPr>
            </w:pPr>
          </w:p>
        </w:tc>
        <w:tc>
          <w:tcPr>
            <w:tcW w:w="3300" w:type="dxa"/>
            <w:vAlign w:val="bottom"/>
            <w:tcBorders>
              <w:top w:val="single" w:sz="8" w:color="0000FF"/>
              <w:bottom w:val="single" w:sz="8" w:color="0000FF"/>
            </w:tcBorders>
            <w:gridSpan w:val="8"/>
            <w:shd w:val="clear" w:color="auto" w:fill="CCEEFF"/>
          </w:tcPr>
          <w:p>
            <w:pPr>
              <w:spacing w:after="0" w:line="156" w:lineRule="exact"/>
              <w:rPr>
                <w:rFonts w:ascii="Arial" w:cs="Arial" w:eastAsia="Arial" w:hAnsi="Arial"/>
                <w:sz w:val="18"/>
                <w:szCs w:val="18"/>
                <w:color w:val="0000FF"/>
                <w:w w:val="90"/>
              </w:rPr>
            </w:pPr>
            <w:hyperlink r:id="rId160">
              <w:r>
                <w:rPr>
                  <w:rFonts w:ascii="Arial" w:cs="Arial" w:eastAsia="Arial" w:hAnsi="Arial"/>
                  <w:sz w:val="18"/>
                  <w:szCs w:val="18"/>
                  <w:color w:val="0000FF"/>
                  <w:w w:val="90"/>
                </w:rPr>
                <w:t>December 31, 2008, filed February 26, 2009.)</w:t>
              </w:r>
            </w:hyperlink>
          </w:p>
        </w:tc>
        <w:tc>
          <w:tcPr>
            <w:tcW w:w="4900" w:type="dxa"/>
            <w:vAlign w:val="bottom"/>
            <w:tcBorders>
              <w:top w:val="single" w:sz="8" w:color="0000FF"/>
              <w:bottom w:val="single" w:sz="8" w:color="CCEEFF"/>
            </w:tcBorders>
            <w:gridSpan w:val="1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gridSpan w:val="5"/>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100" w:type="dxa"/>
            <w:vAlign w:val="bottom"/>
          </w:tcPr>
          <w:p>
            <w:pPr>
              <w:ind w:left="20"/>
              <w:spacing w:after="0" w:line="189" w:lineRule="exact"/>
              <w:rPr>
                <w:sz w:val="20"/>
                <w:szCs w:val="20"/>
                <w:color w:val="auto"/>
              </w:rPr>
            </w:pPr>
            <w:r>
              <w:rPr>
                <w:rFonts w:ascii="Arial" w:cs="Arial" w:eastAsia="Arial" w:hAnsi="Arial"/>
                <w:sz w:val="18"/>
                <w:szCs w:val="18"/>
                <w:color w:val="auto"/>
              </w:rPr>
              <w:t>10.8 +</w:t>
            </w:r>
          </w:p>
        </w:tc>
        <w:tc>
          <w:tcPr>
            <w:tcW w:w="8700" w:type="dxa"/>
            <w:vAlign w:val="bottom"/>
            <w:gridSpan w:val="45"/>
          </w:tcPr>
          <w:p>
            <w:pPr>
              <w:spacing w:after="0" w:line="189" w:lineRule="exact"/>
              <w:rPr>
                <w:rFonts w:ascii="Arial" w:cs="Arial" w:eastAsia="Arial" w:hAnsi="Arial"/>
                <w:sz w:val="18"/>
                <w:szCs w:val="18"/>
                <w:color w:val="0000FF"/>
                <w:w w:val="97"/>
              </w:rPr>
            </w:pPr>
            <w:hyperlink r:id="rId161">
              <w:r>
                <w:rPr>
                  <w:rFonts w:ascii="Arial" w:cs="Arial" w:eastAsia="Arial" w:hAnsi="Arial"/>
                  <w:sz w:val="18"/>
                  <w:szCs w:val="18"/>
                  <w:color w:val="0000FF"/>
                  <w:w w:val="97"/>
                </w:rPr>
                <w:t>Regeneron Pharmaceuticals, Inc. Cash Incentive Bonus Plan. (Incorporated by reference from the Form 8-K for</w:t>
              </w:r>
            </w:hyperlink>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16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61">
              <w:r>
                <w:rPr>
                  <w:rFonts w:ascii="Arial" w:cs="Arial" w:eastAsia="Arial" w:hAnsi="Arial"/>
                  <w:sz w:val="18"/>
                  <w:szCs w:val="18"/>
                  <w:color w:val="0000FF"/>
                </w:rPr>
                <w:t>the Registrant, filed June 17, 2015.)</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10.9*</w:t>
            </w:r>
          </w:p>
        </w:tc>
        <w:tc>
          <w:tcPr>
            <w:tcW w:w="870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rPr>
            </w:pPr>
            <w:hyperlink r:id="rId162">
              <w:r>
                <w:rPr>
                  <w:rFonts w:ascii="Arial" w:cs="Arial" w:eastAsia="Arial" w:hAnsi="Arial"/>
                  <w:sz w:val="18"/>
                  <w:szCs w:val="18"/>
                  <w:color w:val="0000FF"/>
                </w:rPr>
                <w:t>IL-1 Antibody Termination Agreement by and between Novartis Pharma AG, Novartis Pharmaceuticals</w:t>
              </w:r>
            </w:hyperlink>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8620" w:type="dxa"/>
            <w:vAlign w:val="bottom"/>
            <w:tcBorders>
              <w:top w:val="single" w:sz="8" w:color="0000FF"/>
            </w:tcBorders>
            <w:gridSpan w:val="42"/>
            <w:shd w:val="clear" w:color="auto" w:fill="CCEEFF"/>
          </w:tcPr>
          <w:p>
            <w:pPr>
              <w:spacing w:after="0" w:line="156" w:lineRule="exact"/>
              <w:rPr>
                <w:rFonts w:ascii="Arial" w:cs="Arial" w:eastAsia="Arial" w:hAnsi="Arial"/>
                <w:sz w:val="18"/>
                <w:szCs w:val="18"/>
                <w:color w:val="0000FF"/>
                <w:w w:val="96"/>
              </w:rPr>
            </w:pPr>
            <w:hyperlink r:id="rId162">
              <w:r>
                <w:rPr>
                  <w:rFonts w:ascii="Arial" w:cs="Arial" w:eastAsia="Arial" w:hAnsi="Arial"/>
                  <w:sz w:val="18"/>
                  <w:szCs w:val="18"/>
                  <w:color w:val="0000FF"/>
                  <w:w w:val="96"/>
                </w:rPr>
                <w:t>Corporation and the Registrant, dated as of June 8, 2009. (Incorporated by reference from the Form 10-Q for the</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8580" w:type="dxa"/>
            <w:vAlign w:val="bottom"/>
            <w:tcBorders>
              <w:top w:val="single" w:sz="8" w:color="0000FF"/>
            </w:tcBorders>
            <w:gridSpan w:val="40"/>
            <w:shd w:val="clear" w:color="auto" w:fill="CCEEFF"/>
          </w:tcPr>
          <w:p>
            <w:pPr>
              <w:spacing w:after="0" w:line="156" w:lineRule="exact"/>
              <w:rPr>
                <w:rFonts w:ascii="Arial" w:cs="Arial" w:eastAsia="Arial" w:hAnsi="Arial"/>
                <w:sz w:val="18"/>
                <w:szCs w:val="18"/>
                <w:color w:val="0000FF"/>
              </w:rPr>
            </w:pPr>
            <w:hyperlink r:id="rId162">
              <w:r>
                <w:rPr>
                  <w:rFonts w:ascii="Arial" w:cs="Arial" w:eastAsia="Arial" w:hAnsi="Arial"/>
                  <w:sz w:val="18"/>
                  <w:szCs w:val="18"/>
                  <w:color w:val="0000FF"/>
                </w:rPr>
                <w:t>Registrant, for the quarter ended June 30, 2009, filed August 4, 2009.)</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tcPr>
          <w:p>
            <w:pPr>
              <w:ind w:left="20"/>
              <w:spacing w:after="0" w:line="189" w:lineRule="exact"/>
              <w:rPr>
                <w:sz w:val="20"/>
                <w:szCs w:val="20"/>
                <w:color w:val="auto"/>
              </w:rPr>
            </w:pPr>
            <w:r>
              <w:rPr>
                <w:rFonts w:ascii="Arial" w:cs="Arial" w:eastAsia="Arial" w:hAnsi="Arial"/>
                <w:sz w:val="18"/>
                <w:szCs w:val="18"/>
                <w:color w:val="auto"/>
              </w:rPr>
              <w:t>10.10*</w:t>
            </w:r>
          </w:p>
        </w:tc>
        <w:tc>
          <w:tcPr>
            <w:tcW w:w="8700" w:type="dxa"/>
            <w:vAlign w:val="bottom"/>
            <w:gridSpan w:val="45"/>
          </w:tcPr>
          <w:p>
            <w:pPr>
              <w:spacing w:after="0" w:line="189" w:lineRule="exact"/>
              <w:rPr>
                <w:rFonts w:ascii="Arial" w:cs="Arial" w:eastAsia="Arial" w:hAnsi="Arial"/>
                <w:sz w:val="18"/>
                <w:szCs w:val="18"/>
                <w:color w:val="0000FF"/>
                <w:w w:val="95"/>
              </w:rPr>
            </w:pPr>
            <w:hyperlink r:id="rId163">
              <w:r>
                <w:rPr>
                  <w:rFonts w:ascii="Arial" w:cs="Arial" w:eastAsia="Arial" w:hAnsi="Arial"/>
                  <w:sz w:val="18"/>
                  <w:szCs w:val="18"/>
                  <w:color w:val="0000FF"/>
                  <w:w w:val="95"/>
                </w:rPr>
                <w:t>Amended and Restated Collaboration Agreement, dated as of February 23, 2015, by and between Sanofi-Aventis</w:t>
              </w:r>
            </w:hyperlink>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460" w:type="dxa"/>
            <w:vAlign w:val="bottom"/>
            <w:tcBorders>
              <w:top w:val="single" w:sz="8" w:color="0000FF"/>
            </w:tcBorders>
            <w:gridSpan w:val="34"/>
          </w:tcPr>
          <w:p>
            <w:pPr>
              <w:spacing w:after="0" w:line="156" w:lineRule="exact"/>
              <w:rPr>
                <w:rFonts w:ascii="Arial" w:cs="Arial" w:eastAsia="Arial" w:hAnsi="Arial"/>
                <w:sz w:val="18"/>
                <w:szCs w:val="18"/>
                <w:color w:val="0000FF"/>
                <w:w w:val="97"/>
              </w:rPr>
            </w:pPr>
            <w:hyperlink r:id="rId163">
              <w:r>
                <w:rPr>
                  <w:rFonts w:ascii="Arial" w:cs="Arial" w:eastAsia="Arial" w:hAnsi="Arial"/>
                  <w:sz w:val="18"/>
                  <w:szCs w:val="18"/>
                  <w:color w:val="0000FF"/>
                  <w:w w:val="97"/>
                </w:rPr>
                <w:t>US LLC and the Registrant. (Incorporated by reference from the Form 10-Q for the Registrant, for the quarter</w:t>
              </w:r>
            </w:hyperlink>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42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63">
              <w:r>
                <w:rPr>
                  <w:rFonts w:ascii="Arial" w:cs="Arial" w:eastAsia="Arial" w:hAnsi="Arial"/>
                  <w:sz w:val="18"/>
                  <w:szCs w:val="18"/>
                  <w:color w:val="0000FF"/>
                </w:rPr>
                <w:t>ended March 31, 2015, filed May 7, 2015.)</w:t>
              </w:r>
            </w:hyperlink>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10.11*</w:t>
            </w:r>
          </w:p>
        </w:tc>
        <w:tc>
          <w:tcPr>
            <w:tcW w:w="870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9"/>
              </w:rPr>
            </w:pPr>
            <w:hyperlink r:id="rId164">
              <w:r>
                <w:rPr>
                  <w:rFonts w:ascii="Arial" w:cs="Arial" w:eastAsia="Arial" w:hAnsi="Arial"/>
                  <w:sz w:val="18"/>
                  <w:szCs w:val="18"/>
                  <w:color w:val="0000FF"/>
                  <w:w w:val="99"/>
                </w:rPr>
                <w:t>License and Collaboration Agreement, dated as of October 18, 2006, by and between Bayer HealthCare LLC</w:t>
              </w:r>
            </w:hyperlink>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100" w:type="dxa"/>
            <w:vAlign w:val="bottom"/>
            <w:tcBorders>
              <w:top w:val="single" w:sz="8" w:color="CCEEFF"/>
              <w:bottom w:val="single" w:sz="8" w:color="CCEEFF"/>
            </w:tcBorders>
            <w:shd w:val="clear" w:color="auto" w:fill="CCEEFF"/>
          </w:tcPr>
          <w:p>
            <w:pPr>
              <w:spacing w:after="0"/>
              <w:rPr>
                <w:sz w:val="13"/>
                <w:szCs w:val="13"/>
                <w:color w:val="auto"/>
              </w:rPr>
            </w:pPr>
          </w:p>
        </w:tc>
        <w:tc>
          <w:tcPr>
            <w:tcW w:w="8360" w:type="dxa"/>
            <w:vAlign w:val="bottom"/>
            <w:tcBorders>
              <w:top w:val="single" w:sz="8" w:color="0000FF"/>
              <w:bottom w:val="single" w:sz="8" w:color="0000FF"/>
            </w:tcBorders>
            <w:gridSpan w:val="29"/>
            <w:shd w:val="clear" w:color="auto" w:fill="CCEEFF"/>
          </w:tcPr>
          <w:p>
            <w:pPr>
              <w:spacing w:after="0" w:line="156" w:lineRule="exact"/>
              <w:rPr>
                <w:rFonts w:ascii="Arial" w:cs="Arial" w:eastAsia="Arial" w:hAnsi="Arial"/>
                <w:sz w:val="18"/>
                <w:szCs w:val="18"/>
                <w:color w:val="0000FF"/>
                <w:w w:val="97"/>
              </w:rPr>
            </w:pPr>
            <w:hyperlink r:id="rId164">
              <w:r>
                <w:rPr>
                  <w:rFonts w:ascii="Arial" w:cs="Arial" w:eastAsia="Arial" w:hAnsi="Arial"/>
                  <w:sz w:val="18"/>
                  <w:szCs w:val="18"/>
                  <w:color w:val="0000FF"/>
                  <w:w w:val="97"/>
                </w:rPr>
                <w:t>and the Registrant. (Incorporated by reference from the Form 10-Q for the Registrant, for the quarter ended</w:t>
              </w:r>
            </w:hyperlink>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120" w:type="dxa"/>
            <w:vAlign w:val="bottom"/>
            <w:tcBorders>
              <w:top w:val="single" w:sz="8" w:color="CCEEFF"/>
              <w:bottom w:val="single" w:sz="8" w:color="0000FF"/>
            </w:tcBorders>
            <w:gridSpan w:val="6"/>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560" w:type="dxa"/>
            <w:vAlign w:val="bottom"/>
            <w:gridSpan w:val="39"/>
            <w:shd w:val="clear" w:color="auto" w:fill="CCEEFF"/>
          </w:tcPr>
          <w:p>
            <w:pPr>
              <w:spacing w:after="0" w:line="156" w:lineRule="exact"/>
              <w:rPr>
                <w:rFonts w:ascii="Arial" w:cs="Arial" w:eastAsia="Arial" w:hAnsi="Arial"/>
                <w:sz w:val="18"/>
                <w:szCs w:val="18"/>
                <w:color w:val="0000FF"/>
              </w:rPr>
            </w:pPr>
            <w:hyperlink r:id="rId164">
              <w:r>
                <w:rPr>
                  <w:rFonts w:ascii="Arial" w:cs="Arial" w:eastAsia="Arial" w:hAnsi="Arial"/>
                  <w:sz w:val="18"/>
                  <w:szCs w:val="18"/>
                  <w:color w:val="0000FF"/>
                </w:rPr>
                <w:t>September 30, 2006, filed November 6, 2006.)</w:t>
              </w:r>
            </w:hyperlink>
          </w:p>
        </w:tc>
        <w:tc>
          <w:tcPr>
            <w:tcW w:w="40" w:type="dxa"/>
            <w:vAlign w:val="bottom"/>
            <w:gridSpan w:val="2"/>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tcPr>
          <w:p>
            <w:pPr>
              <w:ind w:left="20"/>
              <w:spacing w:after="0" w:line="189" w:lineRule="exact"/>
              <w:rPr>
                <w:sz w:val="20"/>
                <w:szCs w:val="20"/>
                <w:color w:val="auto"/>
              </w:rPr>
            </w:pPr>
            <w:r>
              <w:rPr>
                <w:rFonts w:ascii="Arial" w:cs="Arial" w:eastAsia="Arial" w:hAnsi="Arial"/>
                <w:sz w:val="18"/>
                <w:szCs w:val="18"/>
                <w:color w:val="auto"/>
              </w:rPr>
              <w:t>10.11.1*</w:t>
            </w:r>
          </w:p>
        </w:tc>
        <w:tc>
          <w:tcPr>
            <w:tcW w:w="8700" w:type="dxa"/>
            <w:vAlign w:val="bottom"/>
            <w:gridSpan w:val="45"/>
          </w:tcPr>
          <w:p>
            <w:pPr>
              <w:spacing w:after="0" w:line="189" w:lineRule="exact"/>
              <w:rPr>
                <w:rFonts w:ascii="Arial" w:cs="Arial" w:eastAsia="Arial" w:hAnsi="Arial"/>
                <w:sz w:val="18"/>
                <w:szCs w:val="18"/>
                <w:color w:val="0000FF"/>
                <w:w w:val="95"/>
              </w:rPr>
            </w:pPr>
            <w:hyperlink r:id="rId165">
              <w:r>
                <w:rPr>
                  <w:rFonts w:ascii="Arial" w:cs="Arial" w:eastAsia="Arial" w:hAnsi="Arial"/>
                  <w:sz w:val="18"/>
                  <w:szCs w:val="18"/>
                  <w:color w:val="0000FF"/>
                  <w:w w:val="95"/>
                </w:rPr>
                <w:t>Restated Amendment Agreement, dated December 30, 2014 and entered into effective as of May 7, 2012, by and</w:t>
              </w:r>
            </w:hyperlink>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40" w:type="dxa"/>
            <w:vAlign w:val="bottom"/>
            <w:tcBorders>
              <w:top w:val="single" w:sz="8" w:color="0000FF"/>
            </w:tcBorders>
            <w:gridSpan w:val="23"/>
          </w:tcPr>
          <w:p>
            <w:pPr>
              <w:spacing w:after="0" w:line="156" w:lineRule="exact"/>
              <w:rPr>
                <w:rFonts w:ascii="Arial" w:cs="Arial" w:eastAsia="Arial" w:hAnsi="Arial"/>
                <w:sz w:val="18"/>
                <w:szCs w:val="18"/>
                <w:color w:val="0000FF"/>
                <w:w w:val="97"/>
              </w:rPr>
            </w:pPr>
            <w:hyperlink r:id="rId165">
              <w:r>
                <w:rPr>
                  <w:rFonts w:ascii="Arial" w:cs="Arial" w:eastAsia="Arial" w:hAnsi="Arial"/>
                  <w:sz w:val="18"/>
                  <w:szCs w:val="18"/>
                  <w:color w:val="0000FF"/>
                  <w:w w:val="97"/>
                </w:rPr>
                <w:t>between Bayer HealthCare LLC and the Registrant. (Incorporated by reference from the Form 10-K for the</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12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65">
              <w:r>
                <w:rPr>
                  <w:rFonts w:ascii="Arial" w:cs="Arial" w:eastAsia="Arial" w:hAnsi="Arial"/>
                  <w:sz w:val="18"/>
                  <w:szCs w:val="18"/>
                  <w:color w:val="0000FF"/>
                </w:rPr>
                <w:t>Registrant, for the year ended December 31, 2014, filed February 12, 2015.)</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10.11.2**</w:t>
            </w:r>
          </w:p>
        </w:tc>
        <w:tc>
          <w:tcPr>
            <w:tcW w:w="870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rPr>
            </w:pPr>
            <w:hyperlink r:id="rId166">
              <w:r>
                <w:rPr>
                  <w:rFonts w:ascii="Arial" w:cs="Arial" w:eastAsia="Arial" w:hAnsi="Arial"/>
                  <w:sz w:val="18"/>
                  <w:szCs w:val="18"/>
                  <w:color w:val="0000FF"/>
                </w:rPr>
                <w:t>Second Amendment Agreement, dated December 19, 2019, by and between Bayer HealthCare LLC and the</w:t>
              </w:r>
            </w:hyperlink>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100" w:type="dxa"/>
            <w:vAlign w:val="bottom"/>
            <w:tcBorders>
              <w:top w:val="single" w:sz="8" w:color="CCEEFF"/>
            </w:tcBorders>
            <w:shd w:val="clear" w:color="auto" w:fill="CCEEFF"/>
          </w:tcPr>
          <w:p>
            <w:pPr>
              <w:spacing w:after="0"/>
              <w:rPr>
                <w:sz w:val="12"/>
                <w:szCs w:val="12"/>
                <w:color w:val="auto"/>
              </w:rPr>
            </w:pPr>
          </w:p>
        </w:tc>
        <w:tc>
          <w:tcPr>
            <w:tcW w:w="8340" w:type="dxa"/>
            <w:vAlign w:val="bottom"/>
            <w:tcBorders>
              <w:top w:val="single" w:sz="8" w:color="0000FF"/>
            </w:tcBorders>
            <w:gridSpan w:val="28"/>
            <w:shd w:val="clear" w:color="auto" w:fill="CCEEFF"/>
          </w:tcPr>
          <w:p>
            <w:pPr>
              <w:spacing w:after="0" w:line="142" w:lineRule="exact"/>
              <w:rPr>
                <w:rFonts w:ascii="Arial" w:cs="Arial" w:eastAsia="Arial" w:hAnsi="Arial"/>
                <w:sz w:val="16"/>
                <w:szCs w:val="16"/>
                <w:u w:val="single" w:color="auto"/>
                <w:color w:val="0000FF"/>
              </w:rPr>
            </w:pPr>
            <w:hyperlink r:id="rId166">
              <w:r>
                <w:rPr>
                  <w:rFonts w:ascii="Arial" w:cs="Arial" w:eastAsia="Arial" w:hAnsi="Arial"/>
                  <w:sz w:val="16"/>
                  <w:szCs w:val="16"/>
                  <w:u w:val="single" w:color="auto"/>
                  <w:color w:val="0000FF"/>
                </w:rPr>
                <w:t>Registrant. (Incorporated by reference from the Form 10-K for the Registrant, for the year ended December 31,</w:t>
              </w:r>
            </w:hyperlink>
          </w:p>
        </w:tc>
        <w:tc>
          <w:tcPr>
            <w:tcW w:w="60" w:type="dxa"/>
            <w:vAlign w:val="bottom"/>
            <w:tcBorders>
              <w:top w:val="single" w:sz="8" w:color="CCEEFF"/>
            </w:tcBorders>
            <w:gridSpan w:val="3"/>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160" w:type="dxa"/>
            <w:vAlign w:val="bottom"/>
            <w:tcBorders>
              <w:top w:val="single" w:sz="8" w:color="CCEEFF"/>
            </w:tcBorders>
            <w:gridSpan w:val="8"/>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right w:val="single" w:sz="8" w:color="CCEEFF"/>
            </w:tcBorders>
            <w:shd w:val="clear" w:color="auto" w:fill="CCEEFF"/>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160" w:type="dxa"/>
            <w:vAlign w:val="bottom"/>
            <w:tcBorders>
              <w:bottom w:val="single" w:sz="8" w:color="0000FF"/>
            </w:tcBorders>
            <w:gridSpan w:val="4"/>
            <w:shd w:val="clear" w:color="auto" w:fill="CCEEFF"/>
          </w:tcPr>
          <w:p>
            <w:pPr>
              <w:spacing w:after="0" w:line="189" w:lineRule="exact"/>
              <w:rPr>
                <w:rFonts w:ascii="Arial" w:cs="Arial" w:eastAsia="Arial" w:hAnsi="Arial"/>
                <w:sz w:val="18"/>
                <w:szCs w:val="18"/>
                <w:color w:val="0000FF"/>
                <w:w w:val="90"/>
              </w:rPr>
            </w:pPr>
            <w:hyperlink r:id="rId166">
              <w:r>
                <w:rPr>
                  <w:rFonts w:ascii="Arial" w:cs="Arial" w:eastAsia="Arial" w:hAnsi="Arial"/>
                  <w:sz w:val="18"/>
                  <w:szCs w:val="18"/>
                  <w:color w:val="0000FF"/>
                  <w:w w:val="90"/>
                </w:rPr>
                <w:t>2019, filed February 7, 2020.)</w:t>
              </w:r>
            </w:hyperlink>
          </w:p>
        </w:tc>
        <w:tc>
          <w:tcPr>
            <w:tcW w:w="6540" w:type="dxa"/>
            <w:vAlign w:val="bottom"/>
            <w:tcBorders>
              <w:bottom w:val="single" w:sz="8" w:color="CCEEFF"/>
              <w:right w:val="single" w:sz="8" w:color="CCEEFF"/>
            </w:tcBorders>
            <w:gridSpan w:val="41"/>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100" w:type="dxa"/>
            <w:vAlign w:val="bottom"/>
          </w:tcPr>
          <w:p>
            <w:pPr>
              <w:ind w:left="20"/>
              <w:spacing w:after="0" w:line="189" w:lineRule="exact"/>
              <w:rPr>
                <w:sz w:val="20"/>
                <w:szCs w:val="20"/>
                <w:color w:val="auto"/>
              </w:rPr>
            </w:pPr>
            <w:r>
              <w:rPr>
                <w:rFonts w:ascii="Arial" w:cs="Arial" w:eastAsia="Arial" w:hAnsi="Arial"/>
                <w:sz w:val="18"/>
                <w:szCs w:val="18"/>
                <w:color w:val="auto"/>
              </w:rPr>
              <w:t>10.12</w:t>
            </w:r>
          </w:p>
        </w:tc>
        <w:tc>
          <w:tcPr>
            <w:tcW w:w="8700" w:type="dxa"/>
            <w:vAlign w:val="bottom"/>
            <w:gridSpan w:val="45"/>
          </w:tcPr>
          <w:p>
            <w:pPr>
              <w:spacing w:after="0" w:line="189" w:lineRule="exact"/>
              <w:rPr>
                <w:rFonts w:ascii="Arial" w:cs="Arial" w:eastAsia="Arial" w:hAnsi="Arial"/>
                <w:sz w:val="18"/>
                <w:szCs w:val="18"/>
                <w:color w:val="0000FF"/>
                <w:w w:val="95"/>
              </w:rPr>
            </w:pPr>
            <w:hyperlink r:id="rId167">
              <w:r>
                <w:rPr>
                  <w:rFonts w:ascii="Arial" w:cs="Arial" w:eastAsia="Arial" w:hAnsi="Arial"/>
                  <w:sz w:val="18"/>
                  <w:szCs w:val="18"/>
                  <w:color w:val="0000FF"/>
                  <w:w w:val="95"/>
                </w:rPr>
                <w:t>License and Collaboration Agreement, dated as of January 10, 2014, by and between Bayer HealthCare LLC and</w:t>
              </w:r>
            </w:hyperlink>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440" w:type="dxa"/>
            <w:vAlign w:val="bottom"/>
            <w:tcBorders>
              <w:top w:val="single" w:sz="8" w:color="0000FF"/>
            </w:tcBorders>
            <w:gridSpan w:val="33"/>
          </w:tcPr>
          <w:p>
            <w:pPr>
              <w:spacing w:after="0" w:line="156" w:lineRule="exact"/>
              <w:rPr>
                <w:rFonts w:ascii="Arial" w:cs="Arial" w:eastAsia="Arial" w:hAnsi="Arial"/>
                <w:sz w:val="18"/>
                <w:szCs w:val="18"/>
                <w:color w:val="0000FF"/>
                <w:w w:val="96"/>
              </w:rPr>
            </w:pPr>
            <w:hyperlink r:id="rId167">
              <w:r>
                <w:rPr>
                  <w:rFonts w:ascii="Arial" w:cs="Arial" w:eastAsia="Arial" w:hAnsi="Arial"/>
                  <w:sz w:val="18"/>
                  <w:szCs w:val="18"/>
                  <w:color w:val="0000FF"/>
                  <w:w w:val="96"/>
                </w:rPr>
                <w:t>the Registrant. (Incorporated by reference from the Form 10-Q for the Registrant, for the quarter ended March</w:t>
              </w:r>
            </w:hyperlink>
          </w:p>
        </w:tc>
        <w:tc>
          <w:tcPr>
            <w:tcW w:w="16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30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67">
              <w:r>
                <w:rPr>
                  <w:rFonts w:ascii="Arial" w:cs="Arial" w:eastAsia="Arial" w:hAnsi="Arial"/>
                  <w:sz w:val="18"/>
                  <w:szCs w:val="18"/>
                  <w:color w:val="0000FF"/>
                </w:rPr>
                <w:t>31, 2014, filed May 8, 2014.)</w:t>
              </w:r>
            </w:hyperlink>
          </w:p>
        </w:tc>
        <w:tc>
          <w:tcPr>
            <w:tcW w:w="100" w:type="dxa"/>
            <w:vAlign w:val="bottom"/>
            <w:gridSpan w:val="5"/>
          </w:tcPr>
          <w:p>
            <w:pPr>
              <w:spacing w:after="0"/>
              <w:rPr>
                <w:sz w:val="13"/>
                <w:szCs w:val="13"/>
                <w:color w:val="auto"/>
              </w:rPr>
            </w:pPr>
          </w:p>
        </w:tc>
        <w:tc>
          <w:tcPr>
            <w:tcW w:w="200" w:type="dxa"/>
            <w:vAlign w:val="bottom"/>
            <w:gridSpan w:val="10"/>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10.13*</w:t>
            </w:r>
          </w:p>
        </w:tc>
        <w:tc>
          <w:tcPr>
            <w:tcW w:w="870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7"/>
              </w:rPr>
            </w:pPr>
            <w:hyperlink r:id="rId168">
              <w:r>
                <w:rPr>
                  <w:rFonts w:ascii="Arial" w:cs="Arial" w:eastAsia="Arial" w:hAnsi="Arial"/>
                  <w:sz w:val="18"/>
                  <w:szCs w:val="18"/>
                  <w:color w:val="0000FF"/>
                  <w:w w:val="97"/>
                </w:rPr>
                <w:t>Amended and Restated Discovery and Preclinical Development Agreement, dated as of November 10, 2009, by</w:t>
              </w:r>
            </w:hyperlink>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100" w:type="dxa"/>
            <w:vAlign w:val="bottom"/>
            <w:tcBorders>
              <w:top w:val="single" w:sz="8" w:color="CCEEFF"/>
              <w:bottom w:val="single" w:sz="8" w:color="CCEEFF"/>
            </w:tcBorders>
            <w:shd w:val="clear" w:color="auto" w:fill="CCEEFF"/>
          </w:tcPr>
          <w:p>
            <w:pPr>
              <w:spacing w:after="0"/>
              <w:rPr>
                <w:sz w:val="13"/>
                <w:szCs w:val="13"/>
                <w:color w:val="auto"/>
              </w:rPr>
            </w:pPr>
          </w:p>
        </w:tc>
        <w:tc>
          <w:tcPr>
            <w:tcW w:w="8640" w:type="dxa"/>
            <w:vAlign w:val="bottom"/>
            <w:tcBorders>
              <w:top w:val="single" w:sz="8" w:color="0000FF"/>
              <w:bottom w:val="single" w:sz="8" w:color="0000FF"/>
            </w:tcBorders>
            <w:gridSpan w:val="43"/>
            <w:shd w:val="clear" w:color="auto" w:fill="CCEEFF"/>
          </w:tcPr>
          <w:p>
            <w:pPr>
              <w:spacing w:after="0" w:line="156" w:lineRule="exact"/>
              <w:rPr>
                <w:rFonts w:ascii="Arial" w:cs="Arial" w:eastAsia="Arial" w:hAnsi="Arial"/>
                <w:sz w:val="18"/>
                <w:szCs w:val="18"/>
                <w:color w:val="0000FF"/>
                <w:w w:val="96"/>
              </w:rPr>
            </w:pPr>
            <w:hyperlink r:id="rId168">
              <w:r>
                <w:rPr>
                  <w:rFonts w:ascii="Arial" w:cs="Arial" w:eastAsia="Arial" w:hAnsi="Arial"/>
                  <w:sz w:val="18"/>
                  <w:szCs w:val="18"/>
                  <w:color w:val="0000FF"/>
                  <w:w w:val="96"/>
                </w:rPr>
                <w:t>and between Aventis Pharmaceuticals Inc. and the Registrant. (Incorporated by reference from the Form 10-K/A</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0000FF"/>
              <w:right w:val="single" w:sz="8" w:color="CCEEFF"/>
            </w:tcBorders>
            <w:shd w:val="clear" w:color="auto" w:fill="CCEEFF"/>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700" w:type="dxa"/>
            <w:vAlign w:val="bottom"/>
            <w:tcBorders>
              <w:right w:val="single" w:sz="8" w:color="CCEEFF"/>
            </w:tcBorders>
            <w:gridSpan w:val="45"/>
            <w:shd w:val="clear" w:color="auto" w:fill="CCEEFF"/>
          </w:tcPr>
          <w:p>
            <w:pPr>
              <w:spacing w:after="0" w:line="156" w:lineRule="exact"/>
              <w:rPr>
                <w:rFonts w:ascii="Arial" w:cs="Arial" w:eastAsia="Arial" w:hAnsi="Arial"/>
                <w:sz w:val="18"/>
                <w:szCs w:val="18"/>
                <w:color w:val="0000FF"/>
              </w:rPr>
            </w:pPr>
            <w:hyperlink r:id="rId168">
              <w:r>
                <w:rPr>
                  <w:rFonts w:ascii="Arial" w:cs="Arial" w:eastAsia="Arial" w:hAnsi="Arial"/>
                  <w:sz w:val="18"/>
                  <w:szCs w:val="18"/>
                  <w:color w:val="0000FF"/>
                </w:rPr>
                <w:t>for the Registrant, for the year ended December 31, 2009, filed June 2, 2010.)</w:t>
              </w:r>
            </w:hyperlink>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tcPr>
          <w:p>
            <w:pPr>
              <w:ind w:left="20"/>
              <w:spacing w:after="0" w:line="189" w:lineRule="exact"/>
              <w:rPr>
                <w:sz w:val="20"/>
                <w:szCs w:val="20"/>
                <w:color w:val="auto"/>
              </w:rPr>
            </w:pPr>
            <w:r>
              <w:rPr>
                <w:rFonts w:ascii="Arial" w:cs="Arial" w:eastAsia="Arial" w:hAnsi="Arial"/>
                <w:sz w:val="18"/>
                <w:szCs w:val="18"/>
                <w:color w:val="auto"/>
              </w:rPr>
              <w:t>10.13.1*</w:t>
            </w:r>
          </w:p>
        </w:tc>
        <w:tc>
          <w:tcPr>
            <w:tcW w:w="8700" w:type="dxa"/>
            <w:vAlign w:val="bottom"/>
            <w:gridSpan w:val="45"/>
          </w:tcPr>
          <w:p>
            <w:pPr>
              <w:spacing w:after="0" w:line="189" w:lineRule="exact"/>
              <w:rPr>
                <w:rFonts w:ascii="Arial" w:cs="Arial" w:eastAsia="Arial" w:hAnsi="Arial"/>
                <w:sz w:val="18"/>
                <w:szCs w:val="18"/>
                <w:color w:val="0000FF"/>
                <w:w w:val="97"/>
              </w:rPr>
            </w:pPr>
            <w:hyperlink r:id="rId169">
              <w:r>
                <w:rPr>
                  <w:rFonts w:ascii="Arial" w:cs="Arial" w:eastAsia="Arial" w:hAnsi="Arial"/>
                  <w:sz w:val="18"/>
                  <w:szCs w:val="18"/>
                  <w:color w:val="0000FF"/>
                  <w:w w:val="97"/>
                </w:rPr>
                <w:t>Amendment No. 1 to Amended and Restated Discovery and Preclinical Development Agreement, dated July 27,</w:t>
              </w:r>
            </w:hyperlink>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600" w:type="dxa"/>
            <w:vAlign w:val="bottom"/>
            <w:tcBorders>
              <w:top w:val="single" w:sz="8" w:color="0000FF"/>
            </w:tcBorders>
            <w:gridSpan w:val="41"/>
          </w:tcPr>
          <w:p>
            <w:pPr>
              <w:spacing w:after="0" w:line="156" w:lineRule="exact"/>
              <w:rPr>
                <w:rFonts w:ascii="Arial" w:cs="Arial" w:eastAsia="Arial" w:hAnsi="Arial"/>
                <w:sz w:val="18"/>
                <w:szCs w:val="18"/>
                <w:color w:val="0000FF"/>
              </w:rPr>
            </w:pPr>
            <w:hyperlink r:id="rId169">
              <w:r>
                <w:rPr>
                  <w:rFonts w:ascii="Arial" w:cs="Arial" w:eastAsia="Arial" w:hAnsi="Arial"/>
                  <w:sz w:val="18"/>
                  <w:szCs w:val="18"/>
                  <w:color w:val="0000FF"/>
                </w:rPr>
                <w:t>2015 and entered into effective as of July 1, 2015, by and between the Registrant and Sanofi Biotechnology</w:t>
              </w:r>
            </w:hyperlink>
          </w:p>
        </w:tc>
        <w:tc>
          <w:tcPr>
            <w:tcW w:w="60" w:type="dxa"/>
            <w:vAlign w:val="bottom"/>
            <w:gridSpan w:val="3"/>
          </w:tcPr>
          <w:p>
            <w:pPr>
              <w:spacing w:after="0"/>
              <w:rPr>
                <w:sz w:val="13"/>
                <w:szCs w:val="13"/>
                <w:color w:val="auto"/>
              </w:rPr>
            </w:pPr>
          </w:p>
        </w:tc>
        <w:tc>
          <w:tcPr>
            <w:tcW w:w="4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400" w:type="dxa"/>
            <w:vAlign w:val="bottom"/>
            <w:tcBorders>
              <w:top w:val="single" w:sz="8" w:color="0000FF"/>
            </w:tcBorders>
            <w:gridSpan w:val="31"/>
          </w:tcPr>
          <w:p>
            <w:pPr>
              <w:spacing w:after="0" w:line="156" w:lineRule="exact"/>
              <w:rPr>
                <w:rFonts w:ascii="Arial" w:cs="Arial" w:eastAsia="Arial" w:hAnsi="Arial"/>
                <w:sz w:val="18"/>
                <w:szCs w:val="18"/>
                <w:color w:val="0000FF"/>
                <w:w w:val="95"/>
              </w:rPr>
            </w:pPr>
            <w:hyperlink r:id="rId169">
              <w:r>
                <w:rPr>
                  <w:rFonts w:ascii="Arial" w:cs="Arial" w:eastAsia="Arial" w:hAnsi="Arial"/>
                  <w:sz w:val="18"/>
                  <w:szCs w:val="18"/>
                  <w:color w:val="0000FF"/>
                  <w:w w:val="95"/>
                </w:rPr>
                <w:t>SAS, as successor-in-interest to Aventis Pharmaceuticals, Inc. (Incorporated by reference from the Form 10-Q</w:t>
              </w:r>
            </w:hyperlink>
          </w:p>
        </w:tc>
        <w:tc>
          <w:tcPr>
            <w:tcW w:w="260" w:type="dxa"/>
            <w:vAlign w:val="bottom"/>
            <w:gridSpan w:val="13"/>
          </w:tcPr>
          <w:p>
            <w:pPr>
              <w:spacing w:after="0"/>
              <w:rPr>
                <w:sz w:val="13"/>
                <w:szCs w:val="13"/>
                <w:color w:val="auto"/>
              </w:rPr>
            </w:pPr>
          </w:p>
        </w:tc>
        <w:tc>
          <w:tcPr>
            <w:tcW w:w="4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580" w:type="dxa"/>
            <w:vAlign w:val="bottom"/>
            <w:tcBorders>
              <w:top w:val="single" w:sz="8" w:color="0000FF"/>
            </w:tcBorders>
            <w:gridSpan w:val="40"/>
          </w:tcPr>
          <w:p>
            <w:pPr>
              <w:spacing w:after="0" w:line="156" w:lineRule="exact"/>
              <w:rPr>
                <w:rFonts w:ascii="Arial" w:cs="Arial" w:eastAsia="Arial" w:hAnsi="Arial"/>
                <w:sz w:val="18"/>
                <w:szCs w:val="18"/>
                <w:color w:val="0000FF"/>
              </w:rPr>
            </w:pPr>
            <w:hyperlink r:id="rId169">
              <w:r>
                <w:rPr>
                  <w:rFonts w:ascii="Arial" w:cs="Arial" w:eastAsia="Arial" w:hAnsi="Arial"/>
                  <w:sz w:val="18"/>
                  <w:szCs w:val="18"/>
                  <w:color w:val="0000FF"/>
                </w:rPr>
                <w:t>for the Registrant, for the quarter ended September 30, 2015, filed November 4, 2015.)</w:t>
              </w:r>
            </w:hyperlink>
          </w:p>
        </w:tc>
        <w:tc>
          <w:tcPr>
            <w:tcW w:w="80" w:type="dxa"/>
            <w:vAlign w:val="bottom"/>
            <w:gridSpan w:val="4"/>
          </w:tcPr>
          <w:p>
            <w:pPr>
              <w:spacing w:after="0"/>
              <w:rPr>
                <w:sz w:val="13"/>
                <w:szCs w:val="13"/>
                <w:color w:val="auto"/>
              </w:rPr>
            </w:pPr>
          </w:p>
        </w:tc>
        <w:tc>
          <w:tcPr>
            <w:tcW w:w="4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10.14*</w:t>
            </w:r>
          </w:p>
        </w:tc>
        <w:tc>
          <w:tcPr>
            <w:tcW w:w="870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8"/>
              </w:rPr>
            </w:pPr>
            <w:hyperlink r:id="rId170">
              <w:r>
                <w:rPr>
                  <w:rFonts w:ascii="Arial" w:cs="Arial" w:eastAsia="Arial" w:hAnsi="Arial"/>
                  <w:sz w:val="18"/>
                  <w:szCs w:val="18"/>
                  <w:color w:val="0000FF"/>
                  <w:w w:val="98"/>
                </w:rPr>
                <w:t>Amended and Restated License and Collaboration Agreement, dated as of November 10, 2009, by and among</w:t>
              </w:r>
            </w:hyperlink>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8660" w:type="dxa"/>
            <w:vAlign w:val="bottom"/>
            <w:tcBorders>
              <w:top w:val="single" w:sz="8" w:color="0000FF"/>
            </w:tcBorders>
            <w:gridSpan w:val="44"/>
            <w:shd w:val="clear" w:color="auto" w:fill="CCEEFF"/>
          </w:tcPr>
          <w:p>
            <w:pPr>
              <w:spacing w:after="0" w:line="156" w:lineRule="exact"/>
              <w:rPr>
                <w:rFonts w:ascii="Arial" w:cs="Arial" w:eastAsia="Arial" w:hAnsi="Arial"/>
                <w:sz w:val="18"/>
                <w:szCs w:val="18"/>
                <w:color w:val="0000FF"/>
                <w:w w:val="97"/>
              </w:rPr>
            </w:pPr>
            <w:hyperlink r:id="rId170">
              <w:r>
                <w:rPr>
                  <w:rFonts w:ascii="Arial" w:cs="Arial" w:eastAsia="Arial" w:hAnsi="Arial"/>
                  <w:sz w:val="18"/>
                  <w:szCs w:val="18"/>
                  <w:color w:val="0000FF"/>
                  <w:w w:val="97"/>
                </w:rPr>
                <w:t>Aventis Pharmaceuticals Inc., sanofi-aventis Amerique du Nord, and the Registrant. (Incorporated by reference</w:t>
              </w:r>
            </w:hyperlink>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8220" w:type="dxa"/>
            <w:vAlign w:val="bottom"/>
            <w:tcBorders>
              <w:top w:val="single" w:sz="8" w:color="0000FF"/>
            </w:tcBorders>
            <w:gridSpan w:val="22"/>
            <w:shd w:val="clear" w:color="auto" w:fill="CCEEFF"/>
          </w:tcPr>
          <w:p>
            <w:pPr>
              <w:spacing w:after="0" w:line="196" w:lineRule="exact"/>
              <w:rPr>
                <w:rFonts w:ascii="Arial" w:cs="Arial" w:eastAsia="Arial" w:hAnsi="Arial"/>
                <w:sz w:val="18"/>
                <w:szCs w:val="18"/>
                <w:u w:val="single" w:color="auto"/>
                <w:color w:val="0000FF"/>
              </w:rPr>
            </w:pPr>
            <w:hyperlink r:id="rId170">
              <w:r>
                <w:rPr>
                  <w:rFonts w:ascii="Arial" w:cs="Arial" w:eastAsia="Arial" w:hAnsi="Arial"/>
                  <w:sz w:val="18"/>
                  <w:szCs w:val="18"/>
                  <w:u w:val="single" w:color="auto"/>
                  <w:color w:val="0000FF"/>
                </w:rPr>
                <w:t>from the Form 10-K/A for the Registrant, for the year ended December 31, 2009, filed June 2, 2010.)</w:t>
              </w:r>
            </w:hyperlink>
          </w:p>
        </w:tc>
        <w:tc>
          <w:tcPr>
            <w:tcW w:w="480" w:type="dxa"/>
            <w:vAlign w:val="bottom"/>
            <w:tcBorders>
              <w:top w:val="single" w:sz="8" w:color="CCEEFF"/>
              <w:right w:val="single" w:sz="8" w:color="CCEEFF"/>
            </w:tcBorders>
            <w:gridSpan w:val="23"/>
            <w:shd w:val="clear" w:color="auto" w:fill="CCEEFF"/>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100" w:type="dxa"/>
            <w:vAlign w:val="bottom"/>
          </w:tcPr>
          <w:p>
            <w:pPr>
              <w:ind w:left="20"/>
              <w:spacing w:after="0" w:line="189" w:lineRule="exact"/>
              <w:rPr>
                <w:sz w:val="20"/>
                <w:szCs w:val="20"/>
                <w:color w:val="auto"/>
              </w:rPr>
            </w:pPr>
            <w:r>
              <w:rPr>
                <w:rFonts w:ascii="Arial" w:cs="Arial" w:eastAsia="Arial" w:hAnsi="Arial"/>
                <w:sz w:val="18"/>
                <w:szCs w:val="18"/>
                <w:color w:val="auto"/>
              </w:rPr>
              <w:t>10.14.1*</w:t>
            </w:r>
          </w:p>
        </w:tc>
        <w:tc>
          <w:tcPr>
            <w:tcW w:w="8700" w:type="dxa"/>
            <w:vAlign w:val="bottom"/>
            <w:gridSpan w:val="45"/>
          </w:tcPr>
          <w:p>
            <w:pPr>
              <w:spacing w:after="0" w:line="189" w:lineRule="exact"/>
              <w:rPr>
                <w:rFonts w:ascii="Arial" w:cs="Arial" w:eastAsia="Arial" w:hAnsi="Arial"/>
                <w:sz w:val="18"/>
                <w:szCs w:val="18"/>
                <w:color w:val="0000FF"/>
              </w:rPr>
            </w:pPr>
            <w:hyperlink r:id="rId171">
              <w:r>
                <w:rPr>
                  <w:rFonts w:ascii="Arial" w:cs="Arial" w:eastAsia="Arial" w:hAnsi="Arial"/>
                  <w:sz w:val="18"/>
                  <w:szCs w:val="18"/>
                  <w:color w:val="0000FF"/>
                </w:rPr>
                <w:t>First Amendment to Amended and Restated License and Collaboration Agreement by and between the</w:t>
              </w:r>
            </w:hyperlink>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140" w:type="dxa"/>
            <w:vAlign w:val="bottom"/>
            <w:tcBorders>
              <w:top w:val="single" w:sz="8" w:color="0000FF"/>
            </w:tcBorders>
            <w:gridSpan w:val="18"/>
          </w:tcPr>
          <w:p>
            <w:pPr>
              <w:spacing w:after="0" w:line="156" w:lineRule="exact"/>
              <w:rPr>
                <w:rFonts w:ascii="Arial" w:cs="Arial" w:eastAsia="Arial" w:hAnsi="Arial"/>
                <w:sz w:val="18"/>
                <w:szCs w:val="18"/>
                <w:color w:val="0000FF"/>
                <w:w w:val="90"/>
              </w:rPr>
            </w:pPr>
            <w:hyperlink r:id="rId171">
              <w:r>
                <w:rPr>
                  <w:rFonts w:ascii="Arial" w:cs="Arial" w:eastAsia="Arial" w:hAnsi="Arial"/>
                  <w:sz w:val="18"/>
                  <w:szCs w:val="18"/>
                  <w:color w:val="0000FF"/>
                  <w:w w:val="90"/>
                </w:rPr>
                <w:t>Registrant and Aventis Pharmaceuticals Inc., dated May 1, 2013. (Incorporated by reference from the Form 10-Q</w:t>
              </w:r>
            </w:hyperlink>
          </w:p>
        </w:tc>
        <w:tc>
          <w:tcPr>
            <w:tcW w:w="1000" w:type="dxa"/>
            <w:vAlign w:val="bottom"/>
            <w:gridSpan w:val="2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4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71">
              <w:r>
                <w:rPr>
                  <w:rFonts w:ascii="Arial" w:cs="Arial" w:eastAsia="Arial" w:hAnsi="Arial"/>
                  <w:sz w:val="18"/>
                  <w:szCs w:val="18"/>
                  <w:color w:val="0000FF"/>
                </w:rPr>
                <w:t>for the Registrant, for the quarter ended June 30, 2013, filed August 6, 2013.)</w:t>
              </w:r>
            </w:hyperlink>
          </w:p>
        </w:tc>
        <w:tc>
          <w:tcPr>
            <w:tcW w:w="900" w:type="dxa"/>
            <w:vAlign w:val="bottom"/>
            <w:gridSpan w:val="23"/>
          </w:tcPr>
          <w:p>
            <w:pPr>
              <w:spacing w:after="0"/>
              <w:rPr>
                <w:sz w:val="13"/>
                <w:szCs w:val="13"/>
                <w:color w:val="auto"/>
              </w:rPr>
            </w:pPr>
          </w:p>
        </w:tc>
        <w:tc>
          <w:tcPr>
            <w:tcW w:w="0" w:type="dxa"/>
            <w:vAlign w:val="bottom"/>
          </w:tcPr>
          <w:p>
            <w:pPr>
              <w:spacing w:after="0"/>
              <w:rPr>
                <w:sz w:val="1"/>
                <w:szCs w:val="1"/>
                <w:color w:val="auto"/>
              </w:rPr>
            </w:pPr>
          </w:p>
        </w:tc>
      </w:tr>
      <w:tr>
        <w:trPr>
          <w:trHeight w:val="682"/>
        </w:trPr>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780" w:type="dxa"/>
            <w:vAlign w:val="bottom"/>
            <w:tcBorders>
              <w:top w:val="single" w:sz="8" w:color="0000FF"/>
            </w:tcBorders>
            <w:gridSpan w:val="10"/>
          </w:tcPr>
          <w:p>
            <w:pPr>
              <w:ind w:left="3440"/>
              <w:spacing w:after="0"/>
              <w:rPr>
                <w:sz w:val="20"/>
                <w:szCs w:val="20"/>
                <w:color w:val="auto"/>
              </w:rPr>
            </w:pPr>
            <w:r>
              <w:rPr>
                <w:rFonts w:ascii="Arial" w:cs="Arial" w:eastAsia="Arial" w:hAnsi="Arial"/>
                <w:sz w:val="18"/>
                <w:szCs w:val="18"/>
                <w:color w:val="auto"/>
              </w:rPr>
              <w:t>95</w:t>
            </w:r>
          </w:p>
        </w:tc>
        <w:tc>
          <w:tcPr>
            <w:tcW w:w="9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6" w:name="page97"/>
    <w:bookmarkEnd w:id="9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2100" w:hanging="1079"/>
        <w:spacing w:after="0" w:line="232" w:lineRule="auto"/>
        <w:tabs>
          <w:tab w:leader="none" w:pos="2080" w:val="left"/>
        </w:tabs>
        <w:rPr>
          <w:rFonts w:ascii="Arial" w:cs="Arial" w:eastAsia="Arial" w:hAnsi="Arial"/>
          <w:sz w:val="17"/>
          <w:szCs w:val="17"/>
          <w:u w:val="single" w:color="auto"/>
          <w:color w:val="0000FF"/>
        </w:rPr>
      </w:pPr>
      <w:r>
        <w:rPr>
          <w:rFonts w:ascii="Arial" w:cs="Arial" w:eastAsia="Arial" w:hAnsi="Arial"/>
          <w:sz w:val="18"/>
          <w:szCs w:val="18"/>
          <w:color w:val="auto"/>
        </w:rPr>
        <w:t>10.14.2*</w:t>
      </w:r>
      <w:r>
        <w:rPr>
          <w:sz w:val="20"/>
          <w:szCs w:val="20"/>
          <w:color w:val="auto"/>
        </w:rPr>
        <w:tab/>
      </w:r>
      <w:hyperlink r:id="rId174">
        <w:r>
          <w:rPr>
            <w:rFonts w:ascii="Arial" w:cs="Arial" w:eastAsia="Arial" w:hAnsi="Arial"/>
            <w:sz w:val="17"/>
            <w:szCs w:val="17"/>
            <w:u w:val="single" w:color="auto"/>
            <w:color w:val="0000FF"/>
          </w:rPr>
          <w:t>Amendment No. 2 to Amended and Restated License and Collaboration Agreement, dated July 27, 2015 and</w:t>
        </w:r>
      </w:hyperlink>
      <w:r>
        <w:rPr>
          <w:rFonts w:ascii="Arial" w:cs="Arial" w:eastAsia="Arial" w:hAnsi="Arial"/>
          <w:sz w:val="17"/>
          <w:szCs w:val="17"/>
          <w:u w:val="single" w:color="auto"/>
          <w:color w:val="0000FF"/>
        </w:rPr>
        <w:t xml:space="preserve"> </w:t>
      </w:r>
      <w:hyperlink r:id="rId174">
        <w:r>
          <w:rPr>
            <w:rFonts w:ascii="Arial" w:cs="Arial" w:eastAsia="Arial" w:hAnsi="Arial"/>
            <w:sz w:val="17"/>
            <w:szCs w:val="17"/>
            <w:u w:val="single" w:color="auto"/>
            <w:color w:val="0000FF"/>
          </w:rPr>
          <w:t>entered into effective as of July 1, 2015, by and between the Registrant and Sanofi Biotechnology SAS, as</w:t>
        </w:r>
      </w:hyperlink>
      <w:r>
        <w:rPr>
          <w:rFonts w:ascii="Arial" w:cs="Arial" w:eastAsia="Arial" w:hAnsi="Arial"/>
          <w:sz w:val="17"/>
          <w:szCs w:val="17"/>
          <w:u w:val="single" w:color="auto"/>
          <w:color w:val="0000FF"/>
        </w:rPr>
        <w:t xml:space="preserve"> </w:t>
      </w:r>
      <w:hyperlink r:id="rId174">
        <w:r>
          <w:rPr>
            <w:rFonts w:ascii="Arial" w:cs="Arial" w:eastAsia="Arial" w:hAnsi="Arial"/>
            <w:sz w:val="17"/>
            <w:szCs w:val="17"/>
            <w:u w:val="single" w:color="auto"/>
            <w:color w:val="0000FF"/>
          </w:rPr>
          <w:t>successor-in-interest to Aventis Pharmaceuticals, Inc. (Incorporated by reference from the Form 10-Q for the</w:t>
        </w:r>
      </w:hyperlink>
      <w:r>
        <w:rPr>
          <w:rFonts w:ascii="Arial" w:cs="Arial" w:eastAsia="Arial" w:hAnsi="Arial"/>
          <w:sz w:val="17"/>
          <w:szCs w:val="17"/>
          <w:u w:val="single" w:color="auto"/>
          <w:color w:val="0000FF"/>
        </w:rPr>
        <w:t xml:space="preserve"> </w:t>
      </w:r>
      <w:hyperlink r:id="rId174">
        <w:r>
          <w:rPr>
            <w:rFonts w:ascii="Arial" w:cs="Arial" w:eastAsia="Arial" w:hAnsi="Arial"/>
            <w:sz w:val="17"/>
            <w:szCs w:val="17"/>
            <w:u w:val="single" w:color="auto"/>
            <w:color w:val="0000FF"/>
          </w:rPr>
          <w:t>Registrant, for the quarter ended September 30, 2015, filed November 4, 2015.)</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630555</wp:posOffset>
            </wp:positionH>
            <wp:positionV relativeFrom="paragraph">
              <wp:posOffset>-478790</wp:posOffset>
            </wp:positionV>
            <wp:extent cx="5880735" cy="4800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5">
                      <a:extLst>
                        <a:ext uri="{28A0092B-C50C-407E-A947-70E740481C1C}"/>
                      </a:extLst>
                    </a:blip>
                    <a:srcRect/>
                    <a:stretch>
                      <a:fillRect/>
                    </a:stretch>
                  </pic:blipFill>
                  <pic:spPr bwMode="auto">
                    <a:xfrm>
                      <a:off x="0" y="0"/>
                      <a:ext cx="5880735" cy="480060"/>
                    </a:xfrm>
                    <a:prstGeom prst="rect">
                      <a:avLst/>
                    </a:prstGeom>
                    <a:noFill/>
                  </pic:spPr>
                </pic:pic>
              </a:graphicData>
            </a:graphic>
          </wp:anchor>
        </w:drawing>
      </w:r>
    </w:p>
    <w:p>
      <w:pPr>
        <w:jc w:val="both"/>
        <w:ind w:left="2100" w:hanging="1079"/>
        <w:spacing w:after="0" w:line="219" w:lineRule="auto"/>
        <w:tabs>
          <w:tab w:leader="none" w:pos="2080" w:val="left"/>
        </w:tabs>
        <w:rPr>
          <w:rFonts w:ascii="Arial" w:cs="Arial" w:eastAsia="Arial" w:hAnsi="Arial"/>
          <w:sz w:val="18"/>
          <w:szCs w:val="18"/>
          <w:u w:val="single" w:color="auto"/>
          <w:color w:val="0000FF"/>
        </w:rPr>
      </w:pPr>
      <w:r>
        <w:rPr>
          <w:rFonts w:ascii="Arial" w:cs="Arial" w:eastAsia="Arial" w:hAnsi="Arial"/>
          <w:sz w:val="18"/>
          <w:szCs w:val="18"/>
          <w:color w:val="auto"/>
        </w:rPr>
        <w:t>10.14.3**</w:t>
      </w:r>
      <w:r>
        <w:rPr>
          <w:sz w:val="20"/>
          <w:szCs w:val="20"/>
          <w:color w:val="auto"/>
        </w:rPr>
        <w:tab/>
      </w:r>
      <w:hyperlink r:id="rId176">
        <w:r>
          <w:rPr>
            <w:rFonts w:ascii="Arial" w:cs="Arial" w:eastAsia="Arial" w:hAnsi="Arial"/>
            <w:sz w:val="18"/>
            <w:szCs w:val="18"/>
            <w:u w:val="single" w:color="auto"/>
            <w:color w:val="0000FF"/>
          </w:rPr>
          <w:t>Third Amendment to Amended and Restated License and Collaboration Agreement, dated as of April 5, 2020,</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and effective as of April 1, 2020, by and between the Registrant, Sanofi Biotechnology SAS, and Sanofi.</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(Incorporated by reference from the Form 10-Q for the Registrant, for the quarter ended June 30, 2020, filed</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August 5, 2020.)</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630555</wp:posOffset>
            </wp:positionH>
            <wp:positionV relativeFrom="paragraph">
              <wp:posOffset>635</wp:posOffset>
            </wp:positionV>
            <wp:extent cx="5880735" cy="3683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7">
                      <a:extLst>
                        <a:ext uri="{28A0092B-C50C-407E-A947-70E740481C1C}"/>
                      </a:extLst>
                    </a:blip>
                    <a:srcRect/>
                    <a:stretch>
                      <a:fillRect/>
                    </a:stretch>
                  </pic:blipFill>
                  <pic:spPr bwMode="auto">
                    <a:xfrm>
                      <a:off x="0" y="0"/>
                      <a:ext cx="5880735" cy="368300"/>
                    </a:xfrm>
                    <a:prstGeom prst="rect">
                      <a:avLst/>
                    </a:prstGeom>
                    <a:noFill/>
                  </pic:spPr>
                </pic:pic>
              </a:graphicData>
            </a:graphic>
          </wp:anchor>
        </w:drawing>
      </w:r>
    </w:p>
    <w:p>
      <w:pPr>
        <w:ind w:left="1020"/>
        <w:spacing w:after="0"/>
        <w:tabs>
          <w:tab w:leader="none" w:pos="2080" w:val="left"/>
        </w:tabs>
        <w:rPr>
          <w:rFonts w:ascii="Arial" w:cs="Arial" w:eastAsia="Arial" w:hAnsi="Arial"/>
          <w:sz w:val="16"/>
          <w:szCs w:val="16"/>
          <w:u w:val="single" w:color="auto"/>
          <w:color w:val="0000FF"/>
        </w:rPr>
      </w:pPr>
      <w:r>
        <w:rPr>
          <w:rFonts w:ascii="Arial" w:cs="Arial" w:eastAsia="Arial" w:hAnsi="Arial"/>
          <w:sz w:val="18"/>
          <w:szCs w:val="18"/>
          <w:color w:val="auto"/>
        </w:rPr>
        <w:t>10.15**</w:t>
      </w:r>
      <w:r>
        <w:rPr>
          <w:sz w:val="20"/>
          <w:szCs w:val="20"/>
          <w:color w:val="auto"/>
        </w:rPr>
        <w:tab/>
      </w:r>
      <w:hyperlink r:id="rId178">
        <w:r>
          <w:rPr>
            <w:rFonts w:ascii="Arial" w:cs="Arial" w:eastAsia="Arial" w:hAnsi="Arial"/>
            <w:sz w:val="16"/>
            <w:szCs w:val="16"/>
            <w:u w:val="single" w:color="auto"/>
            <w:color w:val="0000FF"/>
          </w:rPr>
          <w:t>Praluent Cross License &amp; Commercialization Agreement, dated as of April 5, 2020, and effective as of April 1,</w:t>
        </w:r>
      </w:hyperlink>
    </w:p>
    <w:p>
      <w:pPr>
        <w:ind w:left="2100"/>
        <w:spacing w:after="0" w:line="229" w:lineRule="auto"/>
        <w:rPr>
          <w:rFonts w:ascii="Arial" w:cs="Arial" w:eastAsia="Arial" w:hAnsi="Arial"/>
          <w:sz w:val="16"/>
          <w:szCs w:val="16"/>
          <w:u w:val="single" w:color="auto"/>
          <w:color w:val="0000FF"/>
        </w:rPr>
      </w:pPr>
      <w:hyperlink r:id="rId178">
        <w:r>
          <w:rPr>
            <w:rFonts w:ascii="Arial" w:cs="Arial" w:eastAsia="Arial" w:hAnsi="Arial"/>
            <w:sz w:val="16"/>
            <w:szCs w:val="16"/>
            <w:u w:val="single" w:color="auto"/>
            <w:color w:val="0000FF"/>
          </w:rPr>
          <w:t>2020, by and between the Registrant and Sanofi Biotechnology SAS. (Incorporated by reference from the Form</w:t>
        </w:r>
      </w:hyperlink>
    </w:p>
    <w:p>
      <w:pPr>
        <w:spacing w:after="0" w:line="1" w:lineRule="exact"/>
        <w:rPr>
          <w:rFonts w:ascii="Arial" w:cs="Arial" w:eastAsia="Arial" w:hAnsi="Arial"/>
          <w:sz w:val="18"/>
          <w:szCs w:val="18"/>
          <w:u w:val="single" w:color="auto"/>
          <w:color w:val="0000FF"/>
        </w:rPr>
      </w:pPr>
    </w:p>
    <w:p>
      <w:pPr>
        <w:ind w:left="2100"/>
        <w:spacing w:after="0"/>
        <w:rPr>
          <w:rFonts w:ascii="Arial" w:cs="Arial" w:eastAsia="Arial" w:hAnsi="Arial"/>
          <w:sz w:val="18"/>
          <w:szCs w:val="18"/>
          <w:u w:val="single" w:color="auto"/>
          <w:color w:val="0000FF"/>
        </w:rPr>
      </w:pPr>
      <w:hyperlink r:id="rId178">
        <w:r>
          <w:rPr>
            <w:rFonts w:ascii="Arial" w:cs="Arial" w:eastAsia="Arial" w:hAnsi="Arial"/>
            <w:sz w:val="18"/>
            <w:szCs w:val="18"/>
            <w:u w:val="single" w:color="auto"/>
            <w:color w:val="0000FF"/>
          </w:rPr>
          <w:t>10-Q for the Registrant, for the quarter ended June 30, 2020, filed August 5, 2020.)</w:t>
        </w:r>
      </w:hyperlink>
    </w:p>
    <w:p>
      <w:pPr>
        <w:spacing w:after="0" w:line="7" w:lineRule="exact"/>
        <w:rPr>
          <w:rFonts w:ascii="Arial" w:cs="Arial" w:eastAsia="Arial" w:hAnsi="Arial"/>
          <w:sz w:val="18"/>
          <w:szCs w:val="18"/>
          <w:u w:val="single" w:color="auto"/>
          <w:color w:val="0000FF"/>
        </w:rPr>
      </w:pPr>
    </w:p>
    <w:p>
      <w:pPr>
        <w:jc w:val="both"/>
        <w:ind w:left="2100" w:hanging="1079"/>
        <w:spacing w:after="0" w:line="224" w:lineRule="auto"/>
        <w:tabs>
          <w:tab w:leader="none" w:pos="208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179">
        <w:r>
          <w:rPr>
            <w:rFonts w:ascii="Arial" w:cs="Arial" w:eastAsia="Arial" w:hAnsi="Arial"/>
            <w:sz w:val="18"/>
            <w:szCs w:val="18"/>
            <w:u w:val="single" w:color="auto"/>
            <w:color w:val="0000FF"/>
          </w:rPr>
          <w:t>Amended and Restated Investor Agreement, dated as of January 11, 2014, by and among Sanofi, sanofi-aventis</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US LLC, Aventis Pharmaceuticals Inc., sanofi-aventis Amerique du Nord, and the Registrant. (Incorporated by</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reference from the Form 8-K for the Registrant, filed January 13, 2014.)</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630555</wp:posOffset>
            </wp:positionH>
            <wp:positionV relativeFrom="paragraph">
              <wp:posOffset>635</wp:posOffset>
            </wp:positionV>
            <wp:extent cx="5880735" cy="3683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0">
                      <a:extLst>
                        <a:ext uri="{28A0092B-C50C-407E-A947-70E740481C1C}"/>
                      </a:extLst>
                    </a:blip>
                    <a:srcRect/>
                    <a:stretch>
                      <a:fillRect/>
                    </a:stretch>
                  </pic:blipFill>
                  <pic:spPr bwMode="auto">
                    <a:xfrm>
                      <a:off x="0" y="0"/>
                      <a:ext cx="5880735" cy="368300"/>
                    </a:xfrm>
                    <a:prstGeom prst="rect">
                      <a:avLst/>
                    </a:prstGeom>
                    <a:noFill/>
                  </pic:spPr>
                </pic:pic>
              </a:graphicData>
            </a:graphic>
          </wp:anchor>
        </w:drawing>
      </w:r>
    </w:p>
    <w:p>
      <w:pPr>
        <w:jc w:val="both"/>
        <w:ind w:left="2100" w:hanging="1079"/>
        <w:spacing w:after="0" w:line="224" w:lineRule="auto"/>
        <w:tabs>
          <w:tab w:leader="none" w:pos="2080" w:val="left"/>
        </w:tabs>
        <w:rPr>
          <w:rFonts w:ascii="Arial" w:cs="Arial" w:eastAsia="Arial" w:hAnsi="Arial"/>
          <w:sz w:val="18"/>
          <w:szCs w:val="18"/>
          <w:u w:val="single" w:color="auto"/>
          <w:color w:val="0000FF"/>
        </w:rPr>
      </w:pPr>
      <w:r>
        <w:rPr>
          <w:rFonts w:ascii="Arial" w:cs="Arial" w:eastAsia="Arial" w:hAnsi="Arial"/>
          <w:sz w:val="18"/>
          <w:szCs w:val="18"/>
          <w:color w:val="auto"/>
        </w:rPr>
        <w:t>10.16.1</w:t>
      </w:r>
      <w:r>
        <w:rPr>
          <w:sz w:val="20"/>
          <w:szCs w:val="20"/>
          <w:color w:val="auto"/>
        </w:rPr>
        <w:tab/>
      </w:r>
      <w:hyperlink r:id="rId181">
        <w:r>
          <w:rPr>
            <w:rFonts w:ascii="Arial" w:cs="Arial" w:eastAsia="Arial" w:hAnsi="Arial"/>
            <w:sz w:val="18"/>
            <w:szCs w:val="18"/>
            <w:u w:val="single" w:color="auto"/>
            <w:color w:val="0000FF"/>
          </w:rPr>
          <w:t>Amendment to the Amended and Restated Investor Agreement, dated as of May 25, 2020, by and among the</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Registrant, Sanofi, Sanofi-Aventis US LLC, and Aventisub LLC. (Incorporated by reference from the Form 8-K</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for the Registrant, filed May 29, 2020.)</w:t>
        </w:r>
      </w:hyperlink>
    </w:p>
    <w:p>
      <w:pPr>
        <w:spacing w:after="0" w:line="1" w:lineRule="exact"/>
        <w:rPr>
          <w:rFonts w:ascii="Arial" w:cs="Arial" w:eastAsia="Arial" w:hAnsi="Arial"/>
          <w:sz w:val="18"/>
          <w:szCs w:val="18"/>
          <w:u w:val="single" w:color="auto"/>
          <w:color w:val="0000FF"/>
        </w:rPr>
      </w:pPr>
    </w:p>
    <w:p>
      <w:pPr>
        <w:jc w:val="both"/>
        <w:ind w:left="2100" w:hanging="1079"/>
        <w:spacing w:after="0" w:line="224" w:lineRule="auto"/>
        <w:tabs>
          <w:tab w:leader="none" w:pos="208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182">
        <w:r>
          <w:rPr>
            <w:rFonts w:ascii="Arial" w:cs="Arial" w:eastAsia="Arial" w:hAnsi="Arial"/>
            <w:sz w:val="18"/>
            <w:szCs w:val="18"/>
            <w:u w:val="single" w:color="auto"/>
            <w:color w:val="0000FF"/>
          </w:rPr>
          <w:t>Letter Agreement by and between the Registrant and Aventis Pharmaceuticals Inc., dated May 2, 2013.</w:t>
        </w:r>
      </w:hyperlink>
      <w:r>
        <w:rPr>
          <w:rFonts w:ascii="Arial" w:cs="Arial" w:eastAsia="Arial" w:hAnsi="Arial"/>
          <w:sz w:val="18"/>
          <w:szCs w:val="18"/>
          <w:u w:val="single" w:color="auto"/>
          <w:color w:val="0000FF"/>
        </w:rPr>
        <w:t xml:space="preserve"> </w:t>
      </w:r>
      <w:hyperlink r:id="rId182">
        <w:r>
          <w:rPr>
            <w:rFonts w:ascii="Arial" w:cs="Arial" w:eastAsia="Arial" w:hAnsi="Arial"/>
            <w:sz w:val="18"/>
            <w:szCs w:val="18"/>
            <w:u w:val="single" w:color="auto"/>
            <w:color w:val="0000FF"/>
          </w:rPr>
          <w:t>(Incorporated by reference from the Form 10-Q for the Registrant, for the quarter ended June 30, 2013, filed</w:t>
        </w:r>
      </w:hyperlink>
      <w:r>
        <w:rPr>
          <w:rFonts w:ascii="Arial" w:cs="Arial" w:eastAsia="Arial" w:hAnsi="Arial"/>
          <w:sz w:val="18"/>
          <w:szCs w:val="18"/>
          <w:u w:val="single" w:color="auto"/>
          <w:color w:val="0000FF"/>
        </w:rPr>
        <w:t xml:space="preserve"> </w:t>
      </w:r>
      <w:hyperlink r:id="rId182">
        <w:r>
          <w:rPr>
            <w:rFonts w:ascii="Arial" w:cs="Arial" w:eastAsia="Arial" w:hAnsi="Arial"/>
            <w:sz w:val="18"/>
            <w:szCs w:val="18"/>
            <w:u w:val="single" w:color="auto"/>
            <w:color w:val="0000FF"/>
          </w:rPr>
          <w:t>August 6, 2013.)</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630555</wp:posOffset>
            </wp:positionH>
            <wp:positionV relativeFrom="paragraph">
              <wp:posOffset>635</wp:posOffset>
            </wp:positionV>
            <wp:extent cx="5880735" cy="8147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3">
                      <a:extLst>
                        <a:ext uri="{28A0092B-C50C-407E-A947-70E740481C1C}"/>
                      </a:extLst>
                    </a:blip>
                    <a:srcRect/>
                    <a:stretch>
                      <a:fillRect/>
                    </a:stretch>
                  </pic:blipFill>
                  <pic:spPr bwMode="auto">
                    <a:xfrm>
                      <a:off x="0" y="0"/>
                      <a:ext cx="5880735" cy="814705"/>
                    </a:xfrm>
                    <a:prstGeom prst="rect">
                      <a:avLst/>
                    </a:prstGeom>
                    <a:noFill/>
                  </pic:spPr>
                </pic:pic>
              </a:graphicData>
            </a:graphic>
          </wp:anchor>
        </w:drawing>
      </w:r>
    </w:p>
    <w:p>
      <w:pPr>
        <w:jc w:val="both"/>
        <w:ind w:left="2100" w:hanging="1079"/>
        <w:spacing w:after="0" w:line="238" w:lineRule="auto"/>
        <w:tabs>
          <w:tab w:leader="none" w:pos="2080" w:val="left"/>
        </w:tabs>
        <w:rPr>
          <w:rFonts w:ascii="Arial" w:cs="Arial" w:eastAsia="Arial" w:hAnsi="Arial"/>
          <w:sz w:val="16"/>
          <w:szCs w:val="16"/>
          <w:u w:val="single" w:color="auto"/>
          <w:color w:val="0000FF"/>
        </w:rPr>
      </w:pPr>
      <w:r>
        <w:rPr>
          <w:rFonts w:ascii="Arial" w:cs="Arial" w:eastAsia="Arial" w:hAnsi="Arial"/>
          <w:sz w:val="18"/>
          <w:szCs w:val="18"/>
          <w:color w:val="auto"/>
        </w:rPr>
        <w:t>10.18</w:t>
      </w:r>
      <w:r>
        <w:rPr>
          <w:sz w:val="20"/>
          <w:szCs w:val="20"/>
          <w:color w:val="auto"/>
        </w:rPr>
        <w:tab/>
      </w:r>
      <w:hyperlink r:id="rId184">
        <w:r>
          <w:rPr>
            <w:rFonts w:ascii="Arial" w:cs="Arial" w:eastAsia="Arial" w:hAnsi="Arial"/>
            <w:sz w:val="16"/>
            <w:szCs w:val="16"/>
            <w:u w:val="single" w:color="auto"/>
            <w:color w:val="0000FF"/>
          </w:rPr>
          <w:t>Credit Agreement, dated as of December 14, 2018, by and among the Registrant, as a borrower and guarantor;</w:t>
        </w:r>
      </w:hyperlink>
      <w:r>
        <w:rPr>
          <w:rFonts w:ascii="Arial" w:cs="Arial" w:eastAsia="Arial" w:hAnsi="Arial"/>
          <w:sz w:val="16"/>
          <w:szCs w:val="16"/>
          <w:u w:val="single" w:color="auto"/>
          <w:color w:val="0000FF"/>
        </w:rPr>
        <w:t xml:space="preserve"> </w:t>
      </w:r>
      <w:hyperlink r:id="rId184">
        <w:r>
          <w:rPr>
            <w:rFonts w:ascii="Arial" w:cs="Arial" w:eastAsia="Arial" w:hAnsi="Arial"/>
            <w:sz w:val="16"/>
            <w:szCs w:val="16"/>
            <w:u w:val="single" w:color="auto"/>
            <w:color w:val="0000FF"/>
          </w:rPr>
          <w:t>certain direct subsidiaries of the Registrant, as the initial subsidiary borrowers; JPMorgan Chase Bank, N.A., as</w:t>
        </w:r>
      </w:hyperlink>
      <w:r>
        <w:rPr>
          <w:rFonts w:ascii="Arial" w:cs="Arial" w:eastAsia="Arial" w:hAnsi="Arial"/>
          <w:sz w:val="16"/>
          <w:szCs w:val="16"/>
          <w:u w:val="single" w:color="auto"/>
          <w:color w:val="0000FF"/>
        </w:rPr>
        <w:t xml:space="preserve"> </w:t>
      </w:r>
      <w:hyperlink r:id="rId184">
        <w:r>
          <w:rPr>
            <w:rFonts w:ascii="Arial" w:cs="Arial" w:eastAsia="Arial" w:hAnsi="Arial"/>
            <w:sz w:val="16"/>
            <w:szCs w:val="16"/>
            <w:u w:val="single" w:color="auto"/>
            <w:color w:val="0000FF"/>
          </w:rPr>
          <w:t>administrative agent; Bank of America, N.A. and U.S. Bank National Association, as co-syndication agents;</w:t>
        </w:r>
      </w:hyperlink>
      <w:r>
        <w:rPr>
          <w:rFonts w:ascii="Arial" w:cs="Arial" w:eastAsia="Arial" w:hAnsi="Arial"/>
          <w:sz w:val="16"/>
          <w:szCs w:val="16"/>
          <w:u w:val="single" w:color="auto"/>
          <w:color w:val="0000FF"/>
        </w:rPr>
        <w:t xml:space="preserve"> </w:t>
      </w:r>
      <w:hyperlink r:id="rId184">
        <w:r>
          <w:rPr>
            <w:rFonts w:ascii="Arial" w:cs="Arial" w:eastAsia="Arial" w:hAnsi="Arial"/>
            <w:sz w:val="16"/>
            <w:szCs w:val="16"/>
            <w:u w:val="single" w:color="auto"/>
            <w:color w:val="0000FF"/>
          </w:rPr>
          <w:t>Barclays Bank PLC, Citibank, N.A., Fifth Third Bank, and MUFG Bank, Ltd., as co-documentation agents;</w:t>
        </w:r>
      </w:hyperlink>
      <w:r>
        <w:rPr>
          <w:rFonts w:ascii="Arial" w:cs="Arial" w:eastAsia="Arial" w:hAnsi="Arial"/>
          <w:sz w:val="16"/>
          <w:szCs w:val="16"/>
          <w:u w:val="single" w:color="auto"/>
          <w:color w:val="0000FF"/>
        </w:rPr>
        <w:t xml:space="preserve"> </w:t>
      </w:r>
      <w:hyperlink r:id="rId184">
        <w:r>
          <w:rPr>
            <w:rFonts w:ascii="Arial" w:cs="Arial" w:eastAsia="Arial" w:hAnsi="Arial"/>
            <w:sz w:val="16"/>
            <w:szCs w:val="16"/>
            <w:u w:val="single" w:color="auto"/>
            <w:color w:val="0000FF"/>
          </w:rPr>
          <w:t>JPMorgan Chase Bank, N.A., Bank of America, N.A., and U.S. Bank National Association, as the issuing banks;</w:t>
        </w:r>
      </w:hyperlink>
      <w:r>
        <w:rPr>
          <w:rFonts w:ascii="Arial" w:cs="Arial" w:eastAsia="Arial" w:hAnsi="Arial"/>
          <w:sz w:val="16"/>
          <w:szCs w:val="16"/>
          <w:u w:val="single" w:color="auto"/>
          <w:color w:val="0000FF"/>
        </w:rPr>
        <w:t xml:space="preserve"> </w:t>
      </w:r>
      <w:hyperlink r:id="rId184">
        <w:r>
          <w:rPr>
            <w:rFonts w:ascii="Arial" w:cs="Arial" w:eastAsia="Arial" w:hAnsi="Arial"/>
            <w:sz w:val="16"/>
            <w:szCs w:val="16"/>
            <w:u w:val="single" w:color="auto"/>
            <w:color w:val="0000FF"/>
          </w:rPr>
          <w:t>JPMorgan Chase Bank, N.A., as the swingline lender; and the other lenders party thereto from time to time.</w:t>
        </w:r>
      </w:hyperlink>
      <w:r>
        <w:rPr>
          <w:rFonts w:ascii="Arial" w:cs="Arial" w:eastAsia="Arial" w:hAnsi="Arial"/>
          <w:sz w:val="16"/>
          <w:szCs w:val="16"/>
          <w:u w:val="single" w:color="auto"/>
          <w:color w:val="0000FF"/>
        </w:rPr>
        <w:t xml:space="preserve"> </w:t>
      </w:r>
      <w:hyperlink r:id="rId184">
        <w:r>
          <w:rPr>
            <w:rFonts w:ascii="Arial" w:cs="Arial" w:eastAsia="Arial" w:hAnsi="Arial"/>
            <w:sz w:val="16"/>
            <w:szCs w:val="16"/>
            <w:u w:val="single" w:color="auto"/>
            <w:color w:val="0000FF"/>
          </w:rPr>
          <w:t>(Incorporated by reference from the Form 8-K for the Registrant, filed December 17, 2018.)</w:t>
        </w:r>
      </w:hyperlink>
    </w:p>
    <w:p>
      <w:pPr>
        <w:spacing w:after="0" w:line="5" w:lineRule="exact"/>
        <w:rPr>
          <w:rFonts w:ascii="Arial" w:cs="Arial" w:eastAsia="Arial" w:hAnsi="Arial"/>
          <w:sz w:val="16"/>
          <w:szCs w:val="16"/>
          <w:u w:val="single" w:color="auto"/>
          <w:color w:val="0000FF"/>
        </w:rPr>
      </w:pPr>
    </w:p>
    <w:p>
      <w:pPr>
        <w:jc w:val="both"/>
        <w:ind w:left="2100" w:hanging="1079"/>
        <w:spacing w:after="0" w:line="219" w:lineRule="auto"/>
        <w:tabs>
          <w:tab w:leader="none" w:pos="2080" w:val="left"/>
        </w:tabs>
        <w:rPr>
          <w:rFonts w:ascii="Arial" w:cs="Arial" w:eastAsia="Arial" w:hAnsi="Arial"/>
          <w:sz w:val="18"/>
          <w:szCs w:val="18"/>
          <w:u w:val="single" w:color="auto"/>
          <w:color w:val="0000FF"/>
        </w:rPr>
      </w:pPr>
      <w:r>
        <w:rPr>
          <w:rFonts w:ascii="Arial" w:cs="Arial" w:eastAsia="Arial" w:hAnsi="Arial"/>
          <w:sz w:val="18"/>
          <w:szCs w:val="18"/>
          <w:color w:val="auto"/>
        </w:rPr>
        <w:t>10.19*</w:t>
      </w:r>
      <w:r>
        <w:rPr>
          <w:sz w:val="20"/>
          <w:szCs w:val="20"/>
          <w:color w:val="auto"/>
        </w:rPr>
        <w:tab/>
      </w:r>
      <w:hyperlink r:id="rId185">
        <w:r>
          <w:rPr>
            <w:rFonts w:ascii="Arial" w:cs="Arial" w:eastAsia="Arial" w:hAnsi="Arial"/>
            <w:sz w:val="18"/>
            <w:szCs w:val="18"/>
            <w:u w:val="single" w:color="auto"/>
            <w:color w:val="0000FF"/>
          </w:rPr>
          <w:t>Amended and Restated Immuno-oncology Discovery and Development Agreement, executed on January 2, 2019</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and effective as of December 31, 2018, by and between the Registrant and Sanofi Biotechnology SAS.</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(Incorporated by reference from the Form 10-K for the Registrant, for the year ended December 31, 2018, filed</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February 7, 2019).</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630555</wp:posOffset>
            </wp:positionH>
            <wp:positionV relativeFrom="paragraph">
              <wp:posOffset>635</wp:posOffset>
            </wp:positionV>
            <wp:extent cx="5880735" cy="3683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6">
                      <a:extLst>
                        <a:ext uri="{28A0092B-C50C-407E-A947-70E740481C1C}"/>
                      </a:extLst>
                    </a:blip>
                    <a:srcRect/>
                    <a:stretch>
                      <a:fillRect/>
                    </a:stretch>
                  </pic:blipFill>
                  <pic:spPr bwMode="auto">
                    <a:xfrm>
                      <a:off x="0" y="0"/>
                      <a:ext cx="5880735" cy="368300"/>
                    </a:xfrm>
                    <a:prstGeom prst="rect">
                      <a:avLst/>
                    </a:prstGeom>
                    <a:noFill/>
                  </pic:spPr>
                </pic:pic>
              </a:graphicData>
            </a:graphic>
          </wp:anchor>
        </w:drawing>
      </w:r>
    </w:p>
    <w:p>
      <w:pPr>
        <w:jc w:val="both"/>
        <w:ind w:left="2100" w:right="20" w:hanging="1079"/>
        <w:spacing w:after="0" w:line="237" w:lineRule="auto"/>
        <w:tabs>
          <w:tab w:leader="none" w:pos="2080" w:val="left"/>
        </w:tabs>
        <w:rPr>
          <w:rFonts w:ascii="Arial" w:cs="Arial" w:eastAsia="Arial" w:hAnsi="Arial"/>
          <w:sz w:val="17"/>
          <w:szCs w:val="17"/>
          <w:u w:val="single" w:color="auto"/>
          <w:color w:val="0000FF"/>
        </w:rPr>
      </w:pPr>
      <w:r>
        <w:rPr>
          <w:rFonts w:ascii="Arial" w:cs="Arial" w:eastAsia="Arial" w:hAnsi="Arial"/>
          <w:sz w:val="18"/>
          <w:szCs w:val="18"/>
          <w:color w:val="auto"/>
        </w:rPr>
        <w:t>10.20*</w:t>
      </w:r>
      <w:r>
        <w:rPr>
          <w:sz w:val="20"/>
          <w:szCs w:val="20"/>
          <w:color w:val="auto"/>
        </w:rPr>
        <w:tab/>
      </w:r>
      <w:hyperlink r:id="rId187">
        <w:r>
          <w:rPr>
            <w:rFonts w:ascii="Arial" w:cs="Arial" w:eastAsia="Arial" w:hAnsi="Arial"/>
            <w:sz w:val="17"/>
            <w:szCs w:val="17"/>
            <w:u w:val="single" w:color="auto"/>
            <w:color w:val="0000FF"/>
          </w:rPr>
          <w:t>Immuno-oncology License and Collaboration Agreement, dated July 27, 2015 and entered into effective as of</w:t>
        </w:r>
      </w:hyperlink>
      <w:r>
        <w:rPr>
          <w:rFonts w:ascii="Arial" w:cs="Arial" w:eastAsia="Arial" w:hAnsi="Arial"/>
          <w:sz w:val="17"/>
          <w:szCs w:val="17"/>
          <w:u w:val="single" w:color="auto"/>
          <w:color w:val="0000FF"/>
        </w:rPr>
        <w:t xml:space="preserve"> </w:t>
      </w:r>
      <w:hyperlink r:id="rId187">
        <w:r>
          <w:rPr>
            <w:rFonts w:ascii="Arial" w:cs="Arial" w:eastAsia="Arial" w:hAnsi="Arial"/>
            <w:sz w:val="17"/>
            <w:szCs w:val="17"/>
            <w:u w:val="single" w:color="auto"/>
            <w:color w:val="0000FF"/>
          </w:rPr>
          <w:t>July 1, 2015, by and between the Registrant and Sanofi Biotechnology SAS. (Incorporated by reference from the</w:t>
        </w:r>
      </w:hyperlink>
      <w:r>
        <w:rPr>
          <w:rFonts w:ascii="Arial" w:cs="Arial" w:eastAsia="Arial" w:hAnsi="Arial"/>
          <w:sz w:val="17"/>
          <w:szCs w:val="17"/>
          <w:u w:val="single" w:color="auto"/>
          <w:color w:val="0000FF"/>
        </w:rPr>
        <w:t xml:space="preserve"> </w:t>
      </w:r>
      <w:hyperlink r:id="rId187">
        <w:r>
          <w:rPr>
            <w:rFonts w:ascii="Arial" w:cs="Arial" w:eastAsia="Arial" w:hAnsi="Arial"/>
            <w:sz w:val="17"/>
            <w:szCs w:val="17"/>
            <w:u w:val="single" w:color="auto"/>
            <w:color w:val="0000FF"/>
          </w:rPr>
          <w:t>Form 10-Q for the Registrant, for the quarter ended September 30, 2015, filed November 4, 2015.)</w:t>
        </w:r>
      </w:hyperlink>
    </w:p>
    <w:p>
      <w:pPr>
        <w:spacing w:after="0" w:line="1" w:lineRule="exact"/>
        <w:rPr>
          <w:rFonts w:ascii="Arial" w:cs="Arial" w:eastAsia="Arial" w:hAnsi="Arial"/>
          <w:sz w:val="17"/>
          <w:szCs w:val="17"/>
          <w:u w:val="single" w:color="auto"/>
          <w:color w:val="0000FF"/>
        </w:rPr>
      </w:pPr>
    </w:p>
    <w:p>
      <w:pPr>
        <w:jc w:val="both"/>
        <w:ind w:left="2100" w:hanging="1079"/>
        <w:spacing w:after="0" w:line="224" w:lineRule="auto"/>
        <w:tabs>
          <w:tab w:leader="none" w:pos="208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hyperlink r:id="rId188">
        <w:r>
          <w:rPr>
            <w:rFonts w:ascii="Arial" w:cs="Arial" w:eastAsia="Arial" w:hAnsi="Arial"/>
            <w:sz w:val="18"/>
            <w:szCs w:val="18"/>
            <w:u w:val="single" w:color="auto"/>
            <w:color w:val="0000FF"/>
          </w:rPr>
          <w:t>Collaboration Agreement, dated as of September 29, 2015, by and between Regeneron Ireland and Mitsubishi</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Tanabe Pharma Corporation. (Incorporated by reference from the Form 10-Q for the Registrant, for the quarter</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ended September 30, 2015, filed November 4, 2015.)</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630555</wp:posOffset>
            </wp:positionH>
            <wp:positionV relativeFrom="paragraph">
              <wp:posOffset>635</wp:posOffset>
            </wp:positionV>
            <wp:extent cx="5880735" cy="3683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9">
                      <a:extLst>
                        <a:ext uri="{28A0092B-C50C-407E-A947-70E740481C1C}"/>
                      </a:extLst>
                    </a:blip>
                    <a:srcRect/>
                    <a:stretch>
                      <a:fillRect/>
                    </a:stretch>
                  </pic:blipFill>
                  <pic:spPr bwMode="auto">
                    <a:xfrm>
                      <a:off x="0" y="0"/>
                      <a:ext cx="5880735" cy="368300"/>
                    </a:xfrm>
                    <a:prstGeom prst="rect">
                      <a:avLst/>
                    </a:prstGeom>
                    <a:noFill/>
                  </pic:spPr>
                </pic:pic>
              </a:graphicData>
            </a:graphic>
          </wp:anchor>
        </w:drawing>
      </w:r>
    </w:p>
    <w:p>
      <w:pPr>
        <w:jc w:val="both"/>
        <w:ind w:left="2100" w:hanging="1079"/>
        <w:spacing w:after="0" w:line="224" w:lineRule="auto"/>
        <w:tabs>
          <w:tab w:leader="none" w:pos="208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hyperlink r:id="rId190">
        <w:r>
          <w:rPr>
            <w:rFonts w:ascii="Arial" w:cs="Arial" w:eastAsia="Arial" w:hAnsi="Arial"/>
            <w:sz w:val="18"/>
            <w:szCs w:val="18"/>
            <w:u w:val="single" w:color="auto"/>
            <w:color w:val="0000FF"/>
          </w:rPr>
          <w:t>ANG2 License and Collaboration Agreement, dated as of March 23, 2016, by and between Bayer HealthCare</w:t>
        </w:r>
      </w:hyperlink>
      <w:r>
        <w:rPr>
          <w:rFonts w:ascii="Arial" w:cs="Arial" w:eastAsia="Arial" w:hAnsi="Arial"/>
          <w:sz w:val="18"/>
          <w:szCs w:val="18"/>
          <w:u w:val="single" w:color="auto"/>
          <w:color w:val="0000FF"/>
        </w:rPr>
        <w:t xml:space="preserve"> </w:t>
      </w:r>
      <w:hyperlink r:id="rId190">
        <w:r>
          <w:rPr>
            <w:rFonts w:ascii="Arial" w:cs="Arial" w:eastAsia="Arial" w:hAnsi="Arial"/>
            <w:sz w:val="18"/>
            <w:szCs w:val="18"/>
            <w:u w:val="single" w:color="auto"/>
            <w:color w:val="0000FF"/>
          </w:rPr>
          <w:t>LLC and the Registrant. (Incorporated by reference from the Form 10-Q for the Registrant, for the quarter ended</w:t>
        </w:r>
      </w:hyperlink>
      <w:r>
        <w:rPr>
          <w:rFonts w:ascii="Arial" w:cs="Arial" w:eastAsia="Arial" w:hAnsi="Arial"/>
          <w:sz w:val="18"/>
          <w:szCs w:val="18"/>
          <w:u w:val="single" w:color="auto"/>
          <w:color w:val="0000FF"/>
        </w:rPr>
        <w:t xml:space="preserve"> </w:t>
      </w:r>
      <w:hyperlink r:id="rId190">
        <w:r>
          <w:rPr>
            <w:rFonts w:ascii="Arial" w:cs="Arial" w:eastAsia="Arial" w:hAnsi="Arial"/>
            <w:sz w:val="18"/>
            <w:szCs w:val="18"/>
            <w:u w:val="single" w:color="auto"/>
            <w:color w:val="0000FF"/>
          </w:rPr>
          <w:t>March 31, 2016, filed May 5, 2016.)</w:t>
        </w:r>
      </w:hyperlink>
    </w:p>
    <w:p>
      <w:pPr>
        <w:spacing w:after="0" w:line="1" w:lineRule="exact"/>
        <w:rPr>
          <w:rFonts w:ascii="Arial" w:cs="Arial" w:eastAsia="Arial" w:hAnsi="Arial"/>
          <w:sz w:val="18"/>
          <w:szCs w:val="18"/>
          <w:u w:val="single" w:color="auto"/>
          <w:color w:val="0000FF"/>
        </w:rPr>
      </w:pPr>
    </w:p>
    <w:p>
      <w:pPr>
        <w:jc w:val="both"/>
        <w:ind w:left="2100" w:hanging="1079"/>
        <w:spacing w:after="0" w:line="224" w:lineRule="auto"/>
        <w:tabs>
          <w:tab w:leader="none" w:pos="2080" w:val="left"/>
        </w:tabs>
        <w:rPr>
          <w:rFonts w:ascii="Arial" w:cs="Arial" w:eastAsia="Arial" w:hAnsi="Arial"/>
          <w:sz w:val="18"/>
          <w:szCs w:val="18"/>
          <w:u w:val="single" w:color="auto"/>
          <w:color w:val="0000FF"/>
        </w:rPr>
      </w:pPr>
      <w:r>
        <w:rPr>
          <w:rFonts w:ascii="Arial" w:cs="Arial" w:eastAsia="Arial" w:hAnsi="Arial"/>
          <w:sz w:val="18"/>
          <w:szCs w:val="18"/>
          <w:color w:val="auto"/>
        </w:rPr>
        <w:t>10.23*</w:t>
      </w:r>
      <w:r>
        <w:rPr>
          <w:sz w:val="20"/>
          <w:szCs w:val="20"/>
          <w:color w:val="auto"/>
        </w:rPr>
        <w:tab/>
      </w:r>
      <w:hyperlink r:id="rId191">
        <w:r>
          <w:rPr>
            <w:rFonts w:ascii="Arial" w:cs="Arial" w:eastAsia="Arial" w:hAnsi="Arial"/>
            <w:sz w:val="18"/>
            <w:szCs w:val="18"/>
            <w:u w:val="single" w:color="auto"/>
            <w:color w:val="0000FF"/>
          </w:rPr>
          <w:t>Collaboration Agreement, dated as of September 17, 2016, by and between Teva Pharmaceuticals International</w:t>
        </w:r>
      </w:hyperlink>
      <w:r>
        <w:rPr>
          <w:rFonts w:ascii="Arial" w:cs="Arial" w:eastAsia="Arial" w:hAnsi="Arial"/>
          <w:sz w:val="18"/>
          <w:szCs w:val="18"/>
          <w:u w:val="single" w:color="auto"/>
          <w:color w:val="0000FF"/>
        </w:rPr>
        <w:t xml:space="preserve"> </w:t>
      </w:r>
      <w:hyperlink r:id="rId191">
        <w:r>
          <w:rPr>
            <w:rFonts w:ascii="Arial" w:cs="Arial" w:eastAsia="Arial" w:hAnsi="Arial"/>
            <w:sz w:val="18"/>
            <w:szCs w:val="18"/>
            <w:u w:val="single" w:color="auto"/>
            <w:color w:val="0000FF"/>
          </w:rPr>
          <w:t>GmbH and Regeneron Ireland. (Incorporated by reference from the Form 10-Q for the Registrant, for the quarter</w:t>
        </w:r>
      </w:hyperlink>
      <w:r>
        <w:rPr>
          <w:rFonts w:ascii="Arial" w:cs="Arial" w:eastAsia="Arial" w:hAnsi="Arial"/>
          <w:sz w:val="18"/>
          <w:szCs w:val="18"/>
          <w:u w:val="single" w:color="auto"/>
          <w:color w:val="0000FF"/>
        </w:rPr>
        <w:t xml:space="preserve"> </w:t>
      </w:r>
      <w:hyperlink r:id="rId191">
        <w:r>
          <w:rPr>
            <w:rFonts w:ascii="Arial" w:cs="Arial" w:eastAsia="Arial" w:hAnsi="Arial"/>
            <w:sz w:val="18"/>
            <w:szCs w:val="18"/>
            <w:u w:val="single" w:color="auto"/>
            <w:color w:val="0000FF"/>
          </w:rPr>
          <w:t>ended September 30, 2016, filed November 4, 2016.)</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630555</wp:posOffset>
            </wp:positionH>
            <wp:positionV relativeFrom="paragraph">
              <wp:posOffset>635</wp:posOffset>
            </wp:positionV>
            <wp:extent cx="5880735" cy="3683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2">
                      <a:extLst>
                        <a:ext uri="{28A0092B-C50C-407E-A947-70E740481C1C}"/>
                      </a:extLst>
                    </a:blip>
                    <a:srcRect/>
                    <a:stretch>
                      <a:fillRect/>
                    </a:stretch>
                  </pic:blipFill>
                  <pic:spPr bwMode="auto">
                    <a:xfrm>
                      <a:off x="0" y="0"/>
                      <a:ext cx="5880735" cy="368300"/>
                    </a:xfrm>
                    <a:prstGeom prst="rect">
                      <a:avLst/>
                    </a:prstGeom>
                    <a:noFill/>
                  </pic:spPr>
                </pic:pic>
              </a:graphicData>
            </a:graphic>
          </wp:anchor>
        </w:drawing>
      </w:r>
    </w:p>
    <w:p>
      <w:pPr>
        <w:jc w:val="both"/>
        <w:ind w:left="2100" w:hanging="1079"/>
        <w:spacing w:after="0" w:line="224" w:lineRule="auto"/>
        <w:tabs>
          <w:tab w:leader="none" w:pos="2080" w:val="left"/>
        </w:tabs>
        <w:rPr>
          <w:rFonts w:ascii="Arial" w:cs="Arial" w:eastAsia="Arial" w:hAnsi="Arial"/>
          <w:sz w:val="18"/>
          <w:szCs w:val="18"/>
          <w:u w:val="single" w:color="auto"/>
          <w:color w:val="0000FF"/>
        </w:rPr>
      </w:pPr>
      <w:r>
        <w:rPr>
          <w:rFonts w:ascii="Arial" w:cs="Arial" w:eastAsia="Arial" w:hAnsi="Arial"/>
          <w:sz w:val="18"/>
          <w:szCs w:val="18"/>
          <w:color w:val="auto"/>
        </w:rPr>
        <w:t>10.24*</w:t>
      </w:r>
      <w:r>
        <w:rPr>
          <w:sz w:val="20"/>
          <w:szCs w:val="20"/>
          <w:color w:val="auto"/>
        </w:rPr>
        <w:tab/>
      </w:r>
      <w:hyperlink r:id="rId193">
        <w:r>
          <w:rPr>
            <w:rFonts w:ascii="Arial" w:cs="Arial" w:eastAsia="Arial" w:hAnsi="Arial"/>
            <w:sz w:val="18"/>
            <w:szCs w:val="18"/>
            <w:u w:val="single" w:color="auto"/>
            <w:color w:val="0000FF"/>
          </w:rPr>
          <w:t>Purchase Agreement, dated as of December 30, 2016, by and among BMR-Landmark at Eastview LLC and</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BMR-Landmark at Eastview IV LLC and the Registrant. (Incorporated by reference from the Form 10-K for the</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Registrant, for the year ended December 31, 2016, filed February 9, 2017.)</w:t>
        </w:r>
      </w:hyperlink>
    </w:p>
    <w:p>
      <w:pPr>
        <w:spacing w:after="0" w:line="1" w:lineRule="exact"/>
        <w:rPr>
          <w:rFonts w:ascii="Arial" w:cs="Arial" w:eastAsia="Arial" w:hAnsi="Arial"/>
          <w:sz w:val="18"/>
          <w:szCs w:val="18"/>
          <w:u w:val="single" w:color="auto"/>
          <w:color w:val="0000FF"/>
        </w:rPr>
      </w:pPr>
    </w:p>
    <w:p>
      <w:pPr>
        <w:jc w:val="both"/>
        <w:ind w:left="2100" w:hanging="1079"/>
        <w:spacing w:after="0" w:line="219" w:lineRule="auto"/>
        <w:tabs>
          <w:tab w:leader="none" w:pos="2080" w:val="left"/>
        </w:tabs>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ab/>
      </w:r>
      <w:hyperlink r:id="rId194">
        <w:r>
          <w:rPr>
            <w:rFonts w:ascii="Arial" w:cs="Arial" w:eastAsia="Arial" w:hAnsi="Arial"/>
            <w:sz w:val="18"/>
            <w:szCs w:val="18"/>
            <w:u w:val="single" w:color="auto"/>
            <w:color w:val="0000FF"/>
          </w:rPr>
          <w:t>Amended and Restated Participation Agreement, dated as of May 2, 2019, by and among Old Saw Mill Holdings</w:t>
        </w:r>
      </w:hyperlink>
      <w:r>
        <w:rPr>
          <w:rFonts w:ascii="Arial" w:cs="Arial" w:eastAsia="Arial" w:hAnsi="Arial"/>
          <w:sz w:val="18"/>
          <w:szCs w:val="18"/>
          <w:u w:val="single" w:color="auto"/>
          <w:color w:val="0000FF"/>
        </w:rPr>
        <w:t xml:space="preserve"> </w:t>
      </w:r>
      <w:hyperlink r:id="rId194">
        <w:r>
          <w:rPr>
            <w:rFonts w:ascii="Arial" w:cs="Arial" w:eastAsia="Arial" w:hAnsi="Arial"/>
            <w:sz w:val="18"/>
            <w:szCs w:val="18"/>
            <w:u w:val="single" w:color="auto"/>
            <w:color w:val="0000FF"/>
          </w:rPr>
          <w:t>LLC, as lessee; Bank of America, N.A., as administrative agent; BA Leasing BSC, LLC, as lessor; and the</w:t>
        </w:r>
      </w:hyperlink>
      <w:r>
        <w:rPr>
          <w:rFonts w:ascii="Arial" w:cs="Arial" w:eastAsia="Arial" w:hAnsi="Arial"/>
          <w:sz w:val="18"/>
          <w:szCs w:val="18"/>
          <w:u w:val="single" w:color="auto"/>
          <w:color w:val="0000FF"/>
        </w:rPr>
        <w:t xml:space="preserve"> </w:t>
      </w:r>
      <w:hyperlink r:id="rId194">
        <w:r>
          <w:rPr>
            <w:rFonts w:ascii="Arial" w:cs="Arial" w:eastAsia="Arial" w:hAnsi="Arial"/>
            <w:sz w:val="18"/>
            <w:szCs w:val="18"/>
            <w:u w:val="single" w:color="auto"/>
            <w:color w:val="0000FF"/>
          </w:rPr>
          <w:t>lenders party thereto from time to time. (Incorporated by reference from the Form 8-K for the Registrant, filed</w:t>
        </w:r>
      </w:hyperlink>
      <w:r>
        <w:rPr>
          <w:rFonts w:ascii="Arial" w:cs="Arial" w:eastAsia="Arial" w:hAnsi="Arial"/>
          <w:sz w:val="18"/>
          <w:szCs w:val="18"/>
          <w:u w:val="single" w:color="auto"/>
          <w:color w:val="0000FF"/>
        </w:rPr>
        <w:t xml:space="preserve"> </w:t>
      </w:r>
      <w:hyperlink r:id="rId194">
        <w:r>
          <w:rPr>
            <w:rFonts w:ascii="Arial" w:cs="Arial" w:eastAsia="Arial" w:hAnsi="Arial"/>
            <w:sz w:val="18"/>
            <w:szCs w:val="18"/>
            <w:u w:val="single" w:color="auto"/>
            <w:color w:val="0000FF"/>
          </w:rPr>
          <w:t>May 3, 2019.)</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630555</wp:posOffset>
            </wp:positionH>
            <wp:positionV relativeFrom="paragraph">
              <wp:posOffset>635</wp:posOffset>
            </wp:positionV>
            <wp:extent cx="5880735" cy="3689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5">
                      <a:extLst>
                        <a:ext uri="{28A0092B-C50C-407E-A947-70E740481C1C}"/>
                      </a:extLst>
                    </a:blip>
                    <a:srcRect/>
                    <a:stretch>
                      <a:fillRect/>
                    </a:stretch>
                  </pic:blipFill>
                  <pic:spPr bwMode="auto">
                    <a:xfrm>
                      <a:off x="0" y="0"/>
                      <a:ext cx="5880735" cy="368935"/>
                    </a:xfrm>
                    <a:prstGeom prst="rect">
                      <a:avLst/>
                    </a:prstGeom>
                    <a:noFill/>
                  </pic:spPr>
                </pic:pic>
              </a:graphicData>
            </a:graphic>
          </wp:anchor>
        </w:drawing>
      </w:r>
    </w:p>
    <w:p>
      <w:pPr>
        <w:jc w:val="both"/>
        <w:ind w:left="2100" w:hanging="1079"/>
        <w:spacing w:after="0" w:line="224" w:lineRule="auto"/>
        <w:tabs>
          <w:tab w:leader="none" w:pos="2080" w:val="left"/>
        </w:tabs>
        <w:rPr>
          <w:rFonts w:ascii="Arial" w:cs="Arial" w:eastAsia="Arial" w:hAnsi="Arial"/>
          <w:sz w:val="18"/>
          <w:szCs w:val="18"/>
          <w:u w:val="single" w:color="auto"/>
          <w:color w:val="0000FF"/>
        </w:rPr>
      </w:pPr>
      <w:r>
        <w:rPr>
          <w:rFonts w:ascii="Arial" w:cs="Arial" w:eastAsia="Arial" w:hAnsi="Arial"/>
          <w:sz w:val="18"/>
          <w:szCs w:val="18"/>
          <w:color w:val="auto"/>
        </w:rPr>
        <w:t>10.26</w:t>
      </w:r>
      <w:r>
        <w:rPr>
          <w:sz w:val="20"/>
          <w:szCs w:val="20"/>
          <w:color w:val="auto"/>
        </w:rPr>
        <w:tab/>
      </w:r>
      <w:hyperlink r:id="rId196">
        <w:r>
          <w:rPr>
            <w:rFonts w:ascii="Arial" w:cs="Arial" w:eastAsia="Arial" w:hAnsi="Arial"/>
            <w:sz w:val="18"/>
            <w:szCs w:val="18"/>
            <w:u w:val="single" w:color="auto"/>
            <w:color w:val="0000FF"/>
          </w:rPr>
          <w:t>Amended and Restated Lease and Remedies Agreement, dated as of May 2, 2019, between Old Saw Mill</w:t>
        </w:r>
      </w:hyperlink>
      <w:r>
        <w:rPr>
          <w:rFonts w:ascii="Arial" w:cs="Arial" w:eastAsia="Arial" w:hAnsi="Arial"/>
          <w:sz w:val="18"/>
          <w:szCs w:val="18"/>
          <w:u w:val="single" w:color="auto"/>
          <w:color w:val="0000FF"/>
        </w:rPr>
        <w:t xml:space="preserve"> </w:t>
      </w:r>
      <w:hyperlink r:id="rId196">
        <w:r>
          <w:rPr>
            <w:rFonts w:ascii="Arial" w:cs="Arial" w:eastAsia="Arial" w:hAnsi="Arial"/>
            <w:sz w:val="18"/>
            <w:szCs w:val="18"/>
            <w:u w:val="single" w:color="auto"/>
            <w:color w:val="0000FF"/>
          </w:rPr>
          <w:t>Holdings LLC, as lessee, and BA Leasing BSC, LLC, as lessor. (Incorporated by reference from the Form 8-K</w:t>
        </w:r>
      </w:hyperlink>
      <w:r>
        <w:rPr>
          <w:rFonts w:ascii="Arial" w:cs="Arial" w:eastAsia="Arial" w:hAnsi="Arial"/>
          <w:sz w:val="18"/>
          <w:szCs w:val="18"/>
          <w:u w:val="single" w:color="auto"/>
          <w:color w:val="0000FF"/>
        </w:rPr>
        <w:t xml:space="preserve"> </w:t>
      </w:r>
      <w:hyperlink r:id="rId196">
        <w:r>
          <w:rPr>
            <w:rFonts w:ascii="Arial" w:cs="Arial" w:eastAsia="Arial" w:hAnsi="Arial"/>
            <w:sz w:val="18"/>
            <w:szCs w:val="18"/>
            <w:u w:val="single" w:color="auto"/>
            <w:color w:val="0000FF"/>
          </w:rPr>
          <w:t>for the Registrant, filed May 3, 2019.)</w:t>
        </w:r>
      </w:hyperlink>
    </w:p>
    <w:p>
      <w:pPr>
        <w:spacing w:after="0" w:line="200" w:lineRule="exact"/>
        <w:rPr>
          <w:rFonts w:ascii="Arial" w:cs="Arial" w:eastAsia="Arial" w:hAnsi="Arial"/>
          <w:sz w:val="18"/>
          <w:szCs w:val="18"/>
          <w:u w:val="single" w:color="auto"/>
          <w:color w:val="0000FF"/>
        </w:rPr>
      </w:pPr>
    </w:p>
    <w:p>
      <w:pPr>
        <w:spacing w:after="0" w:line="232" w:lineRule="exact"/>
        <w:rPr>
          <w:rFonts w:ascii="Arial" w:cs="Arial" w:eastAsia="Arial" w:hAnsi="Arial"/>
          <w:sz w:val="18"/>
          <w:szCs w:val="18"/>
          <w:u w:val="single" w:color="auto"/>
          <w:color w:val="0000FF"/>
        </w:rPr>
      </w:pPr>
    </w:p>
    <w:p>
      <w:pPr>
        <w:ind w:left="5540"/>
        <w:spacing w:after="0"/>
        <w:rPr>
          <w:sz w:val="20"/>
          <w:szCs w:val="20"/>
          <w:color w:val="auto"/>
        </w:rPr>
      </w:pPr>
      <w:r>
        <w:rPr>
          <w:rFonts w:ascii="Arial" w:cs="Arial" w:eastAsia="Arial" w:hAnsi="Arial"/>
          <w:sz w:val="18"/>
          <w:szCs w:val="18"/>
          <w:color w:val="auto"/>
        </w:rPr>
        <w:t>96</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40"/>
          </w:cols>
          <w:pgMar w:left="320" w:top="130" w:right="1339" w:bottom="1440" w:gutter="0" w:footer="0" w:header="0"/>
        </w:sectPr>
      </w:pPr>
    </w:p>
    <w:bookmarkStart w:id="97" w:name="page98"/>
    <w:bookmarkEnd w:id="9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1100" w:type="dxa"/>
            <w:vAlign w:val="bottom"/>
          </w:tcPr>
          <w:p>
            <w:pPr>
              <w:ind w:left="20"/>
              <w:spacing w:after="0"/>
              <w:rPr>
                <w:sz w:val="20"/>
                <w:szCs w:val="20"/>
                <w:color w:val="auto"/>
              </w:rPr>
            </w:pPr>
            <w:r>
              <w:rPr>
                <w:rFonts w:ascii="Arial" w:cs="Arial" w:eastAsia="Arial" w:hAnsi="Arial"/>
                <w:sz w:val="18"/>
                <w:szCs w:val="18"/>
                <w:color w:val="auto"/>
              </w:rPr>
              <w:t>10.27</w:t>
            </w:r>
          </w:p>
        </w:tc>
        <w:tc>
          <w:tcPr>
            <w:tcW w:w="8460" w:type="dxa"/>
            <w:vAlign w:val="bottom"/>
            <w:gridSpan w:val="28"/>
          </w:tcPr>
          <w:p>
            <w:pPr>
              <w:spacing w:after="0"/>
              <w:rPr>
                <w:rFonts w:ascii="Arial" w:cs="Arial" w:eastAsia="Arial" w:hAnsi="Arial"/>
                <w:sz w:val="18"/>
                <w:szCs w:val="18"/>
                <w:color w:val="0000FF"/>
              </w:rPr>
            </w:pPr>
            <w:hyperlink r:id="rId198">
              <w:r>
                <w:rPr>
                  <w:rFonts w:ascii="Arial" w:cs="Arial" w:eastAsia="Arial" w:hAnsi="Arial"/>
                  <w:sz w:val="18"/>
                  <w:szCs w:val="18"/>
                  <w:color w:val="0000FF"/>
                </w:rPr>
                <w:t>Amended and Restated Guaranty, dated as of May 2, 2019, made by Regeneron Pharmaceuticals, Inc.,</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812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3"/>
              </w:rPr>
            </w:pPr>
            <w:hyperlink r:id="rId198">
              <w:r>
                <w:rPr>
                  <w:rFonts w:ascii="Arial" w:cs="Arial" w:eastAsia="Arial" w:hAnsi="Arial"/>
                  <w:sz w:val="18"/>
                  <w:szCs w:val="18"/>
                  <w:color w:val="0000FF"/>
                  <w:w w:val="93"/>
                </w:rPr>
                <w:t>Regeneron Healthcare Solutions, Inc., and Regeneron Genetics Center LLC, as guarantors. (Incorporated by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8260" w:type="dxa"/>
            <w:vAlign w:val="bottom"/>
            <w:gridSpan w:val="18"/>
          </w:tcPr>
          <w:p>
            <w:pPr>
              <w:spacing w:after="0" w:line="156" w:lineRule="exact"/>
              <w:rPr>
                <w:rFonts w:ascii="Arial" w:cs="Arial" w:eastAsia="Arial" w:hAnsi="Arial"/>
                <w:sz w:val="18"/>
                <w:szCs w:val="18"/>
                <w:color w:val="0000FF"/>
              </w:rPr>
            </w:pPr>
            <w:hyperlink r:id="rId198">
              <w:r>
                <w:rPr>
                  <w:rFonts w:ascii="Arial" w:cs="Arial" w:eastAsia="Arial" w:hAnsi="Arial"/>
                  <w:sz w:val="18"/>
                  <w:szCs w:val="18"/>
                  <w:color w:val="0000FF"/>
                </w:rPr>
                <w:t>reference from the Form 8-K for the Registrant, filed May 3,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0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10.28</w:t>
            </w:r>
          </w:p>
        </w:tc>
        <w:tc>
          <w:tcPr>
            <w:tcW w:w="8460" w:type="dxa"/>
            <w:vAlign w:val="bottom"/>
            <w:gridSpan w:val="28"/>
            <w:shd w:val="clear" w:color="auto" w:fill="CCEEFF"/>
          </w:tcPr>
          <w:p>
            <w:pPr>
              <w:spacing w:after="0" w:line="189" w:lineRule="exact"/>
              <w:rPr>
                <w:rFonts w:ascii="Arial" w:cs="Arial" w:eastAsia="Arial" w:hAnsi="Arial"/>
                <w:sz w:val="18"/>
                <w:szCs w:val="18"/>
                <w:color w:val="0000FF"/>
                <w:w w:val="97"/>
              </w:rPr>
            </w:pPr>
            <w:hyperlink r:id="rId199">
              <w:r>
                <w:rPr>
                  <w:rFonts w:ascii="Arial" w:cs="Arial" w:eastAsia="Arial" w:hAnsi="Arial"/>
                  <w:sz w:val="18"/>
                  <w:szCs w:val="18"/>
                  <w:color w:val="0000FF"/>
                  <w:w w:val="97"/>
                </w:rPr>
                <w:t>Letter Agreement, dated as of January 7, 2018, by and among the Registrant, Sanofi, sanofi-aventis US LLC,</w:t>
              </w:r>
            </w:hyperlink>
          </w:p>
        </w:tc>
        <w:tc>
          <w:tcPr>
            <w:tcW w:w="0" w:type="dxa"/>
            <w:vAlign w:val="bottom"/>
          </w:tcPr>
          <w:p>
            <w:pPr>
              <w:spacing w:after="0"/>
              <w:rPr>
                <w:sz w:val="1"/>
                <w:szCs w:val="1"/>
                <w:color w:val="auto"/>
              </w:rPr>
            </w:pPr>
          </w:p>
        </w:tc>
      </w:tr>
      <w:tr>
        <w:trPr>
          <w:trHeight w:val="155"/>
        </w:trPr>
        <w:tc>
          <w:tcPr>
            <w:tcW w:w="1100" w:type="dxa"/>
            <w:vAlign w:val="bottom"/>
            <w:tcBorders>
              <w:top w:val="single" w:sz="8" w:color="CCEEFF"/>
              <w:bottom w:val="single" w:sz="8" w:color="CCEEFF"/>
            </w:tcBorders>
            <w:shd w:val="clear" w:color="auto" w:fill="CCEEFF"/>
          </w:tcPr>
          <w:p>
            <w:pPr>
              <w:spacing w:after="0"/>
              <w:rPr>
                <w:sz w:val="13"/>
                <w:szCs w:val="13"/>
                <w:color w:val="auto"/>
              </w:rPr>
            </w:pPr>
          </w:p>
        </w:tc>
        <w:tc>
          <w:tcPr>
            <w:tcW w:w="8240" w:type="dxa"/>
            <w:vAlign w:val="bottom"/>
            <w:tcBorders>
              <w:top w:val="single" w:sz="8" w:color="0000FF"/>
              <w:bottom w:val="single" w:sz="8" w:color="0000FF"/>
            </w:tcBorders>
            <w:gridSpan w:val="17"/>
            <w:shd w:val="clear" w:color="auto" w:fill="CCEEFF"/>
          </w:tcPr>
          <w:p>
            <w:pPr>
              <w:spacing w:after="0" w:line="156" w:lineRule="exact"/>
              <w:rPr>
                <w:rFonts w:ascii="Arial" w:cs="Arial" w:eastAsia="Arial" w:hAnsi="Arial"/>
                <w:sz w:val="18"/>
                <w:szCs w:val="18"/>
                <w:color w:val="0000FF"/>
                <w:w w:val="93"/>
              </w:rPr>
            </w:pPr>
            <w:hyperlink r:id="rId199">
              <w:r>
                <w:rPr>
                  <w:rFonts w:ascii="Arial" w:cs="Arial" w:eastAsia="Arial" w:hAnsi="Arial"/>
                  <w:sz w:val="18"/>
                  <w:szCs w:val="18"/>
                  <w:color w:val="0000FF"/>
                  <w:w w:val="93"/>
                </w:rPr>
                <w:t>Aventis Pharmaceuticals Inc., sanofi-aventis Amérique du Nord, and Sanofi Biotechnology SAS. (Incorporated</w:t>
              </w:r>
            </w:hyperlink>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00" w:type="dxa"/>
            <w:vAlign w:val="bottom"/>
            <w:shd w:val="clear" w:color="auto" w:fill="CCEEFF"/>
          </w:tcPr>
          <w:p>
            <w:pPr>
              <w:spacing w:after="0"/>
              <w:rPr>
                <w:sz w:val="17"/>
                <w:szCs w:val="17"/>
                <w:color w:val="auto"/>
              </w:rPr>
            </w:pPr>
          </w:p>
        </w:tc>
        <w:tc>
          <w:tcPr>
            <w:tcW w:w="8340" w:type="dxa"/>
            <w:vAlign w:val="bottom"/>
            <w:gridSpan w:val="22"/>
            <w:shd w:val="clear" w:color="auto" w:fill="CCEEFF"/>
          </w:tcPr>
          <w:p>
            <w:pPr>
              <w:spacing w:after="0" w:line="196" w:lineRule="exact"/>
              <w:rPr>
                <w:rFonts w:ascii="Arial" w:cs="Arial" w:eastAsia="Arial" w:hAnsi="Arial"/>
                <w:sz w:val="18"/>
                <w:szCs w:val="18"/>
                <w:u w:val="single" w:color="auto"/>
                <w:color w:val="0000FF"/>
                <w:w w:val="95"/>
              </w:rPr>
            </w:pPr>
            <w:hyperlink r:id="rId199">
              <w:r>
                <w:rPr>
                  <w:rFonts w:ascii="Arial" w:cs="Arial" w:eastAsia="Arial" w:hAnsi="Arial"/>
                  <w:sz w:val="18"/>
                  <w:szCs w:val="18"/>
                  <w:u w:val="single" w:color="auto"/>
                  <w:color w:val="0000FF"/>
                  <w:w w:val="95"/>
                </w:rPr>
                <w:t>by reference from the Form 10-Q for the Registrant, for the quarter ended March 31, 2018, filed May 3, 2018.)</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100" w:type="dxa"/>
            <w:vAlign w:val="bottom"/>
          </w:tcPr>
          <w:p>
            <w:pPr>
              <w:ind w:left="20"/>
              <w:spacing w:after="0" w:line="189" w:lineRule="exact"/>
              <w:rPr>
                <w:sz w:val="20"/>
                <w:szCs w:val="20"/>
                <w:color w:val="auto"/>
              </w:rPr>
            </w:pPr>
            <w:r>
              <w:rPr>
                <w:rFonts w:ascii="Arial" w:cs="Arial" w:eastAsia="Arial" w:hAnsi="Arial"/>
                <w:sz w:val="18"/>
                <w:szCs w:val="18"/>
                <w:color w:val="auto"/>
              </w:rPr>
              <w:t>10.29**</w:t>
            </w:r>
          </w:p>
        </w:tc>
        <w:tc>
          <w:tcPr>
            <w:tcW w:w="8460" w:type="dxa"/>
            <w:vAlign w:val="bottom"/>
            <w:gridSpan w:val="28"/>
          </w:tcPr>
          <w:p>
            <w:pPr>
              <w:spacing w:after="0" w:line="189" w:lineRule="exact"/>
              <w:rPr>
                <w:rFonts w:ascii="Arial" w:cs="Arial" w:eastAsia="Arial" w:hAnsi="Arial"/>
                <w:sz w:val="18"/>
                <w:szCs w:val="18"/>
                <w:color w:val="0000FF"/>
                <w:w w:val="94"/>
              </w:rPr>
            </w:pPr>
            <w:hyperlink r:id="rId200">
              <w:r>
                <w:rPr>
                  <w:rFonts w:ascii="Arial" w:cs="Arial" w:eastAsia="Arial" w:hAnsi="Arial"/>
                  <w:sz w:val="18"/>
                  <w:szCs w:val="18"/>
                  <w:color w:val="0000FF"/>
                  <w:w w:val="94"/>
                </w:rPr>
                <w:t>Master Agreement, dated as of April 8, 2019, by and between the Registrant and Alnylam Pharmaceuticals, Inc.</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830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6"/>
              </w:rPr>
            </w:pPr>
            <w:hyperlink r:id="rId200">
              <w:r>
                <w:rPr>
                  <w:rFonts w:ascii="Arial" w:cs="Arial" w:eastAsia="Arial" w:hAnsi="Arial"/>
                  <w:sz w:val="18"/>
                  <w:szCs w:val="18"/>
                  <w:color w:val="0000FF"/>
                  <w:w w:val="96"/>
                </w:rPr>
                <w:t>(Incorporated by reference from the Form 10-Q for the Registrant, for the quarter ended June 30, 2019, filed</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8440" w:type="dxa"/>
            <w:vAlign w:val="bottom"/>
            <w:gridSpan w:val="27"/>
          </w:tcPr>
          <w:p>
            <w:pPr>
              <w:spacing w:after="0" w:line="156" w:lineRule="exact"/>
              <w:rPr>
                <w:rFonts w:ascii="Arial" w:cs="Arial" w:eastAsia="Arial" w:hAnsi="Arial"/>
                <w:sz w:val="18"/>
                <w:szCs w:val="18"/>
                <w:color w:val="0000FF"/>
              </w:rPr>
            </w:pPr>
            <w:hyperlink r:id="rId200">
              <w:r>
                <w:rPr>
                  <w:rFonts w:ascii="Arial" w:cs="Arial" w:eastAsia="Arial" w:hAnsi="Arial"/>
                  <w:sz w:val="18"/>
                  <w:szCs w:val="18"/>
                  <w:color w:val="0000FF"/>
                </w:rPr>
                <w:t>August 6, 2019).</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0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10.29.1**</w:t>
            </w:r>
          </w:p>
        </w:tc>
        <w:tc>
          <w:tcPr>
            <w:tcW w:w="8460" w:type="dxa"/>
            <w:vAlign w:val="bottom"/>
            <w:gridSpan w:val="28"/>
            <w:shd w:val="clear" w:color="auto" w:fill="CCEEFF"/>
          </w:tcPr>
          <w:p>
            <w:pPr>
              <w:spacing w:after="0"/>
              <w:rPr>
                <w:rFonts w:ascii="Arial" w:cs="Arial" w:eastAsia="Arial" w:hAnsi="Arial"/>
                <w:sz w:val="18"/>
                <w:szCs w:val="18"/>
                <w:u w:val="single" w:color="auto"/>
                <w:color w:val="0000FF"/>
              </w:rPr>
            </w:pPr>
            <w:hyperlink r:id="rId201">
              <w:r>
                <w:rPr>
                  <w:rFonts w:ascii="Arial" w:cs="Arial" w:eastAsia="Arial" w:hAnsi="Arial"/>
                  <w:sz w:val="18"/>
                  <w:szCs w:val="18"/>
                  <w:u w:val="single" w:color="auto"/>
                  <w:color w:val="0000FF"/>
                </w:rPr>
                <w:t>Form of Co-Co Collaboration Agreement (Exhibit B to Master Agreement contained in Exhibit 10.29).</w:t>
              </w:r>
            </w:hyperlink>
          </w:p>
        </w:tc>
        <w:tc>
          <w:tcPr>
            <w:tcW w:w="0" w:type="dxa"/>
            <w:vAlign w:val="bottom"/>
          </w:tcPr>
          <w:p>
            <w:pPr>
              <w:spacing w:after="0"/>
              <w:rPr>
                <w:sz w:val="1"/>
                <w:szCs w:val="1"/>
                <w:color w:val="auto"/>
              </w:rPr>
            </w:pPr>
          </w:p>
        </w:tc>
      </w:tr>
      <w:tr>
        <w:trPr>
          <w:trHeight w:val="230"/>
        </w:trPr>
        <w:tc>
          <w:tcPr>
            <w:tcW w:w="1100" w:type="dxa"/>
            <w:vAlign w:val="bottom"/>
          </w:tcPr>
          <w:p>
            <w:pPr>
              <w:ind w:left="20"/>
              <w:spacing w:after="0"/>
              <w:rPr>
                <w:sz w:val="20"/>
                <w:szCs w:val="20"/>
                <w:color w:val="auto"/>
              </w:rPr>
            </w:pPr>
            <w:r>
              <w:rPr>
                <w:rFonts w:ascii="Arial" w:cs="Arial" w:eastAsia="Arial" w:hAnsi="Arial"/>
                <w:sz w:val="18"/>
                <w:szCs w:val="18"/>
                <w:color w:val="auto"/>
              </w:rPr>
              <w:t>10.29.2**</w:t>
            </w:r>
          </w:p>
        </w:tc>
        <w:tc>
          <w:tcPr>
            <w:tcW w:w="8460" w:type="dxa"/>
            <w:vAlign w:val="bottom"/>
            <w:gridSpan w:val="28"/>
          </w:tcPr>
          <w:p>
            <w:pPr>
              <w:spacing w:after="0"/>
              <w:rPr>
                <w:rFonts w:ascii="Arial" w:cs="Arial" w:eastAsia="Arial" w:hAnsi="Arial"/>
                <w:sz w:val="18"/>
                <w:szCs w:val="18"/>
                <w:u w:val="single" w:color="auto"/>
                <w:color w:val="0000FF"/>
              </w:rPr>
            </w:pPr>
            <w:hyperlink r:id="rId202">
              <w:r>
                <w:rPr>
                  <w:rFonts w:ascii="Arial" w:cs="Arial" w:eastAsia="Arial" w:hAnsi="Arial"/>
                  <w:sz w:val="18"/>
                  <w:szCs w:val="18"/>
                  <w:u w:val="single" w:color="auto"/>
                  <w:color w:val="0000FF"/>
                </w:rPr>
                <w:t>Form of License Agreement (Exhibit C to Master Agreement contained in Exhibit 10.29).</w:t>
              </w:r>
            </w:hyperlink>
          </w:p>
        </w:tc>
        <w:tc>
          <w:tcPr>
            <w:tcW w:w="0" w:type="dxa"/>
            <w:vAlign w:val="bottom"/>
          </w:tcPr>
          <w:p>
            <w:pPr>
              <w:spacing w:after="0"/>
              <w:rPr>
                <w:sz w:val="1"/>
                <w:szCs w:val="1"/>
                <w:color w:val="auto"/>
              </w:rPr>
            </w:pPr>
          </w:p>
        </w:tc>
      </w:tr>
      <w:tr>
        <w:trPr>
          <w:trHeight w:val="189"/>
        </w:trPr>
        <w:tc>
          <w:tcPr>
            <w:tcW w:w="11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10.30**</w:t>
            </w:r>
          </w:p>
        </w:tc>
        <w:tc>
          <w:tcPr>
            <w:tcW w:w="8460" w:type="dxa"/>
            <w:vAlign w:val="bottom"/>
            <w:gridSpan w:val="28"/>
            <w:shd w:val="clear" w:color="auto" w:fill="CCEEFF"/>
          </w:tcPr>
          <w:p>
            <w:pPr>
              <w:spacing w:after="0" w:line="189" w:lineRule="exact"/>
              <w:rPr>
                <w:rFonts w:ascii="Arial" w:cs="Arial" w:eastAsia="Arial" w:hAnsi="Arial"/>
                <w:sz w:val="18"/>
                <w:szCs w:val="18"/>
                <w:color w:val="0000FF"/>
                <w:w w:val="97"/>
              </w:rPr>
            </w:pPr>
            <w:hyperlink r:id="rId203">
              <w:r>
                <w:rPr>
                  <w:rFonts w:ascii="Arial" w:cs="Arial" w:eastAsia="Arial" w:hAnsi="Arial"/>
                  <w:sz w:val="18"/>
                  <w:szCs w:val="18"/>
                  <w:color w:val="0000FF"/>
                  <w:w w:val="97"/>
                </w:rPr>
                <w:t>Investor Agreement, dated as of April 8, 2019, by and between the Registrant and Alnylam Pharmaceuticals,</w:t>
              </w:r>
            </w:hyperlink>
          </w:p>
        </w:tc>
        <w:tc>
          <w:tcPr>
            <w:tcW w:w="0" w:type="dxa"/>
            <w:vAlign w:val="bottom"/>
          </w:tcPr>
          <w:p>
            <w:pPr>
              <w:spacing w:after="0"/>
              <w:rPr>
                <w:sz w:val="1"/>
                <w:szCs w:val="1"/>
                <w:color w:val="auto"/>
              </w:rPr>
            </w:pPr>
          </w:p>
        </w:tc>
      </w:tr>
      <w:tr>
        <w:trPr>
          <w:trHeight w:val="155"/>
        </w:trPr>
        <w:tc>
          <w:tcPr>
            <w:tcW w:w="1100" w:type="dxa"/>
            <w:vAlign w:val="bottom"/>
            <w:tcBorders>
              <w:top w:val="single" w:sz="8" w:color="CCEEFF"/>
              <w:bottom w:val="single" w:sz="8" w:color="CCEEFF"/>
            </w:tcBorders>
            <w:shd w:val="clear" w:color="auto" w:fill="CCEEFF"/>
          </w:tcPr>
          <w:p>
            <w:pPr>
              <w:spacing w:after="0"/>
              <w:rPr>
                <w:sz w:val="13"/>
                <w:szCs w:val="13"/>
                <w:color w:val="auto"/>
              </w:rPr>
            </w:pPr>
          </w:p>
        </w:tc>
        <w:tc>
          <w:tcPr>
            <w:tcW w:w="8280" w:type="dxa"/>
            <w:vAlign w:val="bottom"/>
            <w:tcBorders>
              <w:top w:val="single" w:sz="8" w:color="0000FF"/>
              <w:bottom w:val="single" w:sz="8" w:color="0000FF"/>
            </w:tcBorders>
            <w:gridSpan w:val="19"/>
            <w:shd w:val="clear" w:color="auto" w:fill="CCEEFF"/>
          </w:tcPr>
          <w:p>
            <w:pPr>
              <w:spacing w:after="0" w:line="156" w:lineRule="exact"/>
              <w:rPr>
                <w:rFonts w:ascii="Arial" w:cs="Arial" w:eastAsia="Arial" w:hAnsi="Arial"/>
                <w:sz w:val="18"/>
                <w:szCs w:val="18"/>
                <w:color w:val="0000FF"/>
                <w:w w:val="92"/>
              </w:rPr>
            </w:pPr>
            <w:hyperlink r:id="rId203">
              <w:r>
                <w:rPr>
                  <w:rFonts w:ascii="Arial" w:cs="Arial" w:eastAsia="Arial" w:hAnsi="Arial"/>
                  <w:sz w:val="18"/>
                  <w:szCs w:val="18"/>
                  <w:color w:val="0000FF"/>
                  <w:w w:val="92"/>
                </w:rPr>
                <w:t>Inc. (Incorporated by reference from the Form 10-Q for the Registrant, for the quarter ended June 30, 2019, filed</w:t>
              </w:r>
            </w:hyperlink>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shd w:val="clear" w:color="auto" w:fill="CCEEFF"/>
          </w:tcPr>
          <w:p>
            <w:pPr>
              <w:spacing w:after="0"/>
              <w:rPr>
                <w:sz w:val="13"/>
                <w:szCs w:val="13"/>
                <w:color w:val="auto"/>
              </w:rPr>
            </w:pPr>
          </w:p>
        </w:tc>
        <w:tc>
          <w:tcPr>
            <w:tcW w:w="8320" w:type="dxa"/>
            <w:vAlign w:val="bottom"/>
            <w:gridSpan w:val="21"/>
            <w:shd w:val="clear" w:color="auto" w:fill="CCEEFF"/>
          </w:tcPr>
          <w:p>
            <w:pPr>
              <w:spacing w:after="0" w:line="156" w:lineRule="exact"/>
              <w:rPr>
                <w:rFonts w:ascii="Arial" w:cs="Arial" w:eastAsia="Arial" w:hAnsi="Arial"/>
                <w:sz w:val="18"/>
                <w:szCs w:val="18"/>
                <w:color w:val="0000FF"/>
              </w:rPr>
            </w:pPr>
            <w:hyperlink r:id="rId203">
              <w:r>
                <w:rPr>
                  <w:rFonts w:ascii="Arial" w:cs="Arial" w:eastAsia="Arial" w:hAnsi="Arial"/>
                  <w:sz w:val="18"/>
                  <w:szCs w:val="18"/>
                  <w:color w:val="0000FF"/>
                </w:rPr>
                <w:t>August 6, 2019.)</w:t>
              </w:r>
            </w:hyperlink>
          </w:p>
        </w:tc>
        <w:tc>
          <w:tcPr>
            <w:tcW w:w="40" w:type="dxa"/>
            <w:vAlign w:val="bottom"/>
            <w:gridSpan w:val="2"/>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00" w:type="dxa"/>
            <w:vAlign w:val="bottom"/>
          </w:tcPr>
          <w:p>
            <w:pPr>
              <w:ind w:left="20"/>
              <w:spacing w:after="0" w:line="189" w:lineRule="exact"/>
              <w:rPr>
                <w:sz w:val="20"/>
                <w:szCs w:val="20"/>
                <w:color w:val="auto"/>
              </w:rPr>
            </w:pPr>
            <w:r>
              <w:rPr>
                <w:rFonts w:ascii="Arial" w:cs="Arial" w:eastAsia="Arial" w:hAnsi="Arial"/>
                <w:sz w:val="18"/>
                <w:szCs w:val="18"/>
                <w:color w:val="auto"/>
              </w:rPr>
              <w:t>10.31</w:t>
            </w:r>
          </w:p>
        </w:tc>
        <w:tc>
          <w:tcPr>
            <w:tcW w:w="8460" w:type="dxa"/>
            <w:vAlign w:val="bottom"/>
            <w:gridSpan w:val="28"/>
          </w:tcPr>
          <w:p>
            <w:pPr>
              <w:spacing w:after="0" w:line="189" w:lineRule="exact"/>
              <w:rPr>
                <w:rFonts w:ascii="Arial" w:cs="Arial" w:eastAsia="Arial" w:hAnsi="Arial"/>
                <w:sz w:val="18"/>
                <w:szCs w:val="18"/>
                <w:color w:val="0000FF"/>
              </w:rPr>
            </w:pPr>
            <w:hyperlink r:id="rId204">
              <w:r>
                <w:rPr>
                  <w:rFonts w:ascii="Arial" w:cs="Arial" w:eastAsia="Arial" w:hAnsi="Arial"/>
                  <w:sz w:val="18"/>
                  <w:szCs w:val="18"/>
                  <w:color w:val="0000FF"/>
                </w:rPr>
                <w:t>Stock Purchase Agreement, dated as of April 8, 2019, by and between the Registrant and Alnylam</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8380" w:type="dxa"/>
            <w:vAlign w:val="bottom"/>
            <w:tcBorders>
              <w:top w:val="single" w:sz="8" w:color="0000FF"/>
              <w:bottom w:val="single" w:sz="8" w:color="0000FF"/>
            </w:tcBorders>
            <w:gridSpan w:val="24"/>
          </w:tcPr>
          <w:p>
            <w:pPr>
              <w:spacing w:after="0" w:line="156" w:lineRule="exact"/>
              <w:rPr>
                <w:rFonts w:ascii="Arial" w:cs="Arial" w:eastAsia="Arial" w:hAnsi="Arial"/>
                <w:sz w:val="18"/>
                <w:szCs w:val="18"/>
                <w:color w:val="0000FF"/>
                <w:w w:val="95"/>
              </w:rPr>
            </w:pPr>
            <w:hyperlink r:id="rId204">
              <w:r>
                <w:rPr>
                  <w:rFonts w:ascii="Arial" w:cs="Arial" w:eastAsia="Arial" w:hAnsi="Arial"/>
                  <w:sz w:val="18"/>
                  <w:szCs w:val="18"/>
                  <w:color w:val="0000FF"/>
                  <w:w w:val="95"/>
                </w:rPr>
                <w:t>Pharmaceuticals, Inc. (Incorporated by reference from the Form 10-Q for the Registrant, for the quarter ended</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8400" w:type="dxa"/>
            <w:vAlign w:val="bottom"/>
            <w:gridSpan w:val="25"/>
          </w:tcPr>
          <w:p>
            <w:pPr>
              <w:spacing w:after="0" w:line="156" w:lineRule="exact"/>
              <w:rPr>
                <w:rFonts w:ascii="Arial" w:cs="Arial" w:eastAsia="Arial" w:hAnsi="Arial"/>
                <w:sz w:val="18"/>
                <w:szCs w:val="18"/>
                <w:color w:val="0000FF"/>
              </w:rPr>
            </w:pPr>
            <w:hyperlink r:id="rId204">
              <w:r>
                <w:rPr>
                  <w:rFonts w:ascii="Arial" w:cs="Arial" w:eastAsia="Arial" w:hAnsi="Arial"/>
                  <w:sz w:val="18"/>
                  <w:szCs w:val="18"/>
                  <w:color w:val="0000FF"/>
                </w:rPr>
                <w:t>June 30, 2019, filed August 6, 2019.)</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0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10.32</w:t>
            </w:r>
          </w:p>
        </w:tc>
        <w:tc>
          <w:tcPr>
            <w:tcW w:w="8460" w:type="dxa"/>
            <w:vAlign w:val="bottom"/>
            <w:gridSpan w:val="28"/>
            <w:shd w:val="clear" w:color="auto" w:fill="CCEEFF"/>
          </w:tcPr>
          <w:p>
            <w:pPr>
              <w:spacing w:after="0" w:line="189" w:lineRule="exact"/>
              <w:rPr>
                <w:rFonts w:ascii="Arial" w:cs="Arial" w:eastAsia="Arial" w:hAnsi="Arial"/>
                <w:sz w:val="18"/>
                <w:szCs w:val="18"/>
                <w:color w:val="0000FF"/>
              </w:rPr>
            </w:pPr>
            <w:hyperlink r:id="rId205">
              <w:r>
                <w:rPr>
                  <w:rFonts w:ascii="Arial" w:cs="Arial" w:eastAsia="Arial" w:hAnsi="Arial"/>
                  <w:sz w:val="18"/>
                  <w:szCs w:val="18"/>
                  <w:color w:val="0000FF"/>
                </w:rPr>
                <w:t>Stock Repurchase Agreement, dated as of May 25, 2020, by and between the Registrant and Sanofi.</w:t>
              </w:r>
            </w:hyperlink>
          </w:p>
        </w:tc>
        <w:tc>
          <w:tcPr>
            <w:tcW w:w="0" w:type="dxa"/>
            <w:vAlign w:val="bottom"/>
          </w:tcPr>
          <w:p>
            <w:pPr>
              <w:spacing w:after="0"/>
              <w:rPr>
                <w:sz w:val="1"/>
                <w:szCs w:val="1"/>
                <w:color w:val="auto"/>
              </w:rPr>
            </w:pPr>
          </w:p>
        </w:tc>
      </w:tr>
      <w:tr>
        <w:trPr>
          <w:trHeight w:val="156"/>
        </w:trPr>
        <w:tc>
          <w:tcPr>
            <w:tcW w:w="1100" w:type="dxa"/>
            <w:vAlign w:val="bottom"/>
            <w:tcBorders>
              <w:top w:val="single" w:sz="8" w:color="CCEEFF"/>
            </w:tcBorders>
            <w:shd w:val="clear" w:color="auto" w:fill="CCEEFF"/>
          </w:tcPr>
          <w:p>
            <w:pPr>
              <w:spacing w:after="0"/>
              <w:rPr>
                <w:sz w:val="13"/>
                <w:szCs w:val="13"/>
                <w:color w:val="auto"/>
              </w:rPr>
            </w:pPr>
          </w:p>
        </w:tc>
        <w:tc>
          <w:tcPr>
            <w:tcW w:w="8160" w:type="dxa"/>
            <w:vAlign w:val="bottom"/>
            <w:tcBorders>
              <w:top w:val="single" w:sz="8" w:color="0000FF"/>
            </w:tcBorders>
            <w:gridSpan w:val="13"/>
            <w:shd w:val="clear" w:color="auto" w:fill="CCEEFF"/>
          </w:tcPr>
          <w:p>
            <w:pPr>
              <w:spacing w:after="0" w:line="156" w:lineRule="exact"/>
              <w:rPr>
                <w:rFonts w:ascii="Arial" w:cs="Arial" w:eastAsia="Arial" w:hAnsi="Arial"/>
                <w:sz w:val="18"/>
                <w:szCs w:val="18"/>
                <w:color w:val="0000FF"/>
              </w:rPr>
            </w:pPr>
            <w:hyperlink r:id="rId205">
              <w:r>
                <w:rPr>
                  <w:rFonts w:ascii="Arial" w:cs="Arial" w:eastAsia="Arial" w:hAnsi="Arial"/>
                  <w:sz w:val="18"/>
                  <w:szCs w:val="18"/>
                  <w:color w:val="0000FF"/>
                </w:rPr>
                <w:t>(Incorporated by reference from the Form 8-K for the Registrant, filed May 29, 2020.)</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gridSpan w:val="7"/>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520" w:type="dxa"/>
            <w:vAlign w:val="bottom"/>
            <w:tcBorders>
              <w:top w:val="single" w:sz="8" w:color="0000FF"/>
            </w:tcBorders>
            <w:shd w:val="clear" w:color="auto" w:fill="CCEEFF"/>
          </w:tcPr>
          <w:p>
            <w:pPr>
              <w:spacing w:after="0" w:line="20" w:lineRule="exact"/>
              <w:rPr>
                <w:sz w:val="1"/>
                <w:szCs w:val="1"/>
                <w:color w:val="auto"/>
              </w:rPr>
            </w:pPr>
          </w:p>
        </w:tc>
        <w:tc>
          <w:tcPr>
            <w:tcW w:w="1340" w:type="dxa"/>
            <w:vAlign w:val="bottom"/>
            <w:tcBorders>
              <w:top w:val="single" w:sz="8" w:color="0000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00" w:type="dxa"/>
            <w:vAlign w:val="bottom"/>
          </w:tcPr>
          <w:p>
            <w:pPr>
              <w:ind w:left="20"/>
              <w:spacing w:after="0" w:line="189" w:lineRule="exact"/>
              <w:rPr>
                <w:sz w:val="20"/>
                <w:szCs w:val="20"/>
                <w:color w:val="auto"/>
              </w:rPr>
            </w:pPr>
            <w:r>
              <w:rPr>
                <w:rFonts w:ascii="Arial" w:cs="Arial" w:eastAsia="Arial" w:hAnsi="Arial"/>
                <w:sz w:val="18"/>
                <w:szCs w:val="18"/>
                <w:color w:val="auto"/>
              </w:rPr>
              <w:t>10.33**</w:t>
            </w:r>
          </w:p>
        </w:tc>
        <w:tc>
          <w:tcPr>
            <w:tcW w:w="8460" w:type="dxa"/>
            <w:vAlign w:val="bottom"/>
            <w:gridSpan w:val="28"/>
          </w:tcPr>
          <w:p>
            <w:pPr>
              <w:spacing w:after="0" w:line="189" w:lineRule="exact"/>
              <w:rPr>
                <w:rFonts w:ascii="Arial" w:cs="Arial" w:eastAsia="Arial" w:hAnsi="Arial"/>
                <w:sz w:val="18"/>
                <w:szCs w:val="18"/>
                <w:color w:val="0000FF"/>
              </w:rPr>
            </w:pPr>
            <w:hyperlink r:id="rId206">
              <w:r>
                <w:rPr>
                  <w:rFonts w:ascii="Arial" w:cs="Arial" w:eastAsia="Arial" w:hAnsi="Arial"/>
                  <w:sz w:val="18"/>
                  <w:szCs w:val="18"/>
                  <w:color w:val="0000FF"/>
                </w:rPr>
                <w:t>Base Agreement, dated as of July 6, 2020, by and between the Registrant and Advanced Technology</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820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rPr>
            </w:pPr>
            <w:hyperlink r:id="rId206">
              <w:r>
                <w:rPr>
                  <w:rFonts w:ascii="Arial" w:cs="Arial" w:eastAsia="Arial" w:hAnsi="Arial"/>
                  <w:sz w:val="18"/>
                  <w:szCs w:val="18"/>
                  <w:color w:val="0000FF"/>
                </w:rPr>
                <w:t>International. (Incorporated by reference from the Form 10-Q for the Registrant, for the quarter ended</w:t>
              </w:r>
            </w:hyperlink>
          </w:p>
        </w:tc>
        <w:tc>
          <w:tcPr>
            <w:tcW w:w="20" w:type="dxa"/>
            <w:vAlign w:val="bottom"/>
            <w:tcBorders>
              <w:bottom w:val="single" w:sz="8" w:color="0000FF"/>
            </w:tcBorders>
          </w:tcPr>
          <w:p>
            <w:pPr>
              <w:spacing w:after="0"/>
              <w:rPr>
                <w:sz w:val="13"/>
                <w:szCs w:val="13"/>
                <w:color w:val="auto"/>
              </w:rPr>
            </w:pPr>
          </w:p>
        </w:tc>
        <w:tc>
          <w:tcPr>
            <w:tcW w:w="140" w:type="dxa"/>
            <w:vAlign w:val="bottom"/>
            <w:tcBorders>
              <w:bottom w:val="single" w:sz="8" w:color="0000FF"/>
            </w:tcBorders>
            <w:gridSpan w:val="7"/>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8420" w:type="dxa"/>
            <w:vAlign w:val="bottom"/>
            <w:gridSpan w:val="26"/>
          </w:tcPr>
          <w:p>
            <w:pPr>
              <w:spacing w:after="0" w:line="156" w:lineRule="exact"/>
              <w:rPr>
                <w:rFonts w:ascii="Arial" w:cs="Arial" w:eastAsia="Arial" w:hAnsi="Arial"/>
                <w:sz w:val="18"/>
                <w:szCs w:val="18"/>
                <w:color w:val="0000FF"/>
              </w:rPr>
            </w:pPr>
            <w:hyperlink r:id="rId206">
              <w:r>
                <w:rPr>
                  <w:rFonts w:ascii="Arial" w:cs="Arial" w:eastAsia="Arial" w:hAnsi="Arial"/>
                  <w:sz w:val="18"/>
                  <w:szCs w:val="18"/>
                  <w:color w:val="0000FF"/>
                </w:rPr>
                <w:t>September 30, 2020, filed November 5, 2020.)</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10.34**</w:t>
            </w:r>
          </w:p>
        </w:tc>
        <w:tc>
          <w:tcPr>
            <w:tcW w:w="8460" w:type="dxa"/>
            <w:vAlign w:val="bottom"/>
            <w:gridSpan w:val="28"/>
            <w:shd w:val="clear" w:color="auto" w:fill="CCEEFF"/>
          </w:tcPr>
          <w:p>
            <w:pPr>
              <w:spacing w:after="0" w:line="189" w:lineRule="exact"/>
              <w:rPr>
                <w:rFonts w:ascii="Arial" w:cs="Arial" w:eastAsia="Arial" w:hAnsi="Arial"/>
                <w:sz w:val="18"/>
                <w:szCs w:val="18"/>
                <w:color w:val="0000FF"/>
              </w:rPr>
            </w:pPr>
            <w:hyperlink w:anchor="page185">
              <w:r>
                <w:rPr>
                  <w:rFonts w:ascii="Arial" w:cs="Arial" w:eastAsia="Arial" w:hAnsi="Arial"/>
                  <w:sz w:val="18"/>
                  <w:szCs w:val="18"/>
                  <w:color w:val="0000FF"/>
                </w:rPr>
                <w:t>Project Agreement, dated as of July 6, 2020, by and between the Registrant and Advanced Technology</w:t>
              </w:r>
            </w:hyperlink>
          </w:p>
        </w:tc>
        <w:tc>
          <w:tcPr>
            <w:tcW w:w="0" w:type="dxa"/>
            <w:vAlign w:val="bottom"/>
          </w:tcPr>
          <w:p>
            <w:pPr>
              <w:spacing w:after="0"/>
              <w:rPr>
                <w:sz w:val="1"/>
                <w:szCs w:val="1"/>
                <w:color w:val="auto"/>
              </w:rPr>
            </w:pPr>
          </w:p>
        </w:tc>
      </w:tr>
      <w:tr>
        <w:trPr>
          <w:trHeight w:val="176"/>
        </w:trPr>
        <w:tc>
          <w:tcPr>
            <w:tcW w:w="110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0000FF"/>
              <w:bottom w:val="single" w:sz="8" w:color="0000FF"/>
            </w:tcBorders>
            <w:gridSpan w:val="2"/>
            <w:shd w:val="clear" w:color="auto" w:fill="CCEEFF"/>
          </w:tcPr>
          <w:p>
            <w:pPr>
              <w:spacing w:after="0" w:line="156" w:lineRule="exact"/>
              <w:rPr>
                <w:rFonts w:ascii="Arial" w:cs="Arial" w:eastAsia="Arial" w:hAnsi="Arial"/>
                <w:sz w:val="18"/>
                <w:szCs w:val="18"/>
                <w:color w:val="0000FF"/>
                <w:w w:val="90"/>
              </w:rPr>
            </w:pPr>
            <w:hyperlink w:anchor="page185">
              <w:r>
                <w:rPr>
                  <w:rFonts w:ascii="Arial" w:cs="Arial" w:eastAsia="Arial" w:hAnsi="Arial"/>
                  <w:sz w:val="18"/>
                  <w:szCs w:val="18"/>
                  <w:color w:val="0000FF"/>
                  <w:w w:val="90"/>
                </w:rPr>
                <w:t>International.</w:t>
              </w:r>
            </w:hyperlink>
          </w:p>
        </w:tc>
        <w:tc>
          <w:tcPr>
            <w:tcW w:w="7180" w:type="dxa"/>
            <w:vAlign w:val="bottom"/>
            <w:tcBorders>
              <w:top w:val="single" w:sz="8" w:color="0000FF"/>
              <w:bottom w:val="single" w:sz="8" w:color="CCEEFF"/>
            </w:tcBorders>
            <w:gridSpan w:val="10"/>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40" w:type="dxa"/>
            <w:vAlign w:val="bottom"/>
            <w:tcBorders>
              <w:top w:val="single" w:sz="8" w:color="CCEEFF"/>
              <w:bottom w:val="single" w:sz="8" w:color="CCEEFF"/>
            </w:tcBorders>
            <w:gridSpan w:val="7"/>
            <w:shd w:val="clear" w:color="auto" w:fill="CCEEFF"/>
          </w:tcPr>
          <w:p>
            <w:pPr>
              <w:spacing w:after="0"/>
              <w:rPr>
                <w:sz w:val="15"/>
                <w:szCs w:val="15"/>
                <w:color w:val="auto"/>
              </w:rPr>
            </w:pPr>
          </w:p>
        </w:tc>
        <w:tc>
          <w:tcPr>
            <w:tcW w:w="100" w:type="dxa"/>
            <w:vAlign w:val="bottom"/>
            <w:tcBorders>
              <w:top w:val="single" w:sz="8" w:color="CCEEFF"/>
              <w:bottom w:val="single" w:sz="8" w:color="CCEEFF"/>
            </w:tcBorders>
            <w:gridSpan w:val="5"/>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00" w:type="dxa"/>
            <w:vAlign w:val="bottom"/>
          </w:tcPr>
          <w:p>
            <w:pPr>
              <w:ind w:left="20"/>
              <w:spacing w:after="0" w:line="189" w:lineRule="exact"/>
              <w:rPr>
                <w:sz w:val="20"/>
                <w:szCs w:val="20"/>
                <w:color w:val="auto"/>
              </w:rPr>
            </w:pPr>
            <w:r>
              <w:rPr>
                <w:rFonts w:ascii="Arial" w:cs="Arial" w:eastAsia="Arial" w:hAnsi="Arial"/>
                <w:sz w:val="18"/>
                <w:szCs w:val="18"/>
                <w:color w:val="auto"/>
              </w:rPr>
              <w:t>10.34.1</w:t>
            </w:r>
          </w:p>
        </w:tc>
        <w:tc>
          <w:tcPr>
            <w:tcW w:w="8460" w:type="dxa"/>
            <w:vAlign w:val="bottom"/>
            <w:gridSpan w:val="28"/>
          </w:tcPr>
          <w:p>
            <w:pPr>
              <w:spacing w:after="0" w:line="189" w:lineRule="exact"/>
              <w:rPr>
                <w:rFonts w:ascii="Arial" w:cs="Arial" w:eastAsia="Arial" w:hAnsi="Arial"/>
                <w:sz w:val="18"/>
                <w:szCs w:val="18"/>
                <w:color w:val="0000FF"/>
                <w:w w:val="98"/>
              </w:rPr>
            </w:pPr>
            <w:hyperlink w:anchor="page226">
              <w:r>
                <w:rPr>
                  <w:rFonts w:ascii="Arial" w:cs="Arial" w:eastAsia="Arial" w:hAnsi="Arial"/>
                  <w:sz w:val="18"/>
                  <w:szCs w:val="18"/>
                  <w:color w:val="0000FF"/>
                  <w:w w:val="98"/>
                </w:rPr>
                <w:t xml:space="preserve">Modification No. 01 </w:t>
              </w:r>
              <w:r>
                <w:rPr>
                  <w:rFonts w:ascii="Arial" w:cs="Arial" w:eastAsia="Arial" w:hAnsi="Arial"/>
                  <w:sz w:val="18"/>
                  <w:szCs w:val="18"/>
                  <w:u w:val="single" w:color="auto"/>
                  <w:color w:val="0000FF"/>
                  <w:w w:val="98"/>
                </w:rPr>
                <w:t>to Project</w:t>
              </w:r>
              <w:r>
                <w:rPr>
                  <w:rFonts w:ascii="Arial" w:cs="Arial" w:eastAsia="Arial" w:hAnsi="Arial"/>
                  <w:sz w:val="18"/>
                  <w:szCs w:val="18"/>
                  <w:color w:val="0000FF"/>
                  <w:w w:val="98"/>
                </w:rPr>
                <w:t xml:space="preserve"> Agreement, dated as of October 13, 2020, by and between the Registrant and</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500" w:type="dxa"/>
            <w:vAlign w:val="bottom"/>
            <w:tcBorders>
              <w:top w:val="single" w:sz="8" w:color="0000FF"/>
            </w:tcBorders>
            <w:gridSpan w:val="4"/>
            <w:vMerge w:val="restart"/>
          </w:tcPr>
          <w:p>
            <w:pPr>
              <w:spacing w:after="0" w:line="156" w:lineRule="exact"/>
              <w:rPr>
                <w:rFonts w:ascii="Arial" w:cs="Arial" w:eastAsia="Arial" w:hAnsi="Arial"/>
                <w:sz w:val="18"/>
                <w:szCs w:val="18"/>
                <w:color w:val="0000FF"/>
                <w:w w:val="83"/>
              </w:rPr>
            </w:pPr>
            <w:hyperlink w:anchor="page226">
              <w:r>
                <w:rPr>
                  <w:rFonts w:ascii="Arial" w:cs="Arial" w:eastAsia="Arial" w:hAnsi="Arial"/>
                  <w:sz w:val="18"/>
                  <w:szCs w:val="18"/>
                  <w:color w:val="0000FF"/>
                  <w:w w:val="83"/>
                </w:rPr>
                <w:t>Advanced Technology</w:t>
              </w:r>
            </w:hyperlink>
          </w:p>
        </w:tc>
        <w:tc>
          <w:tcPr>
            <w:tcW w:w="840" w:type="dxa"/>
            <w:vAlign w:val="bottom"/>
          </w:tcPr>
          <w:p>
            <w:pPr>
              <w:spacing w:after="0" w:line="20" w:lineRule="exact"/>
              <w:rPr>
                <w:sz w:val="1"/>
                <w:szCs w:val="1"/>
                <w:color w:val="auto"/>
              </w:rPr>
            </w:pPr>
          </w:p>
        </w:tc>
        <w:tc>
          <w:tcPr>
            <w:tcW w:w="280" w:type="dxa"/>
            <w:vAlign w:val="bottom"/>
            <w:tcBorders>
              <w:top w:val="single" w:sz="8" w:color="0000FF"/>
            </w:tcBorders>
            <w:shd w:val="clear" w:color="auto" w:fill="0000FF"/>
          </w:tcPr>
          <w:p>
            <w:pPr>
              <w:spacing w:after="0" w:line="20" w:lineRule="exact"/>
              <w:rPr>
                <w:sz w:val="1"/>
                <w:szCs w:val="1"/>
                <w:color w:val="auto"/>
              </w:rPr>
            </w:pPr>
          </w:p>
        </w:tc>
        <w:tc>
          <w:tcPr>
            <w:tcW w:w="5500" w:type="dxa"/>
            <w:vAlign w:val="bottom"/>
            <w:tcBorders>
              <w:top w:val="single" w:sz="8" w:color="0000FF"/>
            </w:tcBorders>
            <w:gridSpan w:val="5"/>
            <w:shd w:val="clear" w:color="auto" w:fill="0000FF"/>
          </w:tcPr>
          <w:p>
            <w:pPr>
              <w:spacing w:after="0" w:line="20" w:lineRule="exact"/>
              <w:rPr>
                <w:sz w:val="1"/>
                <w:szCs w:val="1"/>
                <w:color w:val="auto"/>
              </w:rPr>
            </w:pPr>
          </w:p>
        </w:tc>
        <w:tc>
          <w:tcPr>
            <w:tcW w:w="60" w:type="dxa"/>
            <w:vAlign w:val="bottom"/>
            <w:tcBorders>
              <w:top w:val="single" w:sz="8" w:color="0000FF"/>
            </w:tcBorders>
            <w:gridSpan w:val="3"/>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40" w:type="dxa"/>
            <w:vAlign w:val="bottom"/>
            <w:gridSpan w:val="7"/>
            <w:vMerge w:val="restart"/>
          </w:tcPr>
          <w:p>
            <w:pPr>
              <w:spacing w:after="0" w:line="20" w:lineRule="exact"/>
              <w:rPr>
                <w:sz w:val="1"/>
                <w:szCs w:val="1"/>
                <w:color w:val="auto"/>
              </w:rPr>
            </w:pPr>
          </w:p>
        </w:tc>
        <w:tc>
          <w:tcPr>
            <w:tcW w:w="100" w:type="dxa"/>
            <w:vAlign w:val="bottom"/>
            <w:gridSpan w:val="5"/>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100" w:type="dxa"/>
            <w:vAlign w:val="bottom"/>
          </w:tcPr>
          <w:p>
            <w:pPr>
              <w:spacing w:after="0"/>
              <w:rPr>
                <w:sz w:val="11"/>
                <w:szCs w:val="11"/>
                <w:color w:val="auto"/>
              </w:rPr>
            </w:pPr>
          </w:p>
        </w:tc>
        <w:tc>
          <w:tcPr>
            <w:tcW w:w="1500" w:type="dxa"/>
            <w:vAlign w:val="bottom"/>
            <w:gridSpan w:val="4"/>
            <w:vMerge w:val="continue"/>
          </w:tcPr>
          <w:p>
            <w:pPr>
              <w:spacing w:after="0"/>
              <w:rPr>
                <w:sz w:val="11"/>
                <w:szCs w:val="11"/>
                <w:color w:val="auto"/>
              </w:rPr>
            </w:pPr>
          </w:p>
        </w:tc>
        <w:tc>
          <w:tcPr>
            <w:tcW w:w="6680" w:type="dxa"/>
            <w:vAlign w:val="bottom"/>
            <w:gridSpan w:val="10"/>
          </w:tcPr>
          <w:p>
            <w:pPr>
              <w:ind w:left="160"/>
              <w:spacing w:after="0" w:line="136" w:lineRule="exact"/>
              <w:rPr>
                <w:rFonts w:ascii="Arial" w:cs="Arial" w:eastAsia="Arial" w:hAnsi="Arial"/>
                <w:sz w:val="15"/>
                <w:szCs w:val="15"/>
                <w:color w:val="0000FF"/>
              </w:rPr>
            </w:pPr>
            <w:hyperlink w:anchor="page226">
              <w:r>
                <w:rPr>
                  <w:rFonts w:ascii="Arial" w:cs="Arial" w:eastAsia="Arial" w:hAnsi="Arial"/>
                  <w:sz w:val="15"/>
                  <w:szCs w:val="15"/>
                  <w:color w:val="0000FF"/>
                </w:rPr>
                <w:t>International.</w:t>
              </w:r>
            </w:hyperlink>
          </w:p>
        </w:tc>
        <w:tc>
          <w:tcPr>
            <w:tcW w:w="40" w:type="dxa"/>
            <w:vAlign w:val="bottom"/>
            <w:gridSpan w:val="2"/>
            <w:vMerge w:val="continue"/>
          </w:tcPr>
          <w:p>
            <w:pPr>
              <w:spacing w:after="0"/>
              <w:rPr>
                <w:sz w:val="11"/>
                <w:szCs w:val="11"/>
                <w:color w:val="auto"/>
              </w:rPr>
            </w:pPr>
          </w:p>
        </w:tc>
        <w:tc>
          <w:tcPr>
            <w:tcW w:w="140" w:type="dxa"/>
            <w:vAlign w:val="bottom"/>
            <w:gridSpan w:val="7"/>
            <w:vMerge w:val="continue"/>
          </w:tcPr>
          <w:p>
            <w:pPr>
              <w:spacing w:after="0"/>
              <w:rPr>
                <w:sz w:val="11"/>
                <w:szCs w:val="11"/>
                <w:color w:val="auto"/>
              </w:rPr>
            </w:pPr>
          </w:p>
        </w:tc>
        <w:tc>
          <w:tcPr>
            <w:tcW w:w="10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10.34.2**</w:t>
            </w:r>
          </w:p>
        </w:tc>
        <w:tc>
          <w:tcPr>
            <w:tcW w:w="8460" w:type="dxa"/>
            <w:vAlign w:val="bottom"/>
            <w:gridSpan w:val="28"/>
            <w:shd w:val="clear" w:color="auto" w:fill="CCEEFF"/>
          </w:tcPr>
          <w:p>
            <w:pPr>
              <w:spacing w:after="0" w:line="189" w:lineRule="exact"/>
              <w:rPr>
                <w:rFonts w:ascii="Arial" w:cs="Arial" w:eastAsia="Arial" w:hAnsi="Arial"/>
                <w:sz w:val="18"/>
                <w:szCs w:val="18"/>
                <w:color w:val="0000FF"/>
                <w:w w:val="95"/>
              </w:rPr>
            </w:pPr>
            <w:hyperlink w:anchor="page233">
              <w:r>
                <w:rPr>
                  <w:rFonts w:ascii="Arial" w:cs="Arial" w:eastAsia="Arial" w:hAnsi="Arial"/>
                  <w:sz w:val="18"/>
                  <w:szCs w:val="18"/>
                  <w:color w:val="0000FF"/>
                  <w:w w:val="95"/>
                </w:rPr>
                <w:t>Modification No. 02 to Project Agreement, dated as of November 17, 2020, by and between the Registrant and</w:t>
              </w:r>
            </w:hyperlink>
          </w:p>
        </w:tc>
        <w:tc>
          <w:tcPr>
            <w:tcW w:w="0" w:type="dxa"/>
            <w:vAlign w:val="bottom"/>
          </w:tcPr>
          <w:p>
            <w:pPr>
              <w:spacing w:after="0"/>
              <w:rPr>
                <w:sz w:val="1"/>
                <w:szCs w:val="1"/>
                <w:color w:val="auto"/>
              </w:rPr>
            </w:pPr>
          </w:p>
        </w:tc>
      </w:tr>
      <w:tr>
        <w:trPr>
          <w:trHeight w:val="156"/>
        </w:trPr>
        <w:tc>
          <w:tcPr>
            <w:tcW w:w="1100" w:type="dxa"/>
            <w:vAlign w:val="bottom"/>
            <w:tcBorders>
              <w:top w:val="single" w:sz="8" w:color="CCEEFF"/>
            </w:tcBorders>
            <w:shd w:val="clear" w:color="auto" w:fill="CCEEFF"/>
          </w:tcPr>
          <w:p>
            <w:pPr>
              <w:spacing w:after="0"/>
              <w:rPr>
                <w:sz w:val="13"/>
                <w:szCs w:val="13"/>
                <w:color w:val="auto"/>
              </w:rPr>
            </w:pPr>
          </w:p>
        </w:tc>
        <w:tc>
          <w:tcPr>
            <w:tcW w:w="8360" w:type="dxa"/>
            <w:vAlign w:val="bottom"/>
            <w:tcBorders>
              <w:top w:val="single" w:sz="8" w:color="0000FF"/>
            </w:tcBorders>
            <w:gridSpan w:val="23"/>
            <w:shd w:val="clear" w:color="auto" w:fill="CCEEFF"/>
          </w:tcPr>
          <w:p>
            <w:pPr>
              <w:spacing w:after="0" w:line="156" w:lineRule="exact"/>
              <w:rPr>
                <w:rFonts w:ascii="Arial" w:cs="Arial" w:eastAsia="Arial" w:hAnsi="Arial"/>
                <w:sz w:val="18"/>
                <w:szCs w:val="18"/>
                <w:color w:val="0000FF"/>
              </w:rPr>
            </w:pPr>
            <w:hyperlink w:anchor="page233">
              <w:r>
                <w:rPr>
                  <w:rFonts w:ascii="Arial" w:cs="Arial" w:eastAsia="Arial" w:hAnsi="Arial"/>
                  <w:sz w:val="18"/>
                  <w:szCs w:val="18"/>
                  <w:color w:val="0000FF"/>
                </w:rPr>
                <w:t>Advanced Technology International.</w:t>
              </w:r>
            </w:hyperlink>
          </w:p>
        </w:tc>
        <w:tc>
          <w:tcPr>
            <w:tcW w:w="100" w:type="dxa"/>
            <w:vAlign w:val="bottom"/>
            <w:tcBorders>
              <w:top w:val="single" w:sz="8" w:color="CCEEFF"/>
            </w:tcBorders>
            <w:gridSpan w:val="5"/>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00" w:type="dxa"/>
            <w:vAlign w:val="bottom"/>
          </w:tcPr>
          <w:p>
            <w:pPr>
              <w:ind w:left="20"/>
              <w:spacing w:after="0" w:line="189" w:lineRule="exact"/>
              <w:rPr>
                <w:sz w:val="20"/>
                <w:szCs w:val="20"/>
                <w:color w:val="auto"/>
              </w:rPr>
            </w:pPr>
            <w:r>
              <w:rPr>
                <w:rFonts w:ascii="Arial" w:cs="Arial" w:eastAsia="Arial" w:hAnsi="Arial"/>
                <w:sz w:val="18"/>
                <w:szCs w:val="18"/>
                <w:color w:val="auto"/>
              </w:rPr>
              <w:t>10.35**</w:t>
            </w:r>
          </w:p>
        </w:tc>
        <w:tc>
          <w:tcPr>
            <w:tcW w:w="8460" w:type="dxa"/>
            <w:vAlign w:val="bottom"/>
            <w:gridSpan w:val="28"/>
          </w:tcPr>
          <w:p>
            <w:pPr>
              <w:spacing w:after="0" w:line="189" w:lineRule="exact"/>
              <w:rPr>
                <w:rFonts w:ascii="Arial" w:cs="Arial" w:eastAsia="Arial" w:hAnsi="Arial"/>
                <w:sz w:val="18"/>
                <w:szCs w:val="18"/>
                <w:color w:val="0000FF"/>
                <w:w w:val="95"/>
              </w:rPr>
            </w:pPr>
            <w:hyperlink r:id="rId207">
              <w:r>
                <w:rPr>
                  <w:rFonts w:ascii="Arial" w:cs="Arial" w:eastAsia="Arial" w:hAnsi="Arial"/>
                  <w:sz w:val="18"/>
                  <w:szCs w:val="18"/>
                  <w:color w:val="0000FF"/>
                  <w:w w:val="95"/>
                </w:rPr>
                <w:t>License Agreement, dated as of August 18, 2020, by and among the Registrant, F. Hoffman-La Roche Ltd, and</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842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207">
              <w:r>
                <w:rPr>
                  <w:rFonts w:ascii="Arial" w:cs="Arial" w:eastAsia="Arial" w:hAnsi="Arial"/>
                  <w:sz w:val="18"/>
                  <w:szCs w:val="18"/>
                  <w:color w:val="0000FF"/>
                </w:rPr>
                <w:t>Genentech, Inc. (Incorporated by reference from the Form 10-Q for the Registrant, for the quarter ended</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822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207">
              <w:r>
                <w:rPr>
                  <w:rFonts w:ascii="Arial" w:cs="Arial" w:eastAsia="Arial" w:hAnsi="Arial"/>
                  <w:sz w:val="18"/>
                  <w:szCs w:val="18"/>
                  <w:color w:val="0000FF"/>
                </w:rPr>
                <w:t>September 30, 2020, filed November 5, 2020.)</w:t>
              </w:r>
            </w:hyperlink>
          </w:p>
        </w:tc>
        <w:tc>
          <w:tcPr>
            <w:tcW w:w="24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21.1</w:t>
            </w:r>
          </w:p>
        </w:tc>
        <w:tc>
          <w:tcPr>
            <w:tcW w:w="8460" w:type="dxa"/>
            <w:vAlign w:val="bottom"/>
            <w:gridSpan w:val="28"/>
            <w:shd w:val="clear" w:color="auto" w:fill="CCEEFF"/>
          </w:tcPr>
          <w:p>
            <w:pPr>
              <w:spacing w:after="0"/>
              <w:rPr>
                <w:rFonts w:ascii="Arial" w:cs="Arial" w:eastAsia="Arial" w:hAnsi="Arial"/>
                <w:sz w:val="18"/>
                <w:szCs w:val="18"/>
                <w:u w:val="single" w:color="auto"/>
                <w:color w:val="0000FF"/>
              </w:rPr>
            </w:pPr>
            <w:hyperlink w:anchor="page260">
              <w:r>
                <w:rPr>
                  <w:rFonts w:ascii="Arial" w:cs="Arial" w:eastAsia="Arial" w:hAnsi="Arial"/>
                  <w:sz w:val="18"/>
                  <w:szCs w:val="18"/>
                  <w:u w:val="single" w:color="auto"/>
                  <w:color w:val="0000FF"/>
                </w:rPr>
                <w:t>Subsidiaries of the Registrant.</w:t>
              </w:r>
            </w:hyperlink>
          </w:p>
        </w:tc>
        <w:tc>
          <w:tcPr>
            <w:tcW w:w="0" w:type="dxa"/>
            <w:vAlign w:val="bottom"/>
          </w:tcPr>
          <w:p>
            <w:pPr>
              <w:spacing w:after="0"/>
              <w:rPr>
                <w:sz w:val="1"/>
                <w:szCs w:val="1"/>
                <w:color w:val="auto"/>
              </w:rPr>
            </w:pPr>
          </w:p>
        </w:tc>
      </w:tr>
      <w:tr>
        <w:trPr>
          <w:trHeight w:val="229"/>
        </w:trPr>
        <w:tc>
          <w:tcPr>
            <w:tcW w:w="1100" w:type="dxa"/>
            <w:vAlign w:val="bottom"/>
          </w:tcPr>
          <w:p>
            <w:pPr>
              <w:ind w:left="20"/>
              <w:spacing w:after="0"/>
              <w:rPr>
                <w:sz w:val="20"/>
                <w:szCs w:val="20"/>
                <w:color w:val="auto"/>
              </w:rPr>
            </w:pPr>
            <w:r>
              <w:rPr>
                <w:rFonts w:ascii="Arial" w:cs="Arial" w:eastAsia="Arial" w:hAnsi="Arial"/>
                <w:sz w:val="18"/>
                <w:szCs w:val="18"/>
                <w:color w:val="auto"/>
              </w:rPr>
              <w:t>23.1</w:t>
            </w:r>
          </w:p>
        </w:tc>
        <w:tc>
          <w:tcPr>
            <w:tcW w:w="8460" w:type="dxa"/>
            <w:vAlign w:val="bottom"/>
            <w:gridSpan w:val="28"/>
          </w:tcPr>
          <w:p>
            <w:pPr>
              <w:spacing w:after="0"/>
              <w:rPr>
                <w:rFonts w:ascii="Arial" w:cs="Arial" w:eastAsia="Arial" w:hAnsi="Arial"/>
                <w:sz w:val="18"/>
                <w:szCs w:val="18"/>
                <w:u w:val="single" w:color="auto"/>
                <w:color w:val="0000FF"/>
              </w:rPr>
            </w:pPr>
            <w:hyperlink w:anchor="page261">
              <w:r>
                <w:rPr>
                  <w:rFonts w:ascii="Arial" w:cs="Arial" w:eastAsia="Arial" w:hAnsi="Arial"/>
                  <w:sz w:val="18"/>
                  <w:szCs w:val="18"/>
                  <w:u w:val="single" w:color="auto"/>
                  <w:color w:val="0000FF"/>
                </w:rPr>
                <w:t>Consent of PricewaterhouseCoopers LLP, Independent Registered Public Accounting Firm.</w:t>
              </w:r>
            </w:hyperlink>
          </w:p>
        </w:tc>
        <w:tc>
          <w:tcPr>
            <w:tcW w:w="0" w:type="dxa"/>
            <w:vAlign w:val="bottom"/>
          </w:tcPr>
          <w:p>
            <w:pPr>
              <w:spacing w:after="0"/>
              <w:rPr>
                <w:sz w:val="1"/>
                <w:szCs w:val="1"/>
                <w:color w:val="auto"/>
              </w:rPr>
            </w:pPr>
          </w:p>
        </w:tc>
      </w:tr>
      <w:tr>
        <w:trPr>
          <w:trHeight w:val="230"/>
        </w:trPr>
        <w:tc>
          <w:tcPr>
            <w:tcW w:w="1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24.1</w:t>
            </w:r>
          </w:p>
        </w:tc>
        <w:tc>
          <w:tcPr>
            <w:tcW w:w="8460" w:type="dxa"/>
            <w:vAlign w:val="bottom"/>
            <w:gridSpan w:val="28"/>
            <w:shd w:val="clear" w:color="auto" w:fill="CCEEFF"/>
          </w:tcPr>
          <w:p>
            <w:pPr>
              <w:spacing w:after="0"/>
              <w:rPr>
                <w:rFonts w:ascii="Arial" w:cs="Arial" w:eastAsia="Arial" w:hAnsi="Arial"/>
                <w:sz w:val="18"/>
                <w:szCs w:val="18"/>
                <w:u w:val="single" w:color="auto"/>
                <w:color w:val="0000FF"/>
              </w:rPr>
            </w:pPr>
            <w:hyperlink w:anchor="page99">
              <w:r>
                <w:rPr>
                  <w:rFonts w:ascii="Arial" w:cs="Arial" w:eastAsia="Arial" w:hAnsi="Arial"/>
                  <w:sz w:val="18"/>
                  <w:szCs w:val="18"/>
                  <w:u w:val="single" w:color="auto"/>
                  <w:color w:val="0000FF"/>
                </w:rPr>
                <w:t>Power of Attorney (included on the signature page of this Annual Report on Form 10-K).</w:t>
              </w:r>
            </w:hyperlink>
          </w:p>
        </w:tc>
        <w:tc>
          <w:tcPr>
            <w:tcW w:w="0" w:type="dxa"/>
            <w:vAlign w:val="bottom"/>
          </w:tcPr>
          <w:p>
            <w:pPr>
              <w:spacing w:after="0"/>
              <w:rPr>
                <w:sz w:val="1"/>
                <w:szCs w:val="1"/>
                <w:color w:val="auto"/>
              </w:rPr>
            </w:pPr>
          </w:p>
        </w:tc>
      </w:tr>
      <w:tr>
        <w:trPr>
          <w:trHeight w:val="189"/>
        </w:trPr>
        <w:tc>
          <w:tcPr>
            <w:tcW w:w="1100" w:type="dxa"/>
            <w:vAlign w:val="bottom"/>
          </w:tcPr>
          <w:p>
            <w:pPr>
              <w:ind w:left="20"/>
              <w:spacing w:after="0" w:line="189" w:lineRule="exact"/>
              <w:rPr>
                <w:sz w:val="20"/>
                <w:szCs w:val="20"/>
                <w:color w:val="auto"/>
              </w:rPr>
            </w:pPr>
            <w:r>
              <w:rPr>
                <w:rFonts w:ascii="Arial" w:cs="Arial" w:eastAsia="Arial" w:hAnsi="Arial"/>
                <w:sz w:val="18"/>
                <w:szCs w:val="18"/>
                <w:color w:val="auto"/>
              </w:rPr>
              <w:t>31.1</w:t>
            </w:r>
          </w:p>
        </w:tc>
        <w:tc>
          <w:tcPr>
            <w:tcW w:w="8460" w:type="dxa"/>
            <w:vAlign w:val="bottom"/>
            <w:gridSpan w:val="28"/>
          </w:tcPr>
          <w:p>
            <w:pPr>
              <w:spacing w:after="0" w:line="189" w:lineRule="exact"/>
              <w:rPr>
                <w:rFonts w:ascii="Arial" w:cs="Arial" w:eastAsia="Arial" w:hAnsi="Arial"/>
                <w:sz w:val="18"/>
                <w:szCs w:val="18"/>
                <w:color w:val="0000FF"/>
                <w:w w:val="99"/>
              </w:rPr>
            </w:pPr>
            <w:hyperlink w:anchor="page262">
              <w:r>
                <w:rPr>
                  <w:rFonts w:ascii="Arial" w:cs="Arial" w:eastAsia="Arial" w:hAnsi="Arial"/>
                  <w:sz w:val="18"/>
                  <w:szCs w:val="18"/>
                  <w:color w:val="0000FF"/>
                  <w:w w:val="99"/>
                </w:rPr>
                <w:t>Certification of Principal Executive Officer pursuant to Rule 13a-14(a) under the Securities Exchange Act of</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262">
              <w:r>
                <w:rPr>
                  <w:rFonts w:ascii="Arial" w:cs="Arial" w:eastAsia="Arial" w:hAnsi="Arial"/>
                  <w:sz w:val="18"/>
                  <w:szCs w:val="18"/>
                  <w:color w:val="0000FF"/>
                  <w:w w:val="84"/>
                </w:rPr>
                <w:t>1934.</w:t>
              </w:r>
            </w:hyperlink>
          </w:p>
        </w:tc>
        <w:tc>
          <w:tcPr>
            <w:tcW w:w="5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1520" w:type="dxa"/>
            <w:vAlign w:val="bottom"/>
            <w:tcBorders>
              <w:top w:val="single" w:sz="8" w:color="0000FF"/>
            </w:tcBorders>
          </w:tcPr>
          <w:p>
            <w:pPr>
              <w:spacing w:after="0"/>
              <w:rPr>
                <w:sz w:val="13"/>
                <w:szCs w:val="13"/>
                <w:color w:val="auto"/>
              </w:rPr>
            </w:pPr>
          </w:p>
        </w:tc>
        <w:tc>
          <w:tcPr>
            <w:tcW w:w="1340" w:type="dxa"/>
            <w:vAlign w:val="bottom"/>
            <w:tcBorders>
              <w:top w:val="single" w:sz="8" w:color="0000FF"/>
            </w:tcBorders>
          </w:tcPr>
          <w:p>
            <w:pPr>
              <w:spacing w:after="0"/>
              <w:rPr>
                <w:sz w:val="13"/>
                <w:szCs w:val="13"/>
                <w:color w:val="auto"/>
              </w:rPr>
            </w:pPr>
          </w:p>
        </w:tc>
        <w:tc>
          <w:tcPr>
            <w:tcW w:w="19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31.2</w:t>
            </w:r>
          </w:p>
        </w:tc>
        <w:tc>
          <w:tcPr>
            <w:tcW w:w="8460" w:type="dxa"/>
            <w:vAlign w:val="bottom"/>
            <w:gridSpan w:val="28"/>
            <w:shd w:val="clear" w:color="auto" w:fill="CCEEFF"/>
          </w:tcPr>
          <w:p>
            <w:pPr>
              <w:spacing w:after="0" w:line="189" w:lineRule="exact"/>
              <w:rPr>
                <w:rFonts w:ascii="Arial" w:cs="Arial" w:eastAsia="Arial" w:hAnsi="Arial"/>
                <w:sz w:val="18"/>
                <w:szCs w:val="18"/>
                <w:color w:val="0000FF"/>
                <w:w w:val="99"/>
              </w:rPr>
            </w:pPr>
            <w:hyperlink w:anchor="page263">
              <w:r>
                <w:rPr>
                  <w:rFonts w:ascii="Arial" w:cs="Arial" w:eastAsia="Arial" w:hAnsi="Arial"/>
                  <w:sz w:val="18"/>
                  <w:szCs w:val="18"/>
                  <w:color w:val="0000FF"/>
                  <w:w w:val="99"/>
                </w:rPr>
                <w:t>Certification of Principal Financial Officer pursuant to Rule 13a-14(a) under the Securities Exchange Act of</w:t>
              </w:r>
            </w:hyperlink>
          </w:p>
        </w:tc>
        <w:tc>
          <w:tcPr>
            <w:tcW w:w="0" w:type="dxa"/>
            <w:vAlign w:val="bottom"/>
          </w:tcPr>
          <w:p>
            <w:pPr>
              <w:spacing w:after="0"/>
              <w:rPr>
                <w:sz w:val="1"/>
                <w:szCs w:val="1"/>
                <w:color w:val="auto"/>
              </w:rPr>
            </w:pPr>
          </w:p>
        </w:tc>
      </w:tr>
      <w:tr>
        <w:trPr>
          <w:trHeight w:val="155"/>
        </w:trPr>
        <w:tc>
          <w:tcPr>
            <w:tcW w:w="1100" w:type="dxa"/>
            <w:vAlign w:val="bottom"/>
            <w:tcBorders>
              <w:top w:val="single" w:sz="8" w:color="CCEEFF"/>
              <w:bottom w:val="single" w:sz="8" w:color="CCEEFF"/>
            </w:tcBorders>
            <w:shd w:val="clear" w:color="auto" w:fill="CCEEFF"/>
          </w:tcPr>
          <w:p>
            <w:pPr>
              <w:spacing w:after="0"/>
              <w:rPr>
                <w:sz w:val="13"/>
                <w:szCs w:val="13"/>
                <w:color w:val="auto"/>
              </w:rPr>
            </w:pPr>
          </w:p>
        </w:tc>
        <w:tc>
          <w:tcPr>
            <w:tcW w:w="400" w:type="dxa"/>
            <w:vAlign w:val="bottom"/>
            <w:tcBorders>
              <w:top w:val="single" w:sz="8" w:color="0000FF"/>
              <w:bottom w:val="single" w:sz="8" w:color="0000FF"/>
            </w:tcBorders>
            <w:shd w:val="clear" w:color="auto" w:fill="CCEEFF"/>
          </w:tcPr>
          <w:p>
            <w:pPr>
              <w:spacing w:after="0" w:line="156" w:lineRule="exact"/>
              <w:rPr>
                <w:rFonts w:ascii="Arial" w:cs="Arial" w:eastAsia="Arial" w:hAnsi="Arial"/>
                <w:sz w:val="18"/>
                <w:szCs w:val="18"/>
                <w:color w:val="0000FF"/>
                <w:w w:val="84"/>
              </w:rPr>
            </w:pPr>
            <w:hyperlink w:anchor="page263">
              <w:r>
                <w:rPr>
                  <w:rFonts w:ascii="Arial" w:cs="Arial" w:eastAsia="Arial" w:hAnsi="Arial"/>
                  <w:sz w:val="18"/>
                  <w:szCs w:val="18"/>
                  <w:color w:val="0000FF"/>
                  <w:w w:val="84"/>
                </w:rPr>
                <w:t>1934.</w:t>
              </w:r>
            </w:hyperlink>
          </w:p>
        </w:tc>
        <w:tc>
          <w:tcPr>
            <w:tcW w:w="560" w:type="dxa"/>
            <w:vAlign w:val="bottom"/>
            <w:tcBorders>
              <w:top w:val="single" w:sz="8" w:color="0000FF"/>
              <w:bottom w:val="single" w:sz="8" w:color="CCEEFF"/>
            </w:tcBorders>
            <w:shd w:val="clear" w:color="auto" w:fill="CCEEFF"/>
          </w:tcPr>
          <w:p>
            <w:pPr>
              <w:spacing w:after="0"/>
              <w:rPr>
                <w:sz w:val="13"/>
                <w:szCs w:val="13"/>
                <w:color w:val="auto"/>
              </w:rPr>
            </w:pPr>
          </w:p>
        </w:tc>
        <w:tc>
          <w:tcPr>
            <w:tcW w:w="240" w:type="dxa"/>
            <w:vAlign w:val="bottom"/>
            <w:tcBorders>
              <w:top w:val="single" w:sz="8" w:color="0000FF"/>
              <w:bottom w:val="single" w:sz="8" w:color="CCEEFF"/>
            </w:tcBorders>
            <w:shd w:val="clear" w:color="auto" w:fill="CCEEFF"/>
          </w:tcPr>
          <w:p>
            <w:pPr>
              <w:spacing w:after="0"/>
              <w:rPr>
                <w:sz w:val="13"/>
                <w:szCs w:val="13"/>
                <w:color w:val="auto"/>
              </w:rPr>
            </w:pPr>
          </w:p>
        </w:tc>
        <w:tc>
          <w:tcPr>
            <w:tcW w:w="300" w:type="dxa"/>
            <w:vAlign w:val="bottom"/>
            <w:tcBorders>
              <w:top w:val="single" w:sz="8" w:color="0000FF"/>
              <w:bottom w:val="single" w:sz="8" w:color="CCEEFF"/>
            </w:tcBorders>
            <w:shd w:val="clear" w:color="auto" w:fill="CCEEFF"/>
          </w:tcPr>
          <w:p>
            <w:pPr>
              <w:spacing w:after="0"/>
              <w:rPr>
                <w:sz w:val="13"/>
                <w:szCs w:val="13"/>
                <w:color w:val="auto"/>
              </w:rPr>
            </w:pPr>
          </w:p>
        </w:tc>
        <w:tc>
          <w:tcPr>
            <w:tcW w:w="840" w:type="dxa"/>
            <w:vAlign w:val="bottom"/>
            <w:tcBorders>
              <w:top w:val="single" w:sz="8" w:color="0000FF"/>
              <w:bottom w:val="single" w:sz="8" w:color="CCEEFF"/>
            </w:tcBorders>
            <w:shd w:val="clear" w:color="auto" w:fill="CCEEFF"/>
          </w:tcPr>
          <w:p>
            <w:pPr>
              <w:spacing w:after="0"/>
              <w:rPr>
                <w:sz w:val="13"/>
                <w:szCs w:val="13"/>
                <w:color w:val="auto"/>
              </w:rPr>
            </w:pPr>
          </w:p>
        </w:tc>
        <w:tc>
          <w:tcPr>
            <w:tcW w:w="280" w:type="dxa"/>
            <w:vAlign w:val="bottom"/>
            <w:tcBorders>
              <w:top w:val="single" w:sz="8" w:color="0000FF"/>
              <w:bottom w:val="single" w:sz="8" w:color="CCEEFF"/>
            </w:tcBorders>
            <w:shd w:val="clear" w:color="auto" w:fill="CCEEFF"/>
          </w:tcPr>
          <w:p>
            <w:pPr>
              <w:spacing w:after="0"/>
              <w:rPr>
                <w:sz w:val="13"/>
                <w:szCs w:val="13"/>
                <w:color w:val="auto"/>
              </w:rPr>
            </w:pPr>
          </w:p>
        </w:tc>
        <w:tc>
          <w:tcPr>
            <w:tcW w:w="60" w:type="dxa"/>
            <w:vAlign w:val="bottom"/>
            <w:tcBorders>
              <w:top w:val="single" w:sz="8" w:color="0000FF"/>
              <w:bottom w:val="single" w:sz="8" w:color="CCEEFF"/>
            </w:tcBorders>
            <w:shd w:val="clear" w:color="auto" w:fill="CCEEFF"/>
          </w:tcPr>
          <w:p>
            <w:pPr>
              <w:spacing w:after="0"/>
              <w:rPr>
                <w:sz w:val="13"/>
                <w:szCs w:val="13"/>
                <w:color w:val="auto"/>
              </w:rPr>
            </w:pPr>
          </w:p>
        </w:tc>
        <w:tc>
          <w:tcPr>
            <w:tcW w:w="660" w:type="dxa"/>
            <w:vAlign w:val="bottom"/>
            <w:tcBorders>
              <w:top w:val="single" w:sz="8" w:color="0000FF"/>
              <w:bottom w:val="single" w:sz="8" w:color="CCEEFF"/>
            </w:tcBorders>
            <w:shd w:val="clear" w:color="auto" w:fill="CCEEFF"/>
          </w:tcPr>
          <w:p>
            <w:pPr>
              <w:spacing w:after="0"/>
              <w:rPr>
                <w:sz w:val="13"/>
                <w:szCs w:val="13"/>
                <w:color w:val="auto"/>
              </w:rPr>
            </w:pPr>
          </w:p>
        </w:tc>
        <w:tc>
          <w:tcPr>
            <w:tcW w:w="1520" w:type="dxa"/>
            <w:vAlign w:val="bottom"/>
            <w:tcBorders>
              <w:top w:val="single" w:sz="8" w:color="0000FF"/>
              <w:bottom w:val="single" w:sz="8" w:color="CCEEFF"/>
            </w:tcBorders>
            <w:shd w:val="clear" w:color="auto" w:fill="CCEEFF"/>
          </w:tcPr>
          <w:p>
            <w:pPr>
              <w:spacing w:after="0"/>
              <w:rPr>
                <w:sz w:val="13"/>
                <w:szCs w:val="13"/>
                <w:color w:val="auto"/>
              </w:rPr>
            </w:pPr>
          </w:p>
        </w:tc>
        <w:tc>
          <w:tcPr>
            <w:tcW w:w="1340" w:type="dxa"/>
            <w:vAlign w:val="bottom"/>
            <w:tcBorders>
              <w:top w:val="single" w:sz="8" w:color="0000FF"/>
              <w:bottom w:val="single" w:sz="8" w:color="CCEEFF"/>
            </w:tcBorders>
            <w:shd w:val="clear" w:color="auto" w:fill="CCEEFF"/>
          </w:tcPr>
          <w:p>
            <w:pPr>
              <w:spacing w:after="0"/>
              <w:rPr>
                <w:sz w:val="13"/>
                <w:szCs w:val="13"/>
                <w:color w:val="auto"/>
              </w:rPr>
            </w:pPr>
          </w:p>
        </w:tc>
        <w:tc>
          <w:tcPr>
            <w:tcW w:w="1920" w:type="dxa"/>
            <w:vAlign w:val="bottom"/>
            <w:tcBorders>
              <w:top w:val="single" w:sz="8" w:color="0000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100" w:hanging="1089"/>
        <w:spacing w:after="0"/>
        <w:tabs>
          <w:tab w:leader="none" w:pos="2100" w:val="left"/>
        </w:tabs>
        <w:numPr>
          <w:ilvl w:val="0"/>
          <w:numId w:val="49"/>
        </w:numPr>
        <w:rPr>
          <w:rFonts w:ascii="Arial" w:cs="Arial" w:eastAsia="Arial" w:hAnsi="Arial"/>
          <w:sz w:val="17"/>
          <w:szCs w:val="17"/>
          <w:u w:val="single" w:color="auto"/>
          <w:color w:val="0000FF"/>
        </w:rPr>
      </w:pPr>
      <w:hyperlink w:anchor="page264">
        <w:r>
          <w:rPr>
            <w:rFonts w:ascii="Arial" w:cs="Arial" w:eastAsia="Arial" w:hAnsi="Arial"/>
            <w:sz w:val="17"/>
            <w:szCs w:val="17"/>
            <w:u w:val="single" w:color="auto"/>
            <w:color w:val="0000FF"/>
          </w:rPr>
          <w:t>Certification of Principal Executive Officer and Principal Financial Officer pursuant to 18 U.S.C. Section 1350.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21590</wp:posOffset>
            </wp:positionV>
            <wp:extent cx="5880735" cy="8140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08">
                      <a:extLst>
                        <a:ext uri="{28A0092B-C50C-407E-A947-70E740481C1C}"/>
                      </a:extLst>
                    </a:blip>
                    <a:srcRect/>
                    <a:stretch>
                      <a:fillRect/>
                    </a:stretch>
                  </pic:blipFill>
                  <pic:spPr bwMode="auto">
                    <a:xfrm>
                      <a:off x="0" y="0"/>
                      <a:ext cx="5880735" cy="814070"/>
                    </a:xfrm>
                    <a:prstGeom prst="rect">
                      <a:avLst/>
                    </a:prstGeom>
                    <a:noFill/>
                  </pic:spPr>
                </pic:pic>
              </a:graphicData>
            </a:graphic>
          </wp:anchor>
        </w:drawing>
      </w:r>
    </w:p>
    <w:p>
      <w:pPr>
        <w:spacing w:after="0" w:line="14" w:lineRule="exact"/>
        <w:rPr>
          <w:sz w:val="20"/>
          <w:szCs w:val="20"/>
          <w:color w:val="auto"/>
        </w:rPr>
      </w:pPr>
    </w:p>
    <w:p>
      <w:pPr>
        <w:jc w:val="both"/>
        <w:ind w:left="2100" w:right="460" w:hanging="1089"/>
        <w:spacing w:after="0" w:line="238" w:lineRule="auto"/>
        <w:tabs>
          <w:tab w:leader="none" w:pos="21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Interactive Data Files pursuant to Rule 405 of Regulation S-T formatted in Inline Extensible Business Reporting Language ("Inline XBRL"): (i) the Registrant's Consolidated Balance Sheets as of December 31, 2020 and 2019;</w:t>
      </w:r>
    </w:p>
    <w:p>
      <w:pPr>
        <w:spacing w:after="0" w:line="1" w:lineRule="exact"/>
        <w:rPr>
          <w:rFonts w:ascii="Arial" w:cs="Arial" w:eastAsia="Arial" w:hAnsi="Arial"/>
          <w:sz w:val="16"/>
          <w:szCs w:val="16"/>
          <w:color w:val="auto"/>
        </w:rPr>
      </w:pPr>
    </w:p>
    <w:p>
      <w:pPr>
        <w:jc w:val="both"/>
        <w:ind w:left="2100" w:right="460" w:hanging="9"/>
        <w:spacing w:after="0" w:line="212" w:lineRule="auto"/>
        <w:tabs>
          <w:tab w:leader="none" w:pos="2398"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Registrant's Consolidated Statements of Operations and Comprehensive Income for the years ended December 31, 2020, 2019, and 2018; (iii) the Registrant's Consolidated Statements of Stockholders’ Equity for the years ended December 31, 2020, 2019, and 2018; (iv) the Registrant's Consolidated Statements of Cash Flows for the years ended December 31, 2020, 2019, and 2018; and (v) the notes to the Registrant's Consolidated Financial Statements.</w:t>
      </w:r>
    </w:p>
    <w:p>
      <w:pPr>
        <w:spacing w:after="0" w:line="2" w:lineRule="exact"/>
        <w:rPr>
          <w:sz w:val="20"/>
          <w:szCs w:val="20"/>
          <w:color w:val="auto"/>
        </w:rPr>
      </w:pPr>
    </w:p>
    <w:p>
      <w:pPr>
        <w:ind w:left="2100" w:hanging="1089"/>
        <w:spacing w:after="0"/>
        <w:tabs>
          <w:tab w:leader="none" w:pos="2100" w:val="left"/>
        </w:tabs>
        <w:numPr>
          <w:ilvl w:val="2"/>
          <w:numId w:val="5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2"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_______</w:t>
      </w:r>
    </w:p>
    <w:p>
      <w:pPr>
        <w:spacing w:after="0" w:line="242" w:lineRule="exact"/>
        <w:rPr>
          <w:rFonts w:ascii="Arial" w:cs="Arial" w:eastAsia="Arial" w:hAnsi="Arial"/>
          <w:sz w:val="18"/>
          <w:szCs w:val="18"/>
          <w:color w:val="auto"/>
        </w:rPr>
      </w:pPr>
    </w:p>
    <w:p>
      <w:pPr>
        <w:ind w:left="280"/>
        <w:spacing w:after="0"/>
        <w:rPr>
          <w:rFonts w:ascii="Arial" w:cs="Arial" w:eastAsia="Arial" w:hAnsi="Arial"/>
          <w:sz w:val="18"/>
          <w:szCs w:val="18"/>
          <w:color w:val="auto"/>
        </w:rPr>
      </w:pPr>
      <w:r>
        <w:rPr>
          <w:rFonts w:ascii="Arial" w:cs="Arial" w:eastAsia="Arial" w:hAnsi="Arial"/>
          <w:sz w:val="14"/>
          <w:szCs w:val="14"/>
          <w:color w:val="auto"/>
        </w:rPr>
        <w:t>*  Portions of this document have been omitted and filed separately with the Commission pursuant to requests for confidential treatment pursuant to Rule 24b-2</w:t>
      </w:r>
    </w:p>
    <w:p>
      <w:pPr>
        <w:spacing w:after="0" w:line="55" w:lineRule="exact"/>
        <w:rPr>
          <w:rFonts w:ascii="Arial" w:cs="Arial" w:eastAsia="Arial" w:hAnsi="Arial"/>
          <w:sz w:val="18"/>
          <w:szCs w:val="18"/>
          <w:color w:val="auto"/>
        </w:rPr>
      </w:pPr>
    </w:p>
    <w:p>
      <w:pPr>
        <w:ind w:left="520" w:hanging="314"/>
        <w:spacing w:after="0"/>
        <w:tabs>
          <w:tab w:leader="none" w:pos="5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Certain confidential portions of this exhibit were omitted in accordance with Item 601(b)(10) of Regulation S-K</w:t>
      </w:r>
    </w:p>
    <w:p>
      <w:pPr>
        <w:spacing w:after="0" w:line="32" w:lineRule="exact"/>
        <w:rPr>
          <w:rFonts w:ascii="Arial" w:cs="Arial" w:eastAsia="Arial" w:hAnsi="Arial"/>
          <w:sz w:val="16"/>
          <w:szCs w:val="16"/>
          <w:color w:val="auto"/>
        </w:rPr>
      </w:pPr>
    </w:p>
    <w:p>
      <w:pPr>
        <w:ind w:left="520" w:hanging="243"/>
        <w:spacing w:after="0"/>
        <w:tabs>
          <w:tab w:leader="none" w:pos="520" w:val="left"/>
        </w:tabs>
        <w:numPr>
          <w:ilvl w:val="1"/>
          <w:numId w:val="52"/>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 or arrangement</w:t>
      </w:r>
    </w:p>
    <w:p>
      <w:pPr>
        <w:spacing w:after="0" w:line="200" w:lineRule="exact"/>
        <w:rPr>
          <w:sz w:val="20"/>
          <w:szCs w:val="20"/>
          <w:color w:val="auto"/>
        </w:rPr>
      </w:pPr>
    </w:p>
    <w:p>
      <w:pPr>
        <w:spacing w:after="0" w:line="246"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0"/>
          </w:cols>
          <w:pgMar w:left="320" w:top="130" w:right="879" w:bottom="1440" w:gutter="0" w:footer="0" w:header="0"/>
        </w:sectPr>
      </w:pPr>
    </w:p>
    <w:bookmarkStart w:id="98" w:name="page99"/>
    <w:bookmarkEnd w:id="9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0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sectPr>
      </w:pPr>
    </w:p>
    <w:bookmarkStart w:id="99" w:name="page100"/>
    <w:bookmarkEnd w:id="9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1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7020" w:type="dxa"/>
            <w:vAlign w:val="bottom"/>
            <w:gridSpan w:val="4"/>
          </w:tcPr>
          <w:p>
            <w:pPr>
              <w:spacing w:after="0"/>
              <w:rPr>
                <w:sz w:val="20"/>
                <w:szCs w:val="20"/>
                <w:color w:val="auto"/>
              </w:rPr>
            </w:pPr>
            <w:r>
              <w:rPr>
                <w:rFonts w:ascii="Arial" w:cs="Arial" w:eastAsia="Arial" w:hAnsi="Arial"/>
                <w:sz w:val="18"/>
                <w:szCs w:val="18"/>
                <w:color w:val="auto"/>
              </w:rPr>
              <w:t>REGENERON PHARMACEUTICALS, INC.</w:t>
            </w:r>
          </w:p>
        </w:tc>
      </w:tr>
      <w:tr>
        <w:trPr>
          <w:trHeight w:val="479"/>
        </w:trPr>
        <w:tc>
          <w:tcPr>
            <w:tcW w:w="600" w:type="dxa"/>
            <w:vAlign w:val="bottom"/>
          </w:tcPr>
          <w:p>
            <w:pPr>
              <w:ind w:left="20"/>
              <w:spacing w:after="0"/>
              <w:rPr>
                <w:sz w:val="20"/>
                <w:szCs w:val="20"/>
                <w:color w:val="auto"/>
              </w:rPr>
            </w:pPr>
            <w:r>
              <w:rPr>
                <w:rFonts w:ascii="Arial" w:cs="Arial" w:eastAsia="Arial" w:hAnsi="Arial"/>
                <w:sz w:val="18"/>
                <w:szCs w:val="18"/>
                <w:color w:val="auto"/>
              </w:rPr>
              <w:t>Date:</w:t>
            </w:r>
          </w:p>
        </w:tc>
        <w:tc>
          <w:tcPr>
            <w:tcW w:w="3620" w:type="dxa"/>
            <w:vAlign w:val="bottom"/>
          </w:tcPr>
          <w:p>
            <w:pPr>
              <w:ind w:left="180"/>
              <w:spacing w:after="0"/>
              <w:rPr>
                <w:sz w:val="20"/>
                <w:szCs w:val="20"/>
                <w:color w:val="auto"/>
              </w:rPr>
            </w:pPr>
            <w:r>
              <w:rPr>
                <w:rFonts w:ascii="Arial" w:cs="Arial" w:eastAsia="Arial" w:hAnsi="Arial"/>
                <w:sz w:val="18"/>
                <w:szCs w:val="18"/>
                <w:color w:val="auto"/>
              </w:rPr>
              <w:t>February 8, 2021</w:t>
            </w:r>
          </w:p>
        </w:tc>
        <w:tc>
          <w:tcPr>
            <w:tcW w:w="33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By:   /s/ LEONARD S. SCHLEIFER</w:t>
            </w:r>
          </w:p>
        </w:tc>
        <w:tc>
          <w:tcPr>
            <w:tcW w:w="370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r>
      <w:tr>
        <w:trPr>
          <w:trHeight w:val="249"/>
        </w:trPr>
        <w:tc>
          <w:tcPr>
            <w:tcW w:w="6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500" w:type="dxa"/>
            <w:vAlign w:val="bottom"/>
            <w:gridSpan w:val="3"/>
          </w:tcPr>
          <w:p>
            <w:pPr>
              <w:spacing w:after="0"/>
              <w:rPr>
                <w:sz w:val="20"/>
                <w:szCs w:val="20"/>
                <w:color w:val="auto"/>
              </w:rPr>
            </w:pPr>
            <w:r>
              <w:rPr>
                <w:rFonts w:ascii="Arial" w:cs="Arial" w:eastAsia="Arial" w:hAnsi="Arial"/>
                <w:sz w:val="18"/>
                <w:szCs w:val="18"/>
                <w:color w:val="auto"/>
              </w:rPr>
              <w:t>Leonard S. Schleifer, M.D., Ph.D.</w:t>
            </w:r>
          </w:p>
        </w:tc>
      </w:tr>
      <w:tr>
        <w:trPr>
          <w:trHeight w:val="230"/>
        </w:trPr>
        <w:tc>
          <w:tcPr>
            <w:tcW w:w="6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50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r>
      <w:tr>
        <w:trPr>
          <w:trHeight w:val="918"/>
        </w:trPr>
        <w:tc>
          <w:tcPr>
            <w:tcW w:w="6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780" w:type="dxa"/>
            <w:vAlign w:val="bottom"/>
            <w:gridSpan w:val="2"/>
          </w:tcPr>
          <w:p>
            <w:pPr>
              <w:jc w:val="right"/>
              <w:ind w:right="1190"/>
              <w:spacing w:after="0"/>
              <w:rPr>
                <w:sz w:val="20"/>
                <w:szCs w:val="20"/>
                <w:color w:val="auto"/>
              </w:rPr>
            </w:pPr>
            <w:r>
              <w:rPr>
                <w:rFonts w:ascii="Arial" w:cs="Arial" w:eastAsia="Arial" w:hAnsi="Arial"/>
                <w:sz w:val="18"/>
                <w:szCs w:val="18"/>
                <w:color w:val="auto"/>
              </w:rPr>
              <w:t>99</w:t>
            </w:r>
          </w:p>
        </w:tc>
        <w:tc>
          <w:tcPr>
            <w:tcW w:w="5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358"/>
        </w:trPr>
        <w:tc>
          <w:tcPr>
            <w:tcW w:w="60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0" w:name="page101"/>
    <w:bookmarkEnd w:id="10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4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Leonard S. Schleifer, President and Chief Executive Officer, and Robert E. Landry, Executive Vice President, Finance and Chief Financial Officer, and each of them, his or her true and lawful attorney-in-fact and agent, with the full power of substitution and resubstitution, for him or her and in his or her name, place, and stead, in any and all capacities therewith, to sign any and all amendments to this Annual Report on Form 10-K, and to file the same, with all exhibits thereto, and other documents in connection therewith, with the Securities and Exchange Commission, granting unto each said attorney-in-fact and agent full power and authority to do and perform each and every act and thing requisite and necessary to be done, as fully to all intents and purposes as such person might or could do in person, hereby ratifying and confirming all that each said attorney-in-fact and agent, or either of them, or their or his substitute or substitutes, may lawfully do or cause to be done by virtue hereof.</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10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4360" w:type="dxa"/>
            <w:vAlign w:val="bottom"/>
            <w:gridSpan w:val="3"/>
          </w:tcPr>
          <w:p>
            <w:pPr>
              <w:ind w:left="2120"/>
              <w:spacing w:after="0"/>
              <w:rPr>
                <w:sz w:val="20"/>
                <w:szCs w:val="20"/>
                <w:color w:val="auto"/>
              </w:rPr>
            </w:pPr>
            <w:r>
              <w:rPr>
                <w:rFonts w:ascii="Arial" w:cs="Arial" w:eastAsia="Arial" w:hAnsi="Arial"/>
                <w:sz w:val="18"/>
                <w:szCs w:val="18"/>
                <w:b w:val="1"/>
                <w:bCs w:val="1"/>
                <w:color w:val="auto"/>
              </w:rPr>
              <w:t>Title</w:t>
            </w:r>
          </w:p>
        </w:tc>
        <w:tc>
          <w:tcPr>
            <w:tcW w:w="23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7"/>
              </w:rPr>
              <w:t>Date</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3700" w:type="dxa"/>
            <w:vAlign w:val="bottom"/>
            <w:gridSpan w:val="3"/>
            <w:vMerge w:val="restart"/>
          </w:tcPr>
          <w:p>
            <w:pPr>
              <w:ind w:left="460"/>
              <w:spacing w:after="0"/>
              <w:rPr>
                <w:sz w:val="20"/>
                <w:szCs w:val="20"/>
                <w:color w:val="auto"/>
              </w:rPr>
            </w:pPr>
            <w:r>
              <w:rPr>
                <w:rFonts w:ascii="Arial" w:cs="Arial" w:eastAsia="Arial" w:hAnsi="Arial"/>
                <w:sz w:val="18"/>
                <w:szCs w:val="18"/>
                <w:color w:val="auto"/>
              </w:rPr>
              <w:t>/s/ LEONARD S. SCHLEIFER</w:t>
            </w:r>
          </w:p>
        </w:tc>
        <w:tc>
          <w:tcPr>
            <w:tcW w:w="4360" w:type="dxa"/>
            <w:vAlign w:val="bottom"/>
            <w:gridSpan w:val="3"/>
          </w:tcPr>
          <w:p>
            <w:pPr>
              <w:ind w:left="540"/>
              <w:spacing w:after="0" w:line="196" w:lineRule="exact"/>
              <w:rPr>
                <w:sz w:val="20"/>
                <w:szCs w:val="20"/>
                <w:color w:val="auto"/>
              </w:rPr>
            </w:pPr>
            <w:r>
              <w:rPr>
                <w:rFonts w:ascii="Arial" w:cs="Arial" w:eastAsia="Arial" w:hAnsi="Arial"/>
                <w:sz w:val="18"/>
                <w:szCs w:val="18"/>
                <w:i w:val="1"/>
                <w:iCs w:val="1"/>
                <w:color w:val="auto"/>
              </w:rPr>
              <w:t>President, Chief Executive Officer, and Director</w:t>
            </w:r>
          </w:p>
        </w:tc>
        <w:tc>
          <w:tcPr>
            <w:tcW w:w="2320" w:type="dxa"/>
            <w:vAlign w:val="bottom"/>
            <w:gridSpan w:val="3"/>
            <w:vMerge w:val="restart"/>
          </w:tcPr>
          <w:p>
            <w:pPr>
              <w:jc w:val="center"/>
              <w:ind w:right="380"/>
              <w:spacing w:after="0"/>
              <w:rPr>
                <w:sz w:val="20"/>
                <w:szCs w:val="20"/>
                <w:color w:val="auto"/>
              </w:rPr>
            </w:pPr>
            <w:r>
              <w:rPr>
                <w:rFonts w:ascii="Arial" w:cs="Arial" w:eastAsia="Arial" w:hAnsi="Arial"/>
                <w:sz w:val="18"/>
                <w:szCs w:val="18"/>
                <w:color w:val="auto"/>
                <w:w w:val="88"/>
              </w:rPr>
              <w:t>February 8, 2021</w:t>
            </w:r>
          </w:p>
        </w:tc>
        <w:tc>
          <w:tcPr>
            <w:tcW w:w="0" w:type="dxa"/>
            <w:vAlign w:val="bottom"/>
          </w:tcPr>
          <w:p>
            <w:pPr>
              <w:spacing w:after="0"/>
              <w:rPr>
                <w:sz w:val="1"/>
                <w:szCs w:val="1"/>
                <w:color w:val="auto"/>
              </w:rPr>
            </w:pPr>
          </w:p>
        </w:tc>
      </w:tr>
      <w:tr>
        <w:trPr>
          <w:trHeight w:val="234"/>
        </w:trPr>
        <w:tc>
          <w:tcPr>
            <w:tcW w:w="860" w:type="dxa"/>
            <w:vAlign w:val="bottom"/>
          </w:tcPr>
          <w:p>
            <w:pPr>
              <w:spacing w:after="0"/>
              <w:rPr>
                <w:sz w:val="19"/>
                <w:szCs w:val="19"/>
                <w:color w:val="auto"/>
              </w:rPr>
            </w:pPr>
          </w:p>
        </w:tc>
        <w:tc>
          <w:tcPr>
            <w:tcW w:w="3700" w:type="dxa"/>
            <w:vAlign w:val="bottom"/>
            <w:tcBorders>
              <w:bottom w:val="single" w:sz="8" w:color="auto"/>
            </w:tcBorders>
            <w:gridSpan w:val="3"/>
            <w:vMerge w:val="continue"/>
          </w:tcPr>
          <w:p>
            <w:pPr>
              <w:spacing w:after="0"/>
              <w:rPr>
                <w:sz w:val="19"/>
                <w:szCs w:val="19"/>
                <w:color w:val="auto"/>
              </w:rPr>
            </w:pPr>
          </w:p>
        </w:tc>
        <w:tc>
          <w:tcPr>
            <w:tcW w:w="4360" w:type="dxa"/>
            <w:vAlign w:val="bottom"/>
            <w:gridSpan w:val="3"/>
          </w:tcPr>
          <w:p>
            <w:pPr>
              <w:ind w:left="300"/>
              <w:spacing w:after="0"/>
              <w:rPr>
                <w:sz w:val="20"/>
                <w:szCs w:val="20"/>
                <w:color w:val="auto"/>
              </w:rPr>
            </w:pPr>
            <w:r>
              <w:rPr>
                <w:rFonts w:ascii="Arial" w:cs="Arial" w:eastAsia="Arial" w:hAnsi="Arial"/>
                <w:sz w:val="18"/>
                <w:szCs w:val="18"/>
                <w:i w:val="1"/>
                <w:iCs w:val="1"/>
                <w:color w:val="auto"/>
              </w:rPr>
              <w:t>(Principal Executive Officer)</w:t>
            </w:r>
          </w:p>
        </w:tc>
        <w:tc>
          <w:tcPr>
            <w:tcW w:w="23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60" w:type="dxa"/>
            <w:vAlign w:val="bottom"/>
          </w:tcPr>
          <w:p>
            <w:pPr>
              <w:spacing w:after="0"/>
              <w:rPr>
                <w:sz w:val="19"/>
                <w:szCs w:val="19"/>
                <w:color w:val="auto"/>
              </w:rPr>
            </w:pPr>
          </w:p>
        </w:tc>
        <w:tc>
          <w:tcPr>
            <w:tcW w:w="3700" w:type="dxa"/>
            <w:vAlign w:val="bottom"/>
            <w:gridSpan w:val="3"/>
          </w:tcPr>
          <w:p>
            <w:pPr>
              <w:ind w:left="460"/>
              <w:spacing w:after="0"/>
              <w:rPr>
                <w:sz w:val="20"/>
                <w:szCs w:val="20"/>
                <w:color w:val="auto"/>
              </w:rPr>
            </w:pPr>
            <w:r>
              <w:rPr>
                <w:rFonts w:ascii="Arial" w:cs="Arial" w:eastAsia="Arial" w:hAnsi="Arial"/>
                <w:sz w:val="18"/>
                <w:szCs w:val="18"/>
                <w:color w:val="auto"/>
              </w:rPr>
              <w:t>Leonard S. Schleifer, M.D., Ph.D.</w:t>
            </w:r>
          </w:p>
        </w:tc>
        <w:tc>
          <w:tcPr>
            <w:tcW w:w="4360" w:type="dxa"/>
            <w:vAlign w:val="bottom"/>
            <w:gridSpan w:val="3"/>
            <w:vMerge w:val="restart"/>
          </w:tcPr>
          <w:p>
            <w:pPr>
              <w:ind w:left="540"/>
              <w:spacing w:after="0"/>
              <w:rPr>
                <w:sz w:val="20"/>
                <w:szCs w:val="20"/>
                <w:color w:val="auto"/>
              </w:rPr>
            </w:pPr>
            <w:r>
              <w:rPr>
                <w:rFonts w:ascii="Arial" w:cs="Arial" w:eastAsia="Arial" w:hAnsi="Arial"/>
                <w:sz w:val="18"/>
                <w:szCs w:val="18"/>
                <w:i w:val="1"/>
                <w:iCs w:val="1"/>
                <w:color w:val="auto"/>
              </w:rPr>
              <w:t>Executive Vice President, Finance and Chief</w:t>
            </w: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rPr>
                <w:sz w:val="15"/>
                <w:szCs w:val="15"/>
                <w:color w:val="auto"/>
              </w:rPr>
            </w:pPr>
          </w:p>
        </w:tc>
        <w:tc>
          <w:tcPr>
            <w:tcW w:w="3700" w:type="dxa"/>
            <w:vAlign w:val="bottom"/>
            <w:gridSpan w:val="3"/>
            <w:vMerge w:val="restart"/>
          </w:tcPr>
          <w:p>
            <w:pPr>
              <w:ind w:left="460"/>
              <w:spacing w:after="0"/>
              <w:rPr>
                <w:sz w:val="20"/>
                <w:szCs w:val="20"/>
                <w:color w:val="auto"/>
              </w:rPr>
            </w:pPr>
            <w:r>
              <w:rPr>
                <w:rFonts w:ascii="Arial" w:cs="Arial" w:eastAsia="Arial" w:hAnsi="Arial"/>
                <w:sz w:val="18"/>
                <w:szCs w:val="18"/>
                <w:color w:val="auto"/>
              </w:rPr>
              <w:t>/s/ ROBERT E. LANDRY</w:t>
            </w:r>
          </w:p>
        </w:tc>
        <w:tc>
          <w:tcPr>
            <w:tcW w:w="4360" w:type="dxa"/>
            <w:vAlign w:val="bottom"/>
            <w:gridSpan w:val="3"/>
            <w:vMerge w:val="continue"/>
          </w:tcPr>
          <w:p>
            <w:pPr>
              <w:spacing w:after="0"/>
              <w:rPr>
                <w:sz w:val="15"/>
                <w:szCs w:val="15"/>
                <w:color w:val="auto"/>
              </w:rPr>
            </w:pPr>
          </w:p>
        </w:tc>
        <w:tc>
          <w:tcPr>
            <w:tcW w:w="2320" w:type="dxa"/>
            <w:vAlign w:val="bottom"/>
            <w:gridSpan w:val="3"/>
            <w:vMerge w:val="restart"/>
          </w:tcPr>
          <w:p>
            <w:pPr>
              <w:jc w:val="center"/>
              <w:ind w:right="380"/>
              <w:spacing w:after="0"/>
              <w:rPr>
                <w:sz w:val="20"/>
                <w:szCs w:val="20"/>
                <w:color w:val="auto"/>
              </w:rPr>
            </w:pPr>
            <w:r>
              <w:rPr>
                <w:rFonts w:ascii="Arial" w:cs="Arial" w:eastAsia="Arial" w:hAnsi="Arial"/>
                <w:sz w:val="18"/>
                <w:szCs w:val="18"/>
                <w:color w:val="auto"/>
                <w:w w:val="88"/>
              </w:rPr>
              <w:t>February 8, 2021</w:t>
            </w:r>
          </w:p>
        </w:tc>
        <w:tc>
          <w:tcPr>
            <w:tcW w:w="0" w:type="dxa"/>
            <w:vAlign w:val="bottom"/>
          </w:tcPr>
          <w:p>
            <w:pPr>
              <w:spacing w:after="0"/>
              <w:rPr>
                <w:sz w:val="1"/>
                <w:szCs w:val="1"/>
                <w:color w:val="auto"/>
              </w:rPr>
            </w:pPr>
          </w:p>
        </w:tc>
      </w:tr>
      <w:tr>
        <w:trPr>
          <w:trHeight w:val="234"/>
        </w:trPr>
        <w:tc>
          <w:tcPr>
            <w:tcW w:w="860" w:type="dxa"/>
            <w:vAlign w:val="bottom"/>
          </w:tcPr>
          <w:p>
            <w:pPr>
              <w:spacing w:after="0"/>
              <w:rPr>
                <w:sz w:val="19"/>
                <w:szCs w:val="19"/>
                <w:color w:val="auto"/>
              </w:rPr>
            </w:pPr>
          </w:p>
        </w:tc>
        <w:tc>
          <w:tcPr>
            <w:tcW w:w="3700" w:type="dxa"/>
            <w:vAlign w:val="bottom"/>
            <w:tcBorders>
              <w:bottom w:val="single" w:sz="8" w:color="auto"/>
            </w:tcBorders>
            <w:gridSpan w:val="3"/>
            <w:vMerge w:val="continue"/>
          </w:tcPr>
          <w:p>
            <w:pPr>
              <w:spacing w:after="0"/>
              <w:rPr>
                <w:sz w:val="19"/>
                <w:szCs w:val="19"/>
                <w:color w:val="auto"/>
              </w:rPr>
            </w:pPr>
          </w:p>
        </w:tc>
        <w:tc>
          <w:tcPr>
            <w:tcW w:w="4360" w:type="dxa"/>
            <w:vAlign w:val="bottom"/>
            <w:gridSpan w:val="3"/>
          </w:tcPr>
          <w:p>
            <w:pPr>
              <w:ind w:left="300"/>
              <w:spacing w:after="0"/>
              <w:rPr>
                <w:sz w:val="20"/>
                <w:szCs w:val="20"/>
                <w:color w:val="auto"/>
              </w:rPr>
            </w:pPr>
            <w:r>
              <w:rPr>
                <w:rFonts w:ascii="Arial" w:cs="Arial" w:eastAsia="Arial" w:hAnsi="Arial"/>
                <w:sz w:val="18"/>
                <w:szCs w:val="18"/>
                <w:i w:val="1"/>
                <w:iCs w:val="1"/>
                <w:color w:val="auto"/>
              </w:rPr>
              <w:t>Financial Officer (Principal Financial Officer)</w:t>
            </w:r>
          </w:p>
        </w:tc>
        <w:tc>
          <w:tcPr>
            <w:tcW w:w="23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60" w:type="dxa"/>
            <w:vAlign w:val="bottom"/>
          </w:tcPr>
          <w:p>
            <w:pPr>
              <w:spacing w:after="0"/>
              <w:rPr>
                <w:sz w:val="19"/>
                <w:szCs w:val="19"/>
                <w:color w:val="auto"/>
              </w:rPr>
            </w:pPr>
          </w:p>
        </w:tc>
        <w:tc>
          <w:tcPr>
            <w:tcW w:w="3700" w:type="dxa"/>
            <w:vAlign w:val="bottom"/>
            <w:gridSpan w:val="3"/>
          </w:tcPr>
          <w:p>
            <w:pPr>
              <w:ind w:left="460"/>
              <w:spacing w:after="0"/>
              <w:rPr>
                <w:sz w:val="20"/>
                <w:szCs w:val="20"/>
                <w:color w:val="auto"/>
              </w:rPr>
            </w:pPr>
            <w:r>
              <w:rPr>
                <w:rFonts w:ascii="Arial" w:cs="Arial" w:eastAsia="Arial" w:hAnsi="Arial"/>
                <w:sz w:val="18"/>
                <w:szCs w:val="18"/>
                <w:color w:val="auto"/>
              </w:rPr>
              <w:t>Robert E. Landry</w:t>
            </w:r>
          </w:p>
        </w:tc>
        <w:tc>
          <w:tcPr>
            <w:tcW w:w="4360" w:type="dxa"/>
            <w:vAlign w:val="bottom"/>
            <w:gridSpan w:val="3"/>
            <w:vMerge w:val="restart"/>
          </w:tcPr>
          <w:p>
            <w:pPr>
              <w:ind w:left="540"/>
              <w:spacing w:after="0"/>
              <w:rPr>
                <w:sz w:val="20"/>
                <w:szCs w:val="20"/>
                <w:color w:val="auto"/>
              </w:rPr>
            </w:pPr>
            <w:r>
              <w:rPr>
                <w:rFonts w:ascii="Arial" w:cs="Arial" w:eastAsia="Arial" w:hAnsi="Arial"/>
                <w:sz w:val="18"/>
                <w:szCs w:val="18"/>
                <w:i w:val="1"/>
                <w:iCs w:val="1"/>
                <w:color w:val="auto"/>
              </w:rPr>
              <w:t>Senior Vice President, Controller (Principal</w:t>
            </w: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rPr>
                <w:sz w:val="15"/>
                <w:szCs w:val="15"/>
                <w:color w:val="auto"/>
              </w:rPr>
            </w:pPr>
          </w:p>
        </w:tc>
        <w:tc>
          <w:tcPr>
            <w:tcW w:w="3700" w:type="dxa"/>
            <w:vAlign w:val="bottom"/>
            <w:gridSpan w:val="3"/>
            <w:vMerge w:val="restart"/>
          </w:tcPr>
          <w:p>
            <w:pPr>
              <w:ind w:left="460"/>
              <w:spacing w:after="0"/>
              <w:rPr>
                <w:sz w:val="20"/>
                <w:szCs w:val="20"/>
                <w:color w:val="auto"/>
              </w:rPr>
            </w:pPr>
            <w:r>
              <w:rPr>
                <w:rFonts w:ascii="Arial" w:cs="Arial" w:eastAsia="Arial" w:hAnsi="Arial"/>
                <w:sz w:val="18"/>
                <w:szCs w:val="18"/>
                <w:color w:val="auto"/>
              </w:rPr>
              <w:t>/s/ CHRISTOPHER R. FENIMORE</w:t>
            </w:r>
          </w:p>
        </w:tc>
        <w:tc>
          <w:tcPr>
            <w:tcW w:w="4360" w:type="dxa"/>
            <w:vAlign w:val="bottom"/>
            <w:gridSpan w:val="3"/>
            <w:vMerge w:val="continue"/>
          </w:tcPr>
          <w:p>
            <w:pPr>
              <w:spacing w:after="0"/>
              <w:rPr>
                <w:sz w:val="15"/>
                <w:szCs w:val="15"/>
                <w:color w:val="auto"/>
              </w:rPr>
            </w:pPr>
          </w:p>
        </w:tc>
        <w:tc>
          <w:tcPr>
            <w:tcW w:w="2320" w:type="dxa"/>
            <w:vAlign w:val="bottom"/>
            <w:gridSpan w:val="3"/>
            <w:vMerge w:val="restart"/>
          </w:tcPr>
          <w:p>
            <w:pPr>
              <w:jc w:val="center"/>
              <w:ind w:right="380"/>
              <w:spacing w:after="0"/>
              <w:rPr>
                <w:sz w:val="20"/>
                <w:szCs w:val="20"/>
                <w:color w:val="auto"/>
              </w:rPr>
            </w:pPr>
            <w:r>
              <w:rPr>
                <w:rFonts w:ascii="Arial" w:cs="Arial" w:eastAsia="Arial" w:hAnsi="Arial"/>
                <w:sz w:val="18"/>
                <w:szCs w:val="18"/>
                <w:color w:val="auto"/>
                <w:w w:val="88"/>
              </w:rPr>
              <w:t>February 8, 2021</w:t>
            </w:r>
          </w:p>
        </w:tc>
        <w:tc>
          <w:tcPr>
            <w:tcW w:w="0" w:type="dxa"/>
            <w:vAlign w:val="bottom"/>
          </w:tcPr>
          <w:p>
            <w:pPr>
              <w:spacing w:after="0"/>
              <w:rPr>
                <w:sz w:val="1"/>
                <w:szCs w:val="1"/>
                <w:color w:val="auto"/>
              </w:rPr>
            </w:pPr>
          </w:p>
        </w:tc>
      </w:tr>
      <w:tr>
        <w:trPr>
          <w:trHeight w:val="234"/>
        </w:trPr>
        <w:tc>
          <w:tcPr>
            <w:tcW w:w="860" w:type="dxa"/>
            <w:vAlign w:val="bottom"/>
          </w:tcPr>
          <w:p>
            <w:pPr>
              <w:spacing w:after="0"/>
              <w:rPr>
                <w:sz w:val="19"/>
                <w:szCs w:val="19"/>
                <w:color w:val="auto"/>
              </w:rPr>
            </w:pPr>
          </w:p>
        </w:tc>
        <w:tc>
          <w:tcPr>
            <w:tcW w:w="3700" w:type="dxa"/>
            <w:vAlign w:val="bottom"/>
            <w:tcBorders>
              <w:bottom w:val="single" w:sz="8" w:color="auto"/>
            </w:tcBorders>
            <w:gridSpan w:val="3"/>
            <w:vMerge w:val="continue"/>
          </w:tcPr>
          <w:p>
            <w:pPr>
              <w:spacing w:after="0"/>
              <w:rPr>
                <w:sz w:val="19"/>
                <w:szCs w:val="19"/>
                <w:color w:val="auto"/>
              </w:rPr>
            </w:pPr>
          </w:p>
        </w:tc>
        <w:tc>
          <w:tcPr>
            <w:tcW w:w="4360" w:type="dxa"/>
            <w:vAlign w:val="bottom"/>
            <w:gridSpan w:val="3"/>
          </w:tcPr>
          <w:p>
            <w:pPr>
              <w:ind w:left="300"/>
              <w:spacing w:after="0"/>
              <w:rPr>
                <w:sz w:val="20"/>
                <w:szCs w:val="20"/>
                <w:color w:val="auto"/>
              </w:rPr>
            </w:pPr>
            <w:r>
              <w:rPr>
                <w:rFonts w:ascii="Arial" w:cs="Arial" w:eastAsia="Arial" w:hAnsi="Arial"/>
                <w:sz w:val="18"/>
                <w:szCs w:val="18"/>
                <w:i w:val="1"/>
                <w:iCs w:val="1"/>
                <w:color w:val="auto"/>
              </w:rPr>
              <w:t>Accounting Officer)</w:t>
            </w:r>
          </w:p>
        </w:tc>
        <w:tc>
          <w:tcPr>
            <w:tcW w:w="23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3700" w:type="dxa"/>
            <w:vAlign w:val="bottom"/>
            <w:gridSpan w:val="3"/>
          </w:tcPr>
          <w:p>
            <w:pPr>
              <w:ind w:left="460"/>
              <w:spacing w:after="0"/>
              <w:rPr>
                <w:sz w:val="20"/>
                <w:szCs w:val="20"/>
                <w:color w:val="auto"/>
              </w:rPr>
            </w:pPr>
            <w:r>
              <w:rPr>
                <w:rFonts w:ascii="Arial" w:cs="Arial" w:eastAsia="Arial" w:hAnsi="Arial"/>
                <w:sz w:val="18"/>
                <w:szCs w:val="18"/>
                <w:color w:val="auto"/>
              </w:rPr>
              <w:t>Christopher R. Fenimore</w:t>
            </w: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color w:val="auto"/>
              </w:rPr>
              <w:t>/s/ GEORGE D. YANCOPOULOS</w:t>
            </w:r>
          </w:p>
        </w:tc>
        <w:tc>
          <w:tcPr>
            <w:tcW w:w="4360" w:type="dxa"/>
            <w:vAlign w:val="bottom"/>
            <w:gridSpan w:val="3"/>
          </w:tcPr>
          <w:p>
            <w:pPr>
              <w:ind w:left="540"/>
              <w:spacing w:after="0"/>
              <w:rPr>
                <w:sz w:val="20"/>
                <w:szCs w:val="20"/>
                <w:color w:val="auto"/>
              </w:rPr>
            </w:pPr>
            <w:r>
              <w:rPr>
                <w:rFonts w:ascii="Arial" w:cs="Arial" w:eastAsia="Arial" w:hAnsi="Arial"/>
                <w:sz w:val="18"/>
                <w:szCs w:val="18"/>
                <w:i w:val="1"/>
                <w:iCs w:val="1"/>
                <w:color w:val="auto"/>
              </w:rPr>
              <w:t>President, Chief Scientific Officer, and Director</w:t>
            </w:r>
          </w:p>
        </w:tc>
        <w:tc>
          <w:tcPr>
            <w:tcW w:w="2320" w:type="dxa"/>
            <w:vAlign w:val="bottom"/>
            <w:gridSpan w:val="3"/>
          </w:tcPr>
          <w:p>
            <w:pPr>
              <w:jc w:val="center"/>
              <w:ind w:right="380"/>
              <w:spacing w:after="0"/>
              <w:rPr>
                <w:sz w:val="20"/>
                <w:szCs w:val="20"/>
                <w:color w:val="auto"/>
              </w:rPr>
            </w:pPr>
            <w:r>
              <w:rPr>
                <w:rFonts w:ascii="Arial" w:cs="Arial" w:eastAsia="Arial" w:hAnsi="Arial"/>
                <w:sz w:val="18"/>
                <w:szCs w:val="18"/>
                <w:color w:val="auto"/>
                <w:w w:val="88"/>
              </w:rPr>
              <w:t>February 8, 2021</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3700" w:type="dxa"/>
            <w:vAlign w:val="bottom"/>
            <w:gridSpan w:val="3"/>
          </w:tcPr>
          <w:p>
            <w:pPr>
              <w:ind w:left="460"/>
              <w:spacing w:after="0"/>
              <w:rPr>
                <w:sz w:val="20"/>
                <w:szCs w:val="20"/>
                <w:color w:val="auto"/>
              </w:rPr>
            </w:pPr>
            <w:r>
              <w:rPr>
                <w:rFonts w:ascii="Arial" w:cs="Arial" w:eastAsia="Arial" w:hAnsi="Arial"/>
                <w:sz w:val="18"/>
                <w:szCs w:val="18"/>
                <w:color w:val="auto"/>
              </w:rPr>
              <w:t>George D. Yancopoulos, M.D., Ph.D.</w:t>
            </w: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color w:val="auto"/>
              </w:rPr>
              <w:t>/s/ P. ROY VAGELOS</w:t>
            </w:r>
          </w:p>
        </w:tc>
        <w:tc>
          <w:tcPr>
            <w:tcW w:w="4360" w:type="dxa"/>
            <w:vAlign w:val="bottom"/>
            <w:gridSpan w:val="3"/>
          </w:tcPr>
          <w:p>
            <w:pPr>
              <w:ind w:left="540"/>
              <w:spacing w:after="0"/>
              <w:rPr>
                <w:sz w:val="20"/>
                <w:szCs w:val="20"/>
                <w:color w:val="auto"/>
              </w:rPr>
            </w:pPr>
            <w:r>
              <w:rPr>
                <w:rFonts w:ascii="Arial" w:cs="Arial" w:eastAsia="Arial" w:hAnsi="Arial"/>
                <w:sz w:val="18"/>
                <w:szCs w:val="18"/>
                <w:i w:val="1"/>
                <w:iCs w:val="1"/>
                <w:color w:val="auto"/>
              </w:rPr>
              <w:t>Chairman of the Board</w:t>
            </w:r>
          </w:p>
        </w:tc>
        <w:tc>
          <w:tcPr>
            <w:tcW w:w="2320" w:type="dxa"/>
            <w:vAlign w:val="bottom"/>
            <w:gridSpan w:val="3"/>
          </w:tcPr>
          <w:p>
            <w:pPr>
              <w:jc w:val="center"/>
              <w:ind w:right="380"/>
              <w:spacing w:after="0"/>
              <w:rPr>
                <w:sz w:val="20"/>
                <w:szCs w:val="20"/>
                <w:color w:val="auto"/>
              </w:rPr>
            </w:pPr>
            <w:r>
              <w:rPr>
                <w:rFonts w:ascii="Arial" w:cs="Arial" w:eastAsia="Arial" w:hAnsi="Arial"/>
                <w:sz w:val="18"/>
                <w:szCs w:val="18"/>
                <w:color w:val="auto"/>
                <w:w w:val="88"/>
              </w:rPr>
              <w:t>February 8, 2021</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3700" w:type="dxa"/>
            <w:vAlign w:val="bottom"/>
            <w:gridSpan w:val="3"/>
          </w:tcPr>
          <w:p>
            <w:pPr>
              <w:ind w:left="460"/>
              <w:spacing w:after="0"/>
              <w:rPr>
                <w:sz w:val="20"/>
                <w:szCs w:val="20"/>
                <w:color w:val="auto"/>
              </w:rPr>
            </w:pPr>
            <w:r>
              <w:rPr>
                <w:rFonts w:ascii="Arial" w:cs="Arial" w:eastAsia="Arial" w:hAnsi="Arial"/>
                <w:sz w:val="18"/>
                <w:szCs w:val="18"/>
                <w:color w:val="auto"/>
              </w:rPr>
              <w:t>P. Roy Vagelos, M.D.</w:t>
            </w: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color w:val="auto"/>
              </w:rPr>
              <w:t>/s/ BONNIE L. BASSLER</w:t>
            </w:r>
          </w:p>
        </w:tc>
        <w:tc>
          <w:tcPr>
            <w:tcW w:w="4360" w:type="dxa"/>
            <w:vAlign w:val="bottom"/>
            <w:gridSpan w:val="3"/>
          </w:tcPr>
          <w:p>
            <w:pPr>
              <w:ind w:left="540"/>
              <w:spacing w:after="0"/>
              <w:rPr>
                <w:sz w:val="20"/>
                <w:szCs w:val="20"/>
                <w:color w:val="auto"/>
              </w:rPr>
            </w:pPr>
            <w:r>
              <w:rPr>
                <w:rFonts w:ascii="Arial" w:cs="Arial" w:eastAsia="Arial" w:hAnsi="Arial"/>
                <w:sz w:val="18"/>
                <w:szCs w:val="18"/>
                <w:i w:val="1"/>
                <w:iCs w:val="1"/>
                <w:color w:val="auto"/>
              </w:rPr>
              <w:t>Director</w:t>
            </w:r>
          </w:p>
        </w:tc>
        <w:tc>
          <w:tcPr>
            <w:tcW w:w="2320" w:type="dxa"/>
            <w:vAlign w:val="bottom"/>
            <w:gridSpan w:val="3"/>
          </w:tcPr>
          <w:p>
            <w:pPr>
              <w:jc w:val="center"/>
              <w:ind w:right="380"/>
              <w:spacing w:after="0"/>
              <w:rPr>
                <w:sz w:val="20"/>
                <w:szCs w:val="20"/>
                <w:color w:val="auto"/>
              </w:rPr>
            </w:pPr>
            <w:r>
              <w:rPr>
                <w:rFonts w:ascii="Arial" w:cs="Arial" w:eastAsia="Arial" w:hAnsi="Arial"/>
                <w:sz w:val="18"/>
                <w:szCs w:val="18"/>
                <w:color w:val="auto"/>
                <w:w w:val="88"/>
              </w:rPr>
              <w:t>February 8, 2021</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3700" w:type="dxa"/>
            <w:vAlign w:val="bottom"/>
            <w:gridSpan w:val="3"/>
          </w:tcPr>
          <w:p>
            <w:pPr>
              <w:ind w:left="460"/>
              <w:spacing w:after="0"/>
              <w:rPr>
                <w:sz w:val="20"/>
                <w:szCs w:val="20"/>
                <w:color w:val="auto"/>
              </w:rPr>
            </w:pPr>
            <w:r>
              <w:rPr>
                <w:rFonts w:ascii="Arial" w:cs="Arial" w:eastAsia="Arial" w:hAnsi="Arial"/>
                <w:sz w:val="18"/>
                <w:szCs w:val="18"/>
                <w:color w:val="auto"/>
              </w:rPr>
              <w:t>Bonnie L. Bassler, Ph.D.</w:t>
            </w: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color w:val="auto"/>
              </w:rPr>
              <w:t>/s/ MICHAEL S. BROWN</w:t>
            </w:r>
          </w:p>
        </w:tc>
        <w:tc>
          <w:tcPr>
            <w:tcW w:w="4360" w:type="dxa"/>
            <w:vAlign w:val="bottom"/>
            <w:gridSpan w:val="3"/>
          </w:tcPr>
          <w:p>
            <w:pPr>
              <w:ind w:left="540"/>
              <w:spacing w:after="0"/>
              <w:rPr>
                <w:sz w:val="20"/>
                <w:szCs w:val="20"/>
                <w:color w:val="auto"/>
              </w:rPr>
            </w:pPr>
            <w:r>
              <w:rPr>
                <w:rFonts w:ascii="Arial" w:cs="Arial" w:eastAsia="Arial" w:hAnsi="Arial"/>
                <w:sz w:val="18"/>
                <w:szCs w:val="18"/>
                <w:i w:val="1"/>
                <w:iCs w:val="1"/>
                <w:color w:val="auto"/>
              </w:rPr>
              <w:t>Director</w:t>
            </w:r>
          </w:p>
        </w:tc>
        <w:tc>
          <w:tcPr>
            <w:tcW w:w="2320" w:type="dxa"/>
            <w:vAlign w:val="bottom"/>
            <w:gridSpan w:val="3"/>
          </w:tcPr>
          <w:p>
            <w:pPr>
              <w:jc w:val="center"/>
              <w:ind w:right="380"/>
              <w:spacing w:after="0"/>
              <w:rPr>
                <w:sz w:val="20"/>
                <w:szCs w:val="20"/>
                <w:color w:val="auto"/>
              </w:rPr>
            </w:pPr>
            <w:r>
              <w:rPr>
                <w:rFonts w:ascii="Arial" w:cs="Arial" w:eastAsia="Arial" w:hAnsi="Arial"/>
                <w:sz w:val="18"/>
                <w:szCs w:val="18"/>
                <w:color w:val="auto"/>
                <w:w w:val="88"/>
              </w:rPr>
              <w:t>February 8, 2021</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3700" w:type="dxa"/>
            <w:vAlign w:val="bottom"/>
            <w:gridSpan w:val="3"/>
          </w:tcPr>
          <w:p>
            <w:pPr>
              <w:ind w:left="460"/>
              <w:spacing w:after="0"/>
              <w:rPr>
                <w:sz w:val="20"/>
                <w:szCs w:val="20"/>
                <w:color w:val="auto"/>
              </w:rPr>
            </w:pPr>
            <w:r>
              <w:rPr>
                <w:rFonts w:ascii="Arial" w:cs="Arial" w:eastAsia="Arial" w:hAnsi="Arial"/>
                <w:sz w:val="18"/>
                <w:szCs w:val="18"/>
                <w:color w:val="auto"/>
              </w:rPr>
              <w:t>Michael S. Brown, M.D.</w:t>
            </w: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color w:val="auto"/>
              </w:rPr>
              <w:t>/s/ N. ANTHONY COLES</w:t>
            </w:r>
          </w:p>
        </w:tc>
        <w:tc>
          <w:tcPr>
            <w:tcW w:w="4360" w:type="dxa"/>
            <w:vAlign w:val="bottom"/>
            <w:gridSpan w:val="3"/>
          </w:tcPr>
          <w:p>
            <w:pPr>
              <w:ind w:left="540"/>
              <w:spacing w:after="0"/>
              <w:rPr>
                <w:sz w:val="20"/>
                <w:szCs w:val="20"/>
                <w:color w:val="auto"/>
              </w:rPr>
            </w:pPr>
            <w:r>
              <w:rPr>
                <w:rFonts w:ascii="Arial" w:cs="Arial" w:eastAsia="Arial" w:hAnsi="Arial"/>
                <w:sz w:val="18"/>
                <w:szCs w:val="18"/>
                <w:i w:val="1"/>
                <w:iCs w:val="1"/>
                <w:color w:val="auto"/>
              </w:rPr>
              <w:t>Director</w:t>
            </w:r>
          </w:p>
        </w:tc>
        <w:tc>
          <w:tcPr>
            <w:tcW w:w="2320" w:type="dxa"/>
            <w:vAlign w:val="bottom"/>
            <w:gridSpan w:val="3"/>
          </w:tcPr>
          <w:p>
            <w:pPr>
              <w:jc w:val="center"/>
              <w:ind w:right="380"/>
              <w:spacing w:after="0"/>
              <w:rPr>
                <w:sz w:val="20"/>
                <w:szCs w:val="20"/>
                <w:color w:val="auto"/>
              </w:rPr>
            </w:pPr>
            <w:r>
              <w:rPr>
                <w:rFonts w:ascii="Arial" w:cs="Arial" w:eastAsia="Arial" w:hAnsi="Arial"/>
                <w:sz w:val="18"/>
                <w:szCs w:val="18"/>
                <w:color w:val="auto"/>
                <w:w w:val="88"/>
              </w:rPr>
              <w:t>February 8, 2021</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3700" w:type="dxa"/>
            <w:vAlign w:val="bottom"/>
            <w:gridSpan w:val="3"/>
          </w:tcPr>
          <w:p>
            <w:pPr>
              <w:ind w:left="460"/>
              <w:spacing w:after="0"/>
              <w:rPr>
                <w:sz w:val="20"/>
                <w:szCs w:val="20"/>
                <w:color w:val="auto"/>
              </w:rPr>
            </w:pPr>
            <w:r>
              <w:rPr>
                <w:rFonts w:ascii="Arial" w:cs="Arial" w:eastAsia="Arial" w:hAnsi="Arial"/>
                <w:sz w:val="18"/>
                <w:szCs w:val="18"/>
                <w:color w:val="auto"/>
              </w:rPr>
              <w:t>N. Anthony Coles, M.D.</w:t>
            </w: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color w:val="auto"/>
              </w:rPr>
              <w:t>/s/ JOSEPH L. GOLDSTEIN</w:t>
            </w:r>
          </w:p>
        </w:tc>
        <w:tc>
          <w:tcPr>
            <w:tcW w:w="4360" w:type="dxa"/>
            <w:vAlign w:val="bottom"/>
            <w:gridSpan w:val="3"/>
          </w:tcPr>
          <w:p>
            <w:pPr>
              <w:ind w:left="540"/>
              <w:spacing w:after="0"/>
              <w:rPr>
                <w:sz w:val="20"/>
                <w:szCs w:val="20"/>
                <w:color w:val="auto"/>
              </w:rPr>
            </w:pPr>
            <w:r>
              <w:rPr>
                <w:rFonts w:ascii="Arial" w:cs="Arial" w:eastAsia="Arial" w:hAnsi="Arial"/>
                <w:sz w:val="18"/>
                <w:szCs w:val="18"/>
                <w:i w:val="1"/>
                <w:iCs w:val="1"/>
                <w:color w:val="auto"/>
              </w:rPr>
              <w:t>Director</w:t>
            </w:r>
          </w:p>
        </w:tc>
        <w:tc>
          <w:tcPr>
            <w:tcW w:w="2320" w:type="dxa"/>
            <w:vAlign w:val="bottom"/>
            <w:gridSpan w:val="3"/>
          </w:tcPr>
          <w:p>
            <w:pPr>
              <w:jc w:val="center"/>
              <w:ind w:right="380"/>
              <w:spacing w:after="0"/>
              <w:rPr>
                <w:sz w:val="20"/>
                <w:szCs w:val="20"/>
                <w:color w:val="auto"/>
              </w:rPr>
            </w:pPr>
            <w:r>
              <w:rPr>
                <w:rFonts w:ascii="Arial" w:cs="Arial" w:eastAsia="Arial" w:hAnsi="Arial"/>
                <w:sz w:val="18"/>
                <w:szCs w:val="18"/>
                <w:color w:val="auto"/>
                <w:w w:val="88"/>
              </w:rPr>
              <w:t>February 8, 2021</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3700" w:type="dxa"/>
            <w:vAlign w:val="bottom"/>
            <w:gridSpan w:val="3"/>
          </w:tcPr>
          <w:p>
            <w:pPr>
              <w:ind w:left="460"/>
              <w:spacing w:after="0"/>
              <w:rPr>
                <w:sz w:val="20"/>
                <w:szCs w:val="20"/>
                <w:color w:val="auto"/>
              </w:rPr>
            </w:pPr>
            <w:r>
              <w:rPr>
                <w:rFonts w:ascii="Arial" w:cs="Arial" w:eastAsia="Arial" w:hAnsi="Arial"/>
                <w:sz w:val="18"/>
                <w:szCs w:val="18"/>
                <w:color w:val="auto"/>
              </w:rPr>
              <w:t>Joseph L. Goldstein, M.D.</w:t>
            </w: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color w:val="auto"/>
              </w:rPr>
              <w:t>/s/ CHRISTINE A. POON</w:t>
            </w:r>
          </w:p>
        </w:tc>
        <w:tc>
          <w:tcPr>
            <w:tcW w:w="4360" w:type="dxa"/>
            <w:vAlign w:val="bottom"/>
            <w:gridSpan w:val="3"/>
          </w:tcPr>
          <w:p>
            <w:pPr>
              <w:ind w:left="540"/>
              <w:spacing w:after="0"/>
              <w:rPr>
                <w:sz w:val="20"/>
                <w:szCs w:val="20"/>
                <w:color w:val="auto"/>
              </w:rPr>
            </w:pPr>
            <w:r>
              <w:rPr>
                <w:rFonts w:ascii="Arial" w:cs="Arial" w:eastAsia="Arial" w:hAnsi="Arial"/>
                <w:sz w:val="18"/>
                <w:szCs w:val="18"/>
                <w:i w:val="1"/>
                <w:iCs w:val="1"/>
                <w:color w:val="auto"/>
              </w:rPr>
              <w:t>Director</w:t>
            </w:r>
          </w:p>
        </w:tc>
        <w:tc>
          <w:tcPr>
            <w:tcW w:w="2320" w:type="dxa"/>
            <w:vAlign w:val="bottom"/>
            <w:gridSpan w:val="3"/>
          </w:tcPr>
          <w:p>
            <w:pPr>
              <w:jc w:val="center"/>
              <w:ind w:right="380"/>
              <w:spacing w:after="0"/>
              <w:rPr>
                <w:sz w:val="20"/>
                <w:szCs w:val="20"/>
                <w:color w:val="auto"/>
              </w:rPr>
            </w:pPr>
            <w:r>
              <w:rPr>
                <w:rFonts w:ascii="Arial" w:cs="Arial" w:eastAsia="Arial" w:hAnsi="Arial"/>
                <w:sz w:val="18"/>
                <w:szCs w:val="18"/>
                <w:color w:val="auto"/>
                <w:w w:val="88"/>
              </w:rPr>
              <w:t>February 8, 2021</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3700" w:type="dxa"/>
            <w:vAlign w:val="bottom"/>
            <w:gridSpan w:val="3"/>
          </w:tcPr>
          <w:p>
            <w:pPr>
              <w:ind w:left="460"/>
              <w:spacing w:after="0"/>
              <w:rPr>
                <w:sz w:val="20"/>
                <w:szCs w:val="20"/>
                <w:color w:val="auto"/>
              </w:rPr>
            </w:pPr>
            <w:r>
              <w:rPr>
                <w:rFonts w:ascii="Arial" w:cs="Arial" w:eastAsia="Arial" w:hAnsi="Arial"/>
                <w:sz w:val="18"/>
                <w:szCs w:val="18"/>
                <w:color w:val="auto"/>
              </w:rPr>
              <w:t>Christine A. Poon</w:t>
            </w: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color w:val="auto"/>
              </w:rPr>
              <w:t>/s/ ARTHUR F. RYAN</w:t>
            </w:r>
          </w:p>
        </w:tc>
        <w:tc>
          <w:tcPr>
            <w:tcW w:w="4360" w:type="dxa"/>
            <w:vAlign w:val="bottom"/>
            <w:gridSpan w:val="3"/>
          </w:tcPr>
          <w:p>
            <w:pPr>
              <w:ind w:left="540"/>
              <w:spacing w:after="0"/>
              <w:rPr>
                <w:sz w:val="20"/>
                <w:szCs w:val="20"/>
                <w:color w:val="auto"/>
              </w:rPr>
            </w:pPr>
            <w:r>
              <w:rPr>
                <w:rFonts w:ascii="Arial" w:cs="Arial" w:eastAsia="Arial" w:hAnsi="Arial"/>
                <w:sz w:val="18"/>
                <w:szCs w:val="18"/>
                <w:i w:val="1"/>
                <w:iCs w:val="1"/>
                <w:color w:val="auto"/>
              </w:rPr>
              <w:t>Director</w:t>
            </w:r>
          </w:p>
        </w:tc>
        <w:tc>
          <w:tcPr>
            <w:tcW w:w="2320" w:type="dxa"/>
            <w:vAlign w:val="bottom"/>
            <w:gridSpan w:val="3"/>
          </w:tcPr>
          <w:p>
            <w:pPr>
              <w:jc w:val="center"/>
              <w:ind w:right="380"/>
              <w:spacing w:after="0"/>
              <w:rPr>
                <w:sz w:val="20"/>
                <w:szCs w:val="20"/>
                <w:color w:val="auto"/>
              </w:rPr>
            </w:pPr>
            <w:r>
              <w:rPr>
                <w:rFonts w:ascii="Arial" w:cs="Arial" w:eastAsia="Arial" w:hAnsi="Arial"/>
                <w:sz w:val="18"/>
                <w:szCs w:val="18"/>
                <w:color w:val="auto"/>
                <w:w w:val="88"/>
              </w:rPr>
              <w:t>February 8, 2021</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3700" w:type="dxa"/>
            <w:vAlign w:val="bottom"/>
            <w:gridSpan w:val="3"/>
          </w:tcPr>
          <w:p>
            <w:pPr>
              <w:ind w:left="460"/>
              <w:spacing w:after="0"/>
              <w:rPr>
                <w:sz w:val="20"/>
                <w:szCs w:val="20"/>
                <w:color w:val="auto"/>
              </w:rPr>
            </w:pPr>
            <w:r>
              <w:rPr>
                <w:rFonts w:ascii="Arial" w:cs="Arial" w:eastAsia="Arial" w:hAnsi="Arial"/>
                <w:sz w:val="18"/>
                <w:szCs w:val="18"/>
                <w:color w:val="auto"/>
              </w:rPr>
              <w:t>Arthur F. Ryan</w:t>
            </w: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color w:val="auto"/>
              </w:rPr>
              <w:t>/s/ GEORGE L. SING</w:t>
            </w:r>
          </w:p>
        </w:tc>
        <w:tc>
          <w:tcPr>
            <w:tcW w:w="4360" w:type="dxa"/>
            <w:vAlign w:val="bottom"/>
            <w:gridSpan w:val="3"/>
          </w:tcPr>
          <w:p>
            <w:pPr>
              <w:ind w:left="540"/>
              <w:spacing w:after="0"/>
              <w:rPr>
                <w:sz w:val="20"/>
                <w:szCs w:val="20"/>
                <w:color w:val="auto"/>
              </w:rPr>
            </w:pPr>
            <w:r>
              <w:rPr>
                <w:rFonts w:ascii="Arial" w:cs="Arial" w:eastAsia="Arial" w:hAnsi="Arial"/>
                <w:sz w:val="18"/>
                <w:szCs w:val="18"/>
                <w:i w:val="1"/>
                <w:iCs w:val="1"/>
                <w:color w:val="auto"/>
              </w:rPr>
              <w:t>Director</w:t>
            </w:r>
          </w:p>
        </w:tc>
        <w:tc>
          <w:tcPr>
            <w:tcW w:w="2320" w:type="dxa"/>
            <w:vAlign w:val="bottom"/>
            <w:gridSpan w:val="3"/>
          </w:tcPr>
          <w:p>
            <w:pPr>
              <w:jc w:val="center"/>
              <w:ind w:right="380"/>
              <w:spacing w:after="0"/>
              <w:rPr>
                <w:sz w:val="20"/>
                <w:szCs w:val="20"/>
                <w:color w:val="auto"/>
              </w:rPr>
            </w:pPr>
            <w:r>
              <w:rPr>
                <w:rFonts w:ascii="Arial" w:cs="Arial" w:eastAsia="Arial" w:hAnsi="Arial"/>
                <w:sz w:val="18"/>
                <w:szCs w:val="18"/>
                <w:color w:val="auto"/>
                <w:w w:val="88"/>
              </w:rPr>
              <w:t>February 8, 2021</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3700" w:type="dxa"/>
            <w:vAlign w:val="bottom"/>
            <w:gridSpan w:val="3"/>
          </w:tcPr>
          <w:p>
            <w:pPr>
              <w:ind w:left="460"/>
              <w:spacing w:after="0"/>
              <w:rPr>
                <w:sz w:val="20"/>
                <w:szCs w:val="20"/>
                <w:color w:val="auto"/>
              </w:rPr>
            </w:pPr>
            <w:r>
              <w:rPr>
                <w:rFonts w:ascii="Arial" w:cs="Arial" w:eastAsia="Arial" w:hAnsi="Arial"/>
                <w:sz w:val="18"/>
                <w:szCs w:val="18"/>
                <w:color w:val="auto"/>
              </w:rPr>
              <w:t>George L. Sing</w:t>
            </w: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color w:val="auto"/>
              </w:rPr>
              <w:t>/s/ MARC TESSIER-LAVIGNE</w:t>
            </w:r>
          </w:p>
        </w:tc>
        <w:tc>
          <w:tcPr>
            <w:tcW w:w="4360" w:type="dxa"/>
            <w:vAlign w:val="bottom"/>
            <w:gridSpan w:val="3"/>
          </w:tcPr>
          <w:p>
            <w:pPr>
              <w:ind w:left="540"/>
              <w:spacing w:after="0"/>
              <w:rPr>
                <w:sz w:val="20"/>
                <w:szCs w:val="20"/>
                <w:color w:val="auto"/>
              </w:rPr>
            </w:pPr>
            <w:r>
              <w:rPr>
                <w:rFonts w:ascii="Arial" w:cs="Arial" w:eastAsia="Arial" w:hAnsi="Arial"/>
                <w:sz w:val="18"/>
                <w:szCs w:val="18"/>
                <w:i w:val="1"/>
                <w:iCs w:val="1"/>
                <w:color w:val="auto"/>
              </w:rPr>
              <w:t>Director</w:t>
            </w:r>
          </w:p>
        </w:tc>
        <w:tc>
          <w:tcPr>
            <w:tcW w:w="2320" w:type="dxa"/>
            <w:vAlign w:val="bottom"/>
            <w:gridSpan w:val="3"/>
          </w:tcPr>
          <w:p>
            <w:pPr>
              <w:jc w:val="center"/>
              <w:ind w:right="380"/>
              <w:spacing w:after="0"/>
              <w:rPr>
                <w:sz w:val="20"/>
                <w:szCs w:val="20"/>
                <w:color w:val="auto"/>
              </w:rPr>
            </w:pPr>
            <w:r>
              <w:rPr>
                <w:rFonts w:ascii="Arial" w:cs="Arial" w:eastAsia="Arial" w:hAnsi="Arial"/>
                <w:sz w:val="18"/>
                <w:szCs w:val="18"/>
                <w:color w:val="auto"/>
                <w:w w:val="88"/>
              </w:rPr>
              <w:t>February 8, 2021</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3700" w:type="dxa"/>
            <w:vAlign w:val="bottom"/>
            <w:gridSpan w:val="3"/>
          </w:tcPr>
          <w:p>
            <w:pPr>
              <w:ind w:left="460"/>
              <w:spacing w:after="0"/>
              <w:rPr>
                <w:sz w:val="20"/>
                <w:szCs w:val="20"/>
                <w:color w:val="auto"/>
              </w:rPr>
            </w:pPr>
            <w:r>
              <w:rPr>
                <w:rFonts w:ascii="Arial" w:cs="Arial" w:eastAsia="Arial" w:hAnsi="Arial"/>
                <w:sz w:val="18"/>
                <w:szCs w:val="18"/>
                <w:color w:val="auto"/>
              </w:rPr>
              <w:t>Marc Tessier-Lavigne, Ph.D.</w:t>
            </w: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color w:val="auto"/>
              </w:rPr>
              <w:t>/s/ HUDA Y. ZOGHBI</w:t>
            </w:r>
          </w:p>
        </w:tc>
        <w:tc>
          <w:tcPr>
            <w:tcW w:w="4360" w:type="dxa"/>
            <w:vAlign w:val="bottom"/>
            <w:gridSpan w:val="3"/>
          </w:tcPr>
          <w:p>
            <w:pPr>
              <w:ind w:left="540"/>
              <w:spacing w:after="0"/>
              <w:rPr>
                <w:sz w:val="20"/>
                <w:szCs w:val="20"/>
                <w:color w:val="auto"/>
              </w:rPr>
            </w:pPr>
            <w:r>
              <w:rPr>
                <w:rFonts w:ascii="Arial" w:cs="Arial" w:eastAsia="Arial" w:hAnsi="Arial"/>
                <w:sz w:val="18"/>
                <w:szCs w:val="18"/>
                <w:i w:val="1"/>
                <w:iCs w:val="1"/>
                <w:color w:val="auto"/>
              </w:rPr>
              <w:t>Director</w:t>
            </w:r>
          </w:p>
        </w:tc>
        <w:tc>
          <w:tcPr>
            <w:tcW w:w="2320" w:type="dxa"/>
            <w:vAlign w:val="bottom"/>
            <w:gridSpan w:val="3"/>
          </w:tcPr>
          <w:p>
            <w:pPr>
              <w:jc w:val="center"/>
              <w:ind w:right="380"/>
              <w:spacing w:after="0"/>
              <w:rPr>
                <w:sz w:val="20"/>
                <w:szCs w:val="20"/>
                <w:color w:val="auto"/>
              </w:rPr>
            </w:pPr>
            <w:r>
              <w:rPr>
                <w:rFonts w:ascii="Arial" w:cs="Arial" w:eastAsia="Arial" w:hAnsi="Arial"/>
                <w:sz w:val="18"/>
                <w:szCs w:val="18"/>
                <w:color w:val="auto"/>
                <w:w w:val="88"/>
              </w:rPr>
              <w:t>February 8, 2021</w:t>
            </w:r>
          </w:p>
        </w:tc>
        <w:tc>
          <w:tcPr>
            <w:tcW w:w="0" w:type="dxa"/>
            <w:vAlign w:val="bottom"/>
          </w:tcPr>
          <w:p>
            <w:pPr>
              <w:spacing w:after="0"/>
              <w:rPr>
                <w:sz w:val="1"/>
                <w:szCs w:val="1"/>
                <w:color w:val="auto"/>
              </w:rPr>
            </w:pPr>
          </w:p>
        </w:tc>
      </w:tr>
      <w:tr>
        <w:trPr>
          <w:trHeight w:val="224"/>
        </w:trPr>
        <w:tc>
          <w:tcPr>
            <w:tcW w:w="860" w:type="dxa"/>
            <w:vAlign w:val="bottom"/>
          </w:tcPr>
          <w:p>
            <w:pPr>
              <w:spacing w:after="0"/>
              <w:rPr>
                <w:sz w:val="19"/>
                <w:szCs w:val="19"/>
                <w:color w:val="auto"/>
              </w:rPr>
            </w:pPr>
          </w:p>
        </w:tc>
        <w:tc>
          <w:tcPr>
            <w:tcW w:w="3700" w:type="dxa"/>
            <w:vAlign w:val="bottom"/>
            <w:gridSpan w:val="3"/>
          </w:tcPr>
          <w:p>
            <w:pPr>
              <w:ind w:left="460"/>
              <w:spacing w:after="0"/>
              <w:rPr>
                <w:sz w:val="20"/>
                <w:szCs w:val="20"/>
                <w:color w:val="auto"/>
              </w:rPr>
            </w:pPr>
            <w:r>
              <w:rPr>
                <w:rFonts w:ascii="Arial" w:cs="Arial" w:eastAsia="Arial" w:hAnsi="Arial"/>
                <w:sz w:val="18"/>
                <w:szCs w:val="18"/>
                <w:color w:val="auto"/>
              </w:rPr>
              <w:t>Huda Y. Zoghbi, M.D.</w:t>
            </w: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0"/>
        </w:trPr>
        <w:tc>
          <w:tcPr>
            <w:tcW w:w="8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120" w:type="dxa"/>
            <w:vAlign w:val="bottom"/>
          </w:tcPr>
          <w:p>
            <w:pPr>
              <w:ind w:left="920"/>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1" w:name="page102"/>
    <w:bookmarkEnd w:id="10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INDEX TO FINANCIAL STATEMENTS</w:t>
      </w:r>
    </w:p>
    <w:p>
      <w:pPr>
        <w:spacing w:after="0" w:line="15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440" w:type="dxa"/>
            <w:vAlign w:val="bottom"/>
            <w:gridSpan w:val="7"/>
          </w:tcPr>
          <w:p>
            <w:pPr>
              <w:jc w:val="center"/>
              <w:spacing w:after="0"/>
              <w:rPr>
                <w:sz w:val="20"/>
                <w:szCs w:val="20"/>
                <w:color w:val="auto"/>
              </w:rPr>
            </w:pPr>
            <w:r>
              <w:rPr>
                <w:rFonts w:ascii="Arial" w:cs="Arial" w:eastAsia="Arial" w:hAnsi="Arial"/>
                <w:sz w:val="18"/>
                <w:szCs w:val="18"/>
                <w:b w:val="1"/>
                <w:bCs w:val="1"/>
                <w:color w:val="auto"/>
                <w:w w:val="88"/>
              </w:rPr>
              <w:t>Page Numbers</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8500" w:type="dxa"/>
            <w:vAlign w:val="bottom"/>
            <w:gridSpan w:val="5"/>
            <w:shd w:val="clear" w:color="auto" w:fill="CCEEFF"/>
          </w:tcPr>
          <w:p>
            <w:pPr>
              <w:ind w:left="20"/>
              <w:spacing w:after="0" w:line="189" w:lineRule="exact"/>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Report of Independent Registered Public Accounting Firm</w:t>
              </w:r>
            </w:hyperlink>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5"/>
            <w:shd w:val="clear" w:color="auto" w:fill="CCEEFF"/>
          </w:tcPr>
          <w:p>
            <w:pPr>
              <w:jc w:val="center"/>
              <w:ind w:right="280"/>
              <w:spacing w:after="0" w:line="189" w:lineRule="exact"/>
              <w:rPr>
                <w:rFonts w:ascii="Arial" w:cs="Arial" w:eastAsia="Arial" w:hAnsi="Arial"/>
                <w:sz w:val="18"/>
                <w:szCs w:val="18"/>
                <w:color w:val="0000FF"/>
                <w:w w:val="88"/>
              </w:rPr>
            </w:pPr>
            <w:hyperlink w:anchor="page102">
              <w:r>
                <w:rPr>
                  <w:rFonts w:ascii="Arial" w:cs="Arial" w:eastAsia="Arial" w:hAnsi="Arial"/>
                  <w:sz w:val="18"/>
                  <w:szCs w:val="18"/>
                  <w:color w:val="0000FF"/>
                  <w:w w:val="88"/>
                </w:rPr>
                <w:t>F-2</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500" w:type="dxa"/>
            <w:vAlign w:val="bottom"/>
            <w:gridSpan w:val="5"/>
          </w:tcPr>
          <w:p>
            <w:pPr>
              <w:ind w:left="20"/>
              <w:spacing w:after="0" w:line="189" w:lineRule="exact"/>
              <w:rPr>
                <w:rFonts w:ascii="Arial" w:cs="Arial" w:eastAsia="Arial" w:hAnsi="Arial"/>
                <w:sz w:val="18"/>
                <w:szCs w:val="18"/>
                <w:color w:val="0000FF"/>
              </w:rPr>
            </w:pPr>
            <w:hyperlink w:anchor="page104">
              <w:r>
                <w:rPr>
                  <w:rFonts w:ascii="Arial" w:cs="Arial" w:eastAsia="Arial" w:hAnsi="Arial"/>
                  <w:sz w:val="18"/>
                  <w:szCs w:val="18"/>
                  <w:u w:val="single" w:color="auto"/>
                  <w:color w:val="0000FF"/>
                </w:rPr>
                <w:t>Consolidated Balance Sheets as of December 31,</w:t>
              </w:r>
              <w:r>
                <w:rPr>
                  <w:rFonts w:ascii="Arial" w:cs="Arial" w:eastAsia="Arial" w:hAnsi="Arial"/>
                  <w:sz w:val="18"/>
                  <w:szCs w:val="18"/>
                  <w:color w:val="0000FF"/>
                </w:rPr>
                <w:t xml:space="preserve"> 2020 and 2019</w:t>
              </w:r>
            </w:hyperlink>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5"/>
          </w:tcPr>
          <w:p>
            <w:pPr>
              <w:jc w:val="center"/>
              <w:ind w:right="280"/>
              <w:spacing w:after="0" w:line="189" w:lineRule="exact"/>
              <w:rPr>
                <w:rFonts w:ascii="Arial" w:cs="Arial" w:eastAsia="Arial" w:hAnsi="Arial"/>
                <w:sz w:val="18"/>
                <w:szCs w:val="18"/>
                <w:color w:val="0000FF"/>
                <w:w w:val="88"/>
              </w:rPr>
            </w:pPr>
            <w:hyperlink w:anchor="page104">
              <w:r>
                <w:rPr>
                  <w:rFonts w:ascii="Arial" w:cs="Arial" w:eastAsia="Arial" w:hAnsi="Arial"/>
                  <w:sz w:val="18"/>
                  <w:szCs w:val="18"/>
                  <w:color w:val="0000FF"/>
                  <w:w w:val="88"/>
                </w:rPr>
                <w:t>F-4</w:t>
              </w:r>
            </w:hyperlink>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8500" w:type="dxa"/>
            <w:vAlign w:val="bottom"/>
            <w:gridSpan w:val="5"/>
            <w:shd w:val="clear" w:color="auto" w:fill="CCEEFF"/>
          </w:tcPr>
          <w:p>
            <w:pPr>
              <w:ind w:left="20"/>
              <w:spacing w:after="0" w:line="189" w:lineRule="exact"/>
              <w:rPr>
                <w:rFonts w:ascii="Arial" w:cs="Arial" w:eastAsia="Arial" w:hAnsi="Arial"/>
                <w:sz w:val="18"/>
                <w:szCs w:val="18"/>
                <w:u w:val="single" w:color="auto"/>
                <w:color w:val="0000FF"/>
                <w:w w:val="91"/>
              </w:rPr>
            </w:pPr>
            <w:hyperlink w:anchor="page105">
              <w:r>
                <w:rPr>
                  <w:rFonts w:ascii="Arial" w:cs="Arial" w:eastAsia="Arial" w:hAnsi="Arial"/>
                  <w:sz w:val="18"/>
                  <w:szCs w:val="18"/>
                  <w:u w:val="single" w:color="auto"/>
                  <w:color w:val="0000FF"/>
                  <w:w w:val="91"/>
                </w:rPr>
                <w:t>Consolidated Statements of Operations and Comprehensive Income for the Years Ended December 31, 2020, 2019,</w:t>
              </w:r>
            </w:hyperlink>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5"/>
            <w:shd w:val="clear" w:color="auto" w:fill="CCEEFF"/>
          </w:tcPr>
          <w:p>
            <w:pPr>
              <w:jc w:val="center"/>
              <w:ind w:right="280"/>
              <w:spacing w:after="0" w:line="189" w:lineRule="exact"/>
              <w:rPr>
                <w:rFonts w:ascii="Arial" w:cs="Arial" w:eastAsia="Arial" w:hAnsi="Arial"/>
                <w:sz w:val="18"/>
                <w:szCs w:val="18"/>
                <w:color w:val="0000FF"/>
                <w:w w:val="88"/>
              </w:rPr>
            </w:pPr>
            <w:hyperlink w:anchor="page105">
              <w:r>
                <w:rPr>
                  <w:rFonts w:ascii="Arial" w:cs="Arial" w:eastAsia="Arial" w:hAnsi="Arial"/>
                  <w:sz w:val="18"/>
                  <w:szCs w:val="18"/>
                  <w:color w:val="0000FF"/>
                  <w:w w:val="88"/>
                </w:rPr>
                <w:t>F-5</w:t>
              </w:r>
            </w:hyperlink>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8480" w:type="dxa"/>
            <w:vAlign w:val="bottom"/>
            <w:tcBorders>
              <w:top w:val="single" w:sz="8" w:color="CCEEFF"/>
            </w:tcBorders>
            <w:gridSpan w:val="4"/>
            <w:shd w:val="clear" w:color="auto" w:fill="CCEEFF"/>
          </w:tcPr>
          <w:p>
            <w:pPr>
              <w:spacing w:after="0" w:line="156" w:lineRule="exact"/>
              <w:rPr>
                <w:rFonts w:ascii="Arial" w:cs="Arial" w:eastAsia="Arial" w:hAnsi="Arial"/>
                <w:sz w:val="18"/>
                <w:szCs w:val="18"/>
                <w:color w:val="0000FF"/>
              </w:rPr>
            </w:pPr>
            <w:hyperlink w:anchor="page105">
              <w:r>
                <w:rPr>
                  <w:rFonts w:ascii="Arial" w:cs="Arial" w:eastAsia="Arial" w:hAnsi="Arial"/>
                  <w:sz w:val="18"/>
                  <w:szCs w:val="18"/>
                  <w:color w:val="0000FF"/>
                </w:rPr>
                <w:t>and 2018</w:t>
              </w:r>
            </w:hyperlink>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480" w:type="dxa"/>
            <w:vAlign w:val="bottom"/>
            <w:gridSpan w:val="4"/>
          </w:tcPr>
          <w:p>
            <w:pPr>
              <w:spacing w:after="0" w:line="189" w:lineRule="exact"/>
              <w:rPr>
                <w:rFonts w:ascii="Arial" w:cs="Arial" w:eastAsia="Arial" w:hAnsi="Arial"/>
                <w:sz w:val="18"/>
                <w:szCs w:val="18"/>
                <w:u w:val="single" w:color="auto"/>
                <w:color w:val="0000FF"/>
                <w:w w:val="99"/>
              </w:rPr>
            </w:pPr>
            <w:hyperlink w:anchor="page106">
              <w:r>
                <w:rPr>
                  <w:rFonts w:ascii="Arial" w:cs="Arial" w:eastAsia="Arial" w:hAnsi="Arial"/>
                  <w:sz w:val="18"/>
                  <w:szCs w:val="18"/>
                  <w:u w:val="single" w:color="auto"/>
                  <w:color w:val="0000FF"/>
                  <w:w w:val="99"/>
                </w:rPr>
                <w:t xml:space="preserve">Consolidated Statements of Stockholders' Equity for the Years Ended December 31, </w:t>
              </w:r>
            </w:hyperlink>
            <w:r>
              <w:rPr>
                <w:rFonts w:ascii="Arial" w:cs="Arial" w:eastAsia="Arial" w:hAnsi="Arial"/>
                <w:sz w:val="18"/>
                <w:szCs w:val="18"/>
                <w:u w:val="single" w:color="auto"/>
                <w:color w:val="0000FF"/>
                <w:w w:val="99"/>
              </w:rPr>
              <w:t xml:space="preserve">2020, </w:t>
            </w:r>
            <w:hyperlink w:anchor="page106">
              <w:r>
                <w:rPr>
                  <w:rFonts w:ascii="Arial" w:cs="Arial" w:eastAsia="Arial" w:hAnsi="Arial"/>
                  <w:sz w:val="18"/>
                  <w:szCs w:val="18"/>
                  <w:u w:val="single" w:color="auto"/>
                  <w:color w:val="0000FF"/>
                  <w:w w:val="99"/>
                </w:rPr>
                <w:t>2019, and 2018</w:t>
              </w:r>
            </w:hyperlink>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5"/>
          </w:tcPr>
          <w:p>
            <w:pPr>
              <w:jc w:val="center"/>
              <w:ind w:right="280"/>
              <w:spacing w:after="0" w:line="189" w:lineRule="exact"/>
              <w:rPr>
                <w:rFonts w:ascii="Arial" w:cs="Arial" w:eastAsia="Arial" w:hAnsi="Arial"/>
                <w:sz w:val="18"/>
                <w:szCs w:val="18"/>
                <w:color w:val="0000FF"/>
                <w:w w:val="88"/>
              </w:rPr>
            </w:pPr>
            <w:hyperlink w:anchor="page106">
              <w:r>
                <w:rPr>
                  <w:rFonts w:ascii="Arial" w:cs="Arial" w:eastAsia="Arial" w:hAnsi="Arial"/>
                  <w:sz w:val="18"/>
                  <w:szCs w:val="18"/>
                  <w:color w:val="0000FF"/>
                  <w:w w:val="88"/>
                </w:rPr>
                <w:t>F-6</w:t>
              </w:r>
            </w:hyperlink>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8500" w:type="dxa"/>
            <w:vAlign w:val="bottom"/>
            <w:gridSpan w:val="5"/>
            <w:shd w:val="clear" w:color="auto" w:fill="CCEEFF"/>
          </w:tcPr>
          <w:p>
            <w:pPr>
              <w:ind w:left="20"/>
              <w:spacing w:after="0" w:line="189" w:lineRule="exact"/>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 xml:space="preserve">Consolidated Statements of Cash Flows for the Years Ended December 31, </w:t>
              </w:r>
            </w:hyperlink>
            <w:r>
              <w:rPr>
                <w:rFonts w:ascii="Arial" w:cs="Arial" w:eastAsia="Arial" w:hAnsi="Arial"/>
                <w:sz w:val="18"/>
                <w:szCs w:val="18"/>
                <w:u w:val="single" w:color="auto"/>
                <w:color w:val="0000FF"/>
              </w:rPr>
              <w:t xml:space="preserve">2020, </w:t>
            </w:r>
            <w:hyperlink w:anchor="page108">
              <w:r>
                <w:rPr>
                  <w:rFonts w:ascii="Arial" w:cs="Arial" w:eastAsia="Arial" w:hAnsi="Arial"/>
                  <w:sz w:val="18"/>
                  <w:szCs w:val="18"/>
                  <w:u w:val="single" w:color="auto"/>
                  <w:color w:val="0000FF"/>
                </w:rPr>
                <w:t>2019, and 2018</w:t>
              </w:r>
            </w:hyperlink>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5"/>
            <w:shd w:val="clear" w:color="auto" w:fill="CCEEFF"/>
          </w:tcPr>
          <w:p>
            <w:pPr>
              <w:jc w:val="center"/>
              <w:ind w:right="280"/>
              <w:spacing w:after="0" w:line="189" w:lineRule="exact"/>
              <w:rPr>
                <w:rFonts w:ascii="Arial" w:cs="Arial" w:eastAsia="Arial" w:hAnsi="Arial"/>
                <w:sz w:val="18"/>
                <w:szCs w:val="18"/>
                <w:color w:val="0000FF"/>
                <w:w w:val="88"/>
              </w:rPr>
            </w:pPr>
            <w:hyperlink w:anchor="page108">
              <w:r>
                <w:rPr>
                  <w:rFonts w:ascii="Arial" w:cs="Arial" w:eastAsia="Arial" w:hAnsi="Arial"/>
                  <w:sz w:val="18"/>
                  <w:szCs w:val="18"/>
                  <w:color w:val="0000FF"/>
                  <w:w w:val="88"/>
                </w:rPr>
                <w:t>F-8</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500" w:type="dxa"/>
            <w:vAlign w:val="bottom"/>
            <w:gridSpan w:val="5"/>
          </w:tcPr>
          <w:p>
            <w:pPr>
              <w:ind w:left="20"/>
              <w:spacing w:after="0" w:line="189" w:lineRule="exact"/>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Notes to Consolidated Financial Statements</w:t>
              </w:r>
            </w:hyperlink>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5"/>
          </w:tcPr>
          <w:p>
            <w:pPr>
              <w:jc w:val="center"/>
              <w:ind w:right="300"/>
              <w:spacing w:after="0" w:line="189" w:lineRule="exact"/>
              <w:rPr>
                <w:rFonts w:ascii="Arial" w:cs="Arial" w:eastAsia="Arial" w:hAnsi="Arial"/>
                <w:sz w:val="18"/>
                <w:szCs w:val="18"/>
                <w:color w:val="0000FF"/>
                <w:w w:val="92"/>
              </w:rPr>
            </w:pPr>
            <w:hyperlink w:anchor="page109">
              <w:r>
                <w:rPr>
                  <w:rFonts w:ascii="Arial" w:cs="Arial" w:eastAsia="Arial" w:hAnsi="Arial"/>
                  <w:sz w:val="18"/>
                  <w:szCs w:val="18"/>
                  <w:color w:val="0000FF"/>
                  <w:w w:val="92"/>
                </w:rPr>
                <w:t xml:space="preserve">F-9 </w:t>
              </w:r>
            </w:hyperlink>
            <w:r>
              <w:rPr>
                <w:rFonts w:ascii="Arial" w:cs="Arial" w:eastAsia="Arial" w:hAnsi="Arial"/>
                <w:sz w:val="18"/>
                <w:szCs w:val="18"/>
                <w:color w:val="0000FF"/>
                <w:w w:val="92"/>
              </w:rPr>
              <w:t xml:space="preserve">to </w:t>
            </w:r>
            <w:hyperlink w:anchor="page148">
              <w:r>
                <w:rPr>
                  <w:rFonts w:ascii="Arial" w:cs="Arial" w:eastAsia="Arial" w:hAnsi="Arial"/>
                  <w:sz w:val="18"/>
                  <w:szCs w:val="18"/>
                  <w:color w:val="0000FF"/>
                  <w:w w:val="92"/>
                </w:rPr>
                <w:t>F-48</w:t>
              </w:r>
            </w:hyperlink>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130" w:right="979" w:bottom="1440" w:gutter="0" w:footer="0" w:header="0"/>
        </w:sectPr>
      </w:pPr>
    </w:p>
    <w:bookmarkStart w:id="102" w:name="page103"/>
    <w:bookmarkEnd w:id="10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Regeneron Pharmaceuticals,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We have audited the accompanying consolidated balance sheets of Regeneron Pharmaceuticals, Inc. and its subsidiaries (the "Company") as of December 31, 2020 and 2019, and the related consolidated statements of operations and comprehensive income, of stockholders' equity and of cash flows for each of the three years in the period ended December 31, 2020, including the related notes (collectively referred to as the "consolidated financial statements"). We also have audited the Company's internal control over financial reporting as of December 31, 2020, based on criteria established in </w:t>
      </w:r>
      <w:r>
        <w:rPr>
          <w:rFonts w:ascii="Arial" w:cs="Arial" w:eastAsia="Arial" w:hAnsi="Arial"/>
          <w:sz w:val="16"/>
          <w:szCs w:val="16"/>
          <w:i w:val="1"/>
          <w:iCs w:val="1"/>
          <w:color w:val="auto"/>
        </w:rPr>
        <w:t xml:space="preserve">Internal Control - Integrated Framework </w:t>
      </w:r>
      <w:r>
        <w:rPr>
          <w:rFonts w:ascii="Arial" w:cs="Arial" w:eastAsia="Arial" w:hAnsi="Arial"/>
          <w:sz w:val="16"/>
          <w:szCs w:val="16"/>
          <w:color w:val="auto"/>
        </w:rPr>
        <w:t>(2013) issued by the Committee of Sponsoring Organizations of the Treadway Commission (COSO).</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Principles</w:t>
      </w:r>
    </w:p>
    <w:p>
      <w:pPr>
        <w:spacing w:after="0" w:line="25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discussed in Note 1 to the consolidated financial statements, the Company changed the manner in which it accounts for amounts received from collaborative partners who are not deemed to be the Company's customers in 2020 and the manner in which it accounts for revenues from contracts with customers in 2018.</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w:t>
      </w:r>
    </w:p>
    <w:p>
      <w:pPr>
        <w:sectPr>
          <w:pgSz w:w="11900" w:h="16838" w:orient="portrait"/>
          <w:cols w:equalWidth="0" w:num="1">
            <w:col w:w="11240"/>
          </w:cols>
          <w:pgMar w:left="320" w:top="130" w:right="3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03" w:name="page104"/>
    <w:bookmarkEnd w:id="10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Recognition of Other Operating Income related to Research and Development Up-front and Milestone Payments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described in Note 1 to the consolidated financial statements, other operating income related to collaboration arrangements where the Company satisfies obligations during the development phase over time is typically recognized using an input method on the basis of research and development costs incurred relative to the total expected costs which determines the extent of progress towards completion of the obligation. Other operating income for non-refundable up-front payments and development milestones for which management used an input method, was $276.7 million for the year ended December 31, 2020. Management has disclosed that there is variability in the scope of activities and length of time necessary to develop a drug product, potential delays in development programs, changes to development plans and budgets as programs progress, and uncertainty in the ultimate requirements to obtain governmental approval for commercialization related to these estimates.</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principal considerations for our determination that performing procedures relating to recognition of other operating income related to research and development up-front and milestone payments is a critical audit matter are the significant judgment by management when determining the estimate of total expected research and development costs to complete the obligation, which in turn led to significant audit effort in performing procedures and evaluating evidence to assess the reasonableness of the estimates of the costs to complete.</w:t>
      </w:r>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other operating income recognition process, including controls over the determination of the estimate of total expected research and development costs to complete the obligation. These procedures also included, among others, evaluating and testing management’s process for determining the estimate of total expected research and development costs at completion for a sample of contracts, which included evaluating the reasonableness of actual costs incurred and estimated costs to complete. Evaluating the reasonableness of estimated costs to complete involved assessing management’s ability to reasonably estimate costs to complete the obligation by (i) obtaining supporting evidence for expected development activities; (ii) evaluating the identification of circumstances that may warrant a modification to estimated costs to complete; and (iii) agreeing estimates of total budgeted costs to contracts or other agreements with collaboration partners.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8, 2021</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1989.</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4" w:name="page105"/>
    <w:bookmarkEnd w:id="10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millions, except share data)</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524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1,617.8</w:t>
            </w:r>
          </w:p>
        </w:tc>
        <w:tc>
          <w:tcPr>
            <w:tcW w:w="0" w:type="dxa"/>
            <w:vAlign w:val="bottom"/>
          </w:tcPr>
          <w:p>
            <w:pPr>
              <w:spacing w:after="0"/>
              <w:rPr>
                <w:sz w:val="1"/>
                <w:szCs w:val="1"/>
                <w:color w:val="auto"/>
              </w:rPr>
            </w:pPr>
          </w:p>
        </w:tc>
      </w:tr>
      <w:tr>
        <w:trPr>
          <w:trHeight w:val="229"/>
        </w:trPr>
        <w:tc>
          <w:tcPr>
            <w:tcW w:w="802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1,393.3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1,596.5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 trade, net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0" w:type="dxa"/>
            <w:vAlign w:val="bottom"/>
          </w:tcPr>
          <w:p>
            <w:pPr>
              <w:spacing w:after="0"/>
              <w:rPr>
                <w:sz w:val="1"/>
                <w:szCs w:val="1"/>
                <w:color w:val="auto"/>
              </w:rPr>
            </w:pPr>
          </w:p>
        </w:tc>
      </w:tr>
      <w:tr>
        <w:trPr>
          <w:trHeight w:val="230"/>
        </w:trPr>
        <w:tc>
          <w:tcPr>
            <w:tcW w:w="8020" w:type="dxa"/>
            <w:vAlign w:val="bottom"/>
          </w:tcPr>
          <w:p>
            <w:pPr>
              <w:ind w:left="200"/>
              <w:spacing w:after="0"/>
              <w:rPr>
                <w:sz w:val="20"/>
                <w:szCs w:val="20"/>
                <w:color w:val="auto"/>
              </w:rPr>
            </w:pPr>
            <w:r>
              <w:rPr>
                <w:rFonts w:ascii="Arial" w:cs="Arial" w:eastAsia="Arial" w:hAnsi="Arial"/>
                <w:sz w:val="18"/>
                <w:szCs w:val="18"/>
                <w:color w:val="auto"/>
              </w:rPr>
              <w:t>Accounts receivable - Sanofi, net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404.7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 other, net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0" w:type="dxa"/>
            <w:vAlign w:val="bottom"/>
          </w:tcPr>
          <w:p>
            <w:pPr>
              <w:spacing w:after="0"/>
              <w:rPr>
                <w:sz w:val="1"/>
                <w:szCs w:val="1"/>
                <w:color w:val="auto"/>
              </w:rPr>
            </w:pPr>
          </w:p>
        </w:tc>
      </w:tr>
      <w:tr>
        <w:trPr>
          <w:trHeight w:val="230"/>
        </w:trPr>
        <w:tc>
          <w:tcPr>
            <w:tcW w:w="802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1,916.6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1,415.5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9,779.1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7,689.1</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3,135.6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3,256.8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2,890.4</w:t>
            </w:r>
          </w:p>
        </w:tc>
        <w:tc>
          <w:tcPr>
            <w:tcW w:w="0" w:type="dxa"/>
            <w:vAlign w:val="bottom"/>
          </w:tcPr>
          <w:p>
            <w:pPr>
              <w:spacing w:after="0"/>
              <w:rPr>
                <w:sz w:val="1"/>
                <w:szCs w:val="1"/>
                <w:color w:val="auto"/>
              </w:rPr>
            </w:pPr>
          </w:p>
        </w:tc>
      </w:tr>
      <w:tr>
        <w:trPr>
          <w:trHeight w:val="230"/>
        </w:trPr>
        <w:tc>
          <w:tcPr>
            <w:tcW w:w="8020" w:type="dxa"/>
            <w:vAlign w:val="bottom"/>
          </w:tcPr>
          <w:p>
            <w:pPr>
              <w:ind w:left="200"/>
              <w:spacing w:after="0"/>
              <w:rPr>
                <w:sz w:val="20"/>
                <w:szCs w:val="20"/>
                <w:color w:val="auto"/>
              </w:rPr>
            </w:pPr>
            <w:r>
              <w:rPr>
                <w:rFonts w:ascii="Arial" w:cs="Arial" w:eastAsia="Arial" w:hAnsi="Arial"/>
                <w:sz w:val="18"/>
                <w:szCs w:val="18"/>
                <w:color w:val="auto"/>
              </w:rPr>
              <w:t>Deferred tax assets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858.9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824.2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17,163.3</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14,805.2</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3640"/>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475.5</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418.1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1,211.4</w:t>
            </w:r>
          </w:p>
        </w:tc>
        <w:tc>
          <w:tcPr>
            <w:tcW w:w="0" w:type="dxa"/>
            <w:vAlign w:val="bottom"/>
          </w:tcPr>
          <w:p>
            <w:pPr>
              <w:spacing w:after="0"/>
              <w:rPr>
                <w:sz w:val="1"/>
                <w:szCs w:val="1"/>
                <w:color w:val="auto"/>
              </w:rPr>
            </w:pPr>
          </w:p>
        </w:tc>
      </w:tr>
      <w:tr>
        <w:trPr>
          <w:trHeight w:val="230"/>
        </w:trPr>
        <w:tc>
          <w:tcPr>
            <w:tcW w:w="8020" w:type="dxa"/>
            <w:vAlign w:val="bottom"/>
          </w:tcPr>
          <w:p>
            <w:pPr>
              <w:ind w:left="200"/>
              <w:spacing w:after="0"/>
              <w:rPr>
                <w:sz w:val="20"/>
                <w:szCs w:val="20"/>
                <w:color w:val="auto"/>
              </w:rPr>
            </w:pPr>
            <w:r>
              <w:rPr>
                <w:rFonts w:ascii="Arial" w:cs="Arial" w:eastAsia="Arial" w:hAnsi="Arial"/>
                <w:sz w:val="18"/>
                <w:szCs w:val="18"/>
                <w:color w:val="auto"/>
              </w:rPr>
              <w:t>Deferred revenue - Sanofi</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341.7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310.5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 - other</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liabilities - Sanofi</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2,096.6</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200"/>
              <w:spacing w:after="0"/>
              <w:rPr>
                <w:sz w:val="20"/>
                <w:szCs w:val="20"/>
                <w:color w:val="auto"/>
              </w:rPr>
            </w:pPr>
            <w:r>
              <w:rPr>
                <w:rFonts w:ascii="Arial" w:cs="Arial" w:eastAsia="Arial" w:hAnsi="Arial"/>
                <w:sz w:val="18"/>
                <w:szCs w:val="18"/>
                <w:color w:val="auto"/>
              </w:rPr>
              <w:t>Finance lease liabilities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717.2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713.9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 - Sanofi</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30"/>
        </w:trPr>
        <w:tc>
          <w:tcPr>
            <w:tcW w:w="8020" w:type="dxa"/>
            <w:vAlign w:val="bottom"/>
          </w:tcPr>
          <w:p>
            <w:pPr>
              <w:ind w:left="200"/>
              <w:spacing w:after="0"/>
              <w:rPr>
                <w:sz w:val="20"/>
                <w:szCs w:val="20"/>
                <w:color w:val="auto"/>
              </w:rPr>
            </w:pPr>
            <w:r>
              <w:rPr>
                <w:rFonts w:ascii="Arial" w:cs="Arial" w:eastAsia="Arial" w:hAnsi="Arial"/>
                <w:sz w:val="18"/>
                <w:szCs w:val="18"/>
                <w:color w:val="auto"/>
              </w:rPr>
              <w:t>Deferred revenue - other</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liabilities - Sanofi</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noncurrent liabilities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317.7</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6,138.0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3,715.5</w:t>
            </w:r>
          </w:p>
        </w:tc>
        <w:tc>
          <w:tcPr>
            <w:tcW w:w="0" w:type="dxa"/>
            <w:vAlign w:val="bottom"/>
          </w:tcPr>
          <w:p>
            <w:pPr>
              <w:spacing w:after="0"/>
              <w:rPr>
                <w:sz w:val="1"/>
                <w:szCs w:val="1"/>
                <w:color w:val="auto"/>
              </w:rPr>
            </w:pPr>
          </w:p>
        </w:tc>
      </w:tr>
      <w:tr>
        <w:trPr>
          <w:trHeight w:val="196"/>
        </w:trPr>
        <w:tc>
          <w:tcPr>
            <w:tcW w:w="8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0"/>
              <w:spacing w:after="0"/>
              <w:rPr>
                <w:sz w:val="20"/>
                <w:szCs w:val="20"/>
                <w:color w:val="auto"/>
              </w:rPr>
            </w:pPr>
            <w:r>
              <w:rPr>
                <w:rFonts w:ascii="Arial" w:cs="Arial" w:eastAsia="Arial" w:hAnsi="Arial"/>
                <w:sz w:val="18"/>
                <w:szCs w:val="18"/>
                <w:color w:val="auto"/>
              </w:rPr>
              <w:t>Preferred Stock, $.01 par value; 30,000,000 shares authorized; issued and outstanding - none</w:t>
            </w: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1"/>
              </w:rPr>
              <w:t>Class A Stock, convertible, $.001 par value; 40,000,000 shares authorized; shares issued and outstanding -</w:t>
            </w:r>
          </w:p>
        </w:tc>
        <w:tc>
          <w:tcPr>
            <w:tcW w:w="3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1,848,970 in 2020 and 2019</w:t>
            </w:r>
          </w:p>
        </w:tc>
        <w:tc>
          <w:tcPr>
            <w:tcW w:w="3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00"/>
              <w:spacing w:after="0" w:line="176" w:lineRule="exact"/>
              <w:rPr>
                <w:sz w:val="20"/>
                <w:szCs w:val="20"/>
                <w:color w:val="auto"/>
              </w:rPr>
            </w:pPr>
            <w:r>
              <w:rPr>
                <w:rFonts w:ascii="Arial" w:cs="Arial" w:eastAsia="Arial" w:hAnsi="Arial"/>
                <w:sz w:val="18"/>
                <w:szCs w:val="18"/>
                <w:color w:val="auto"/>
                <w:w w:val="91"/>
              </w:rPr>
              <w:t>Common Stock, $.001 par value; 320,000,000 shares authorized; shares issued - 121,533,460 in 2020 and</w:t>
            </w:r>
          </w:p>
        </w:tc>
        <w:tc>
          <w:tcPr>
            <w:tcW w:w="3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8020" w:type="dxa"/>
            <w:vAlign w:val="bottom"/>
          </w:tcPr>
          <w:p>
            <w:pPr>
              <w:ind w:left="380"/>
              <w:spacing w:after="0"/>
              <w:rPr>
                <w:sz w:val="20"/>
                <w:szCs w:val="20"/>
                <w:color w:val="auto"/>
              </w:rPr>
            </w:pPr>
            <w:r>
              <w:rPr>
                <w:rFonts w:ascii="Arial" w:cs="Arial" w:eastAsia="Arial" w:hAnsi="Arial"/>
                <w:sz w:val="18"/>
                <w:szCs w:val="18"/>
                <w:color w:val="auto"/>
              </w:rPr>
              <w:t>113,288,103 in 2019</w:t>
            </w:r>
          </w:p>
        </w:tc>
        <w:tc>
          <w:tcPr>
            <w:tcW w:w="3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6,716.2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4,428.6</w:t>
            </w:r>
          </w:p>
        </w:tc>
        <w:tc>
          <w:tcPr>
            <w:tcW w:w="0" w:type="dxa"/>
            <w:vAlign w:val="bottom"/>
          </w:tcPr>
          <w:p>
            <w:pPr>
              <w:spacing w:after="0"/>
              <w:rPr>
                <w:sz w:val="1"/>
                <w:szCs w:val="1"/>
                <w:color w:val="auto"/>
              </w:rPr>
            </w:pPr>
          </w:p>
        </w:tc>
      </w:tr>
      <w:tr>
        <w:trPr>
          <w:trHeight w:val="229"/>
        </w:trPr>
        <w:tc>
          <w:tcPr>
            <w:tcW w:w="802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10,893.0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7,379.8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Treasury Stock, at cost; 16,431,520 shares in 2020 and 4,860,123 shares in 2019</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(6,613.3)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(739.9)</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11,025.3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11,089.7</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17,163.3</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14,805.2</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10628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18">
                      <a:extLst>
                        <a:ext uri="{28A0092B-C50C-407E-A947-70E740481C1C}"/>
                      </a:extLst>
                    </a:blip>
                    <a:srcRect/>
                    <a:stretch>
                      <a:fillRect/>
                    </a:stretch>
                  </pic:blipFill>
                  <pic:spPr bwMode="auto">
                    <a:xfrm>
                      <a:off x="0" y="0"/>
                      <a:ext cx="710628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43180</wp:posOffset>
            </wp:positionV>
            <wp:extent cx="710628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19">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05" w:name="page106"/>
    <w:bookmarkEnd w:id="10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(In millions, except per share data)</w:t>
      </w:r>
    </w:p>
    <w:p>
      <w:pPr>
        <w:spacing w:after="0" w:line="126"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20" w:type="dxa"/>
            <w:vAlign w:val="bottom"/>
            <w:tcBorders>
              <w:bottom w:val="single" w:sz="8" w:color="auto"/>
            </w:tcBorders>
          </w:tcPr>
          <w:p>
            <w:pPr>
              <w:spacing w:after="0"/>
              <w:rPr>
                <w:sz w:val="20"/>
                <w:szCs w:val="20"/>
                <w:color w:val="auto"/>
              </w:rPr>
            </w:pPr>
          </w:p>
        </w:tc>
      </w:tr>
      <w:tr>
        <w:trPr>
          <w:trHeight w:val="223"/>
        </w:trPr>
        <w:tc>
          <w:tcPr>
            <w:tcW w:w="6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0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Operations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Revenues: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product sales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4,106.2</w:t>
            </w:r>
          </w:p>
        </w:tc>
      </w:tr>
      <w:tr>
        <w:trPr>
          <w:trHeight w:val="229"/>
        </w:trPr>
        <w:tc>
          <w:tcPr>
            <w:tcW w:w="6100" w:type="dxa"/>
            <w:vAlign w:val="bottom"/>
          </w:tcPr>
          <w:p>
            <w:pPr>
              <w:ind w:left="240"/>
              <w:spacing w:after="0"/>
              <w:rPr>
                <w:sz w:val="20"/>
                <w:szCs w:val="20"/>
                <w:color w:val="auto"/>
              </w:rPr>
            </w:pPr>
            <w:r>
              <w:rPr>
                <w:rFonts w:ascii="Arial" w:cs="Arial" w:eastAsia="Arial" w:hAnsi="Arial"/>
                <w:sz w:val="18"/>
                <w:szCs w:val="18"/>
                <w:color w:val="auto"/>
              </w:rPr>
              <w:t>Sanofi collaboration revenue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(125.7)</w:t>
            </w:r>
          </w:p>
        </w:tc>
      </w:tr>
      <w:tr>
        <w:trPr>
          <w:trHeight w:val="229"/>
        </w:trPr>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Bayer collaboration revenue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1,036.1</w:t>
            </w:r>
          </w:p>
        </w:tc>
      </w:tr>
      <w:tr>
        <w:trPr>
          <w:trHeight w:val="230"/>
        </w:trPr>
        <w:tc>
          <w:tcPr>
            <w:tcW w:w="61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revenue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w:t>
            </w:r>
          </w:p>
        </w:tc>
      </w:tr>
      <w:tr>
        <w:trPr>
          <w:trHeight w:val="223"/>
        </w:trPr>
        <w:tc>
          <w:tcPr>
            <w:tcW w:w="6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8,497.1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6,557.6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5,145.6</w:t>
            </w:r>
          </w:p>
        </w:tc>
      </w:tr>
      <w:tr>
        <w:trPr>
          <w:trHeight w:val="196"/>
        </w:trPr>
        <w:tc>
          <w:tcPr>
            <w:tcW w:w="6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610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2,735.0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2,450.0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1,468.8</w:t>
            </w:r>
          </w:p>
        </w:tc>
      </w:tr>
      <w:tr>
        <w:trPr>
          <w:trHeight w:val="230"/>
        </w:trPr>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1,127.2</w:t>
            </w:r>
          </w:p>
        </w:tc>
      </w:tr>
      <w:tr>
        <w:trPr>
          <w:trHeight w:val="229"/>
        </w:trPr>
        <w:tc>
          <w:tcPr>
            <w:tcW w:w="6100" w:type="dxa"/>
            <w:vAlign w:val="bottom"/>
          </w:tcPr>
          <w:p>
            <w:pPr>
              <w:ind w:left="240"/>
              <w:spacing w:after="0"/>
              <w:rPr>
                <w:sz w:val="20"/>
                <w:szCs w:val="20"/>
                <w:color w:val="auto"/>
              </w:rPr>
            </w:pPr>
            <w:r>
              <w:rPr>
                <w:rFonts w:ascii="Arial" w:cs="Arial" w:eastAsia="Arial" w:hAnsi="Arial"/>
                <w:sz w:val="18"/>
                <w:szCs w:val="18"/>
                <w:color w:val="auto"/>
              </w:rPr>
              <w:t>Cost of goods sold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180.0</w:t>
            </w:r>
          </w:p>
        </w:tc>
      </w:tr>
      <w:tr>
        <w:trPr>
          <w:trHeight w:val="230"/>
        </w:trPr>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 of collaboration and contract manufacturing</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r>
      <w:tr>
        <w:trPr>
          <w:trHeight w:val="229"/>
        </w:trPr>
        <w:tc>
          <w:tcPr>
            <w:tcW w:w="61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operating (income) expense, net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(402.3)</w:t>
            </w:r>
          </w:p>
        </w:tc>
      </w:tr>
      <w:tr>
        <w:trPr>
          <w:trHeight w:val="223"/>
        </w:trPr>
        <w:tc>
          <w:tcPr>
            <w:tcW w:w="6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4,920.5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4,347.8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2,611.2</w:t>
            </w:r>
          </w:p>
        </w:tc>
      </w:tr>
      <w:tr>
        <w:trPr>
          <w:trHeight w:val="196"/>
        </w:trPr>
        <w:tc>
          <w:tcPr>
            <w:tcW w:w="6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3,576.6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2,534.4</w:t>
            </w:r>
          </w:p>
        </w:tc>
      </w:tr>
      <w:tr>
        <w:trPr>
          <w:trHeight w:val="196"/>
        </w:trPr>
        <w:tc>
          <w:tcPr>
            <w:tcW w:w="6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6100" w:type="dxa"/>
            <w:vAlign w:val="bottom"/>
          </w:tcPr>
          <w:p>
            <w:pPr>
              <w:ind w:left="24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47.3</w:t>
            </w:r>
          </w:p>
        </w:tc>
      </w:tr>
      <w:tr>
        <w:trPr>
          <w:trHeight w:val="230"/>
        </w:trPr>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23"/>
        </w:trPr>
        <w:tc>
          <w:tcPr>
            <w:tcW w:w="6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r>
      <w:tr>
        <w:trPr>
          <w:trHeight w:val="196"/>
        </w:trPr>
        <w:tc>
          <w:tcPr>
            <w:tcW w:w="6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3,810.4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2,429.1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2,553.5</w:t>
            </w:r>
          </w:p>
        </w:tc>
      </w:tr>
      <w:tr>
        <w:trPr>
          <w:trHeight w:val="216"/>
        </w:trPr>
        <w:tc>
          <w:tcPr>
            <w:tcW w:w="6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w:t>
            </w:r>
          </w:p>
        </w:tc>
      </w:tr>
      <w:tr>
        <w:trPr>
          <w:trHeight w:val="196"/>
        </w:trPr>
        <w:tc>
          <w:tcPr>
            <w:tcW w:w="6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3,513.2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2,444.4</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6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Net income per share - basic</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32.65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19.38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22.65</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r>
      <w:tr>
        <w:trPr>
          <w:trHeight w:val="216"/>
        </w:trPr>
        <w:tc>
          <w:tcPr>
            <w:tcW w:w="6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114.8</w:t>
            </w:r>
          </w:p>
        </w:tc>
      </w:tr>
      <w:tr>
        <w:trPr>
          <w:trHeight w:val="216"/>
        </w:trPr>
        <w:tc>
          <w:tcPr>
            <w:tcW w:w="6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Statements of Comprehensive Income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2,444.4</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Unrealized gain (loss) on debt securities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61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Unrealized (loss) gain on cash flow hedges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2,438.1</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17145</wp:posOffset>
            </wp:positionV>
            <wp:extent cx="697801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21">
                      <a:extLst>
                        <a:ext uri="{28A0092B-C50C-407E-A947-70E740481C1C}"/>
                      </a:extLst>
                    </a:blip>
                    <a:srcRect/>
                    <a:stretch>
                      <a:fillRect/>
                    </a:stretch>
                  </pic:blipFill>
                  <pic:spPr bwMode="auto">
                    <a:xfrm>
                      <a:off x="0" y="0"/>
                      <a:ext cx="6978015" cy="889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43180</wp:posOffset>
            </wp:positionV>
            <wp:extent cx="697801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22">
                      <a:extLst>
                        <a:ext uri="{28A0092B-C50C-407E-A947-70E740481C1C}"/>
                      </a:extLst>
                    </a:blip>
                    <a:srcRect/>
                    <a:stretch>
                      <a:fillRect/>
                    </a:stretch>
                  </pic:blipFill>
                  <pic:spPr bwMode="auto">
                    <a:xfrm>
                      <a:off x="0" y="0"/>
                      <a:ext cx="69780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30" w:right="459" w:bottom="1440" w:gutter="0" w:footer="0" w:header="0"/>
        </w:sectPr>
      </w:pPr>
    </w:p>
    <w:bookmarkStart w:id="106" w:name="page107"/>
    <w:bookmarkEnd w:id="10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Years Ended December 31, 2020, 2019, and 2018</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(In millions)</w:t>
      </w:r>
    </w:p>
    <w:p>
      <w:pPr>
        <w:spacing w:after="0" w:line="5"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w w:val="93"/>
              </w:rPr>
              <w:t>Additional</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76"/>
        </w:trPr>
        <w:tc>
          <w:tcPr>
            <w:tcW w:w="2480" w:type="dxa"/>
            <w:vAlign w:val="bottom"/>
          </w:tcPr>
          <w:p>
            <w:pPr>
              <w:spacing w:after="0"/>
              <w:rPr>
                <w:sz w:val="15"/>
                <w:szCs w:val="15"/>
                <w:color w:val="auto"/>
              </w:rPr>
            </w:pPr>
          </w:p>
        </w:tc>
        <w:tc>
          <w:tcPr>
            <w:tcW w:w="1300" w:type="dxa"/>
            <w:vAlign w:val="bottom"/>
            <w:gridSpan w:val="3"/>
            <w:vMerge w:val="restart"/>
          </w:tcPr>
          <w:p>
            <w:pPr>
              <w:ind w:left="120"/>
              <w:spacing w:after="0"/>
              <w:rPr>
                <w:sz w:val="20"/>
                <w:szCs w:val="20"/>
                <w:color w:val="auto"/>
              </w:rPr>
            </w:pPr>
            <w:r>
              <w:rPr>
                <w:rFonts w:ascii="Arial" w:cs="Arial" w:eastAsia="Arial" w:hAnsi="Arial"/>
                <w:sz w:val="18"/>
                <w:szCs w:val="18"/>
                <w:b w:val="1"/>
                <w:bCs w:val="1"/>
                <w:color w:val="auto"/>
                <w:w w:val="96"/>
              </w:rPr>
              <w:t>Class A Stock</w:t>
            </w:r>
          </w:p>
        </w:tc>
        <w:tc>
          <w:tcPr>
            <w:tcW w:w="80" w:type="dxa"/>
            <w:vAlign w:val="bottom"/>
            <w:vMerge w:val="restart"/>
          </w:tcPr>
          <w:p>
            <w:pPr>
              <w:spacing w:after="0"/>
              <w:rPr>
                <w:sz w:val="15"/>
                <w:szCs w:val="15"/>
                <w:color w:val="auto"/>
              </w:rPr>
            </w:pPr>
          </w:p>
        </w:tc>
        <w:tc>
          <w:tcPr>
            <w:tcW w:w="1380" w:type="dxa"/>
            <w:vAlign w:val="bottom"/>
            <w:gridSpan w:val="3"/>
            <w:vMerge w:val="restart"/>
          </w:tcPr>
          <w:p>
            <w:pPr>
              <w:jc w:val="right"/>
              <w:ind w:right="10"/>
              <w:spacing w:after="0"/>
              <w:rPr>
                <w:sz w:val="20"/>
                <w:szCs w:val="20"/>
                <w:color w:val="auto"/>
              </w:rPr>
            </w:pPr>
            <w:r>
              <w:rPr>
                <w:rFonts w:ascii="Arial" w:cs="Arial" w:eastAsia="Arial" w:hAnsi="Arial"/>
                <w:sz w:val="18"/>
                <w:szCs w:val="18"/>
                <w:b w:val="1"/>
                <w:bCs w:val="1"/>
                <w:color w:val="auto"/>
                <w:w w:val="95"/>
              </w:rPr>
              <w:t>Common Stock</w:t>
            </w:r>
          </w:p>
        </w:tc>
        <w:tc>
          <w:tcPr>
            <w:tcW w:w="80" w:type="dxa"/>
            <w:vAlign w:val="bottom"/>
            <w:vMerge w:val="restart"/>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95"/>
              </w:rPr>
              <w:t>Other</w:t>
            </w:r>
          </w:p>
        </w:tc>
        <w:tc>
          <w:tcPr>
            <w:tcW w:w="1440" w:type="dxa"/>
            <w:vAlign w:val="bottom"/>
            <w:gridSpan w:val="3"/>
            <w:vMerge w:val="restart"/>
          </w:tcPr>
          <w:p>
            <w:pPr>
              <w:jc w:val="right"/>
              <w:ind w:right="50"/>
              <w:spacing w:after="0"/>
              <w:rPr>
                <w:sz w:val="20"/>
                <w:szCs w:val="20"/>
                <w:color w:val="auto"/>
              </w:rPr>
            </w:pPr>
            <w:r>
              <w:rPr>
                <w:rFonts w:ascii="Arial" w:cs="Arial" w:eastAsia="Arial" w:hAnsi="Arial"/>
                <w:sz w:val="18"/>
                <w:szCs w:val="18"/>
                <w:b w:val="1"/>
                <w:bCs w:val="1"/>
                <w:color w:val="auto"/>
                <w:w w:val="98"/>
              </w:rPr>
              <w:t>Treasury Stock</w:t>
            </w:r>
          </w:p>
        </w:tc>
        <w:tc>
          <w:tcPr>
            <w:tcW w:w="80" w:type="dxa"/>
            <w:vAlign w:val="bottom"/>
            <w:vMerge w:val="restart"/>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480" w:type="dxa"/>
            <w:vAlign w:val="bottom"/>
          </w:tcPr>
          <w:p>
            <w:pPr>
              <w:spacing w:after="0"/>
              <w:rPr>
                <w:sz w:val="11"/>
                <w:szCs w:val="11"/>
                <w:color w:val="auto"/>
              </w:rPr>
            </w:pPr>
          </w:p>
        </w:tc>
        <w:tc>
          <w:tcPr>
            <w:tcW w:w="1300" w:type="dxa"/>
            <w:vAlign w:val="bottom"/>
            <w:tcBorders>
              <w:bottom w:val="single" w:sz="8" w:color="auto"/>
            </w:tcBorders>
            <w:gridSpan w:val="3"/>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380" w:type="dxa"/>
            <w:vAlign w:val="bottom"/>
            <w:tcBorders>
              <w:bottom w:val="single" w:sz="8" w:color="auto"/>
            </w:tcBorders>
            <w:gridSpan w:val="3"/>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960" w:type="dxa"/>
            <w:vAlign w:val="bottom"/>
            <w:gridSpan w:val="2"/>
            <w:vMerge w:val="restart"/>
          </w:tcPr>
          <w:p>
            <w:pPr>
              <w:ind w:left="160"/>
              <w:spacing w:after="0" w:line="176" w:lineRule="exact"/>
              <w:rPr>
                <w:sz w:val="20"/>
                <w:szCs w:val="20"/>
                <w:color w:val="auto"/>
              </w:rPr>
            </w:pPr>
            <w:r>
              <w:rPr>
                <w:rFonts w:ascii="Arial" w:cs="Arial" w:eastAsia="Arial" w:hAnsi="Arial"/>
                <w:sz w:val="18"/>
                <w:szCs w:val="18"/>
                <w:b w:val="1"/>
                <w:bCs w:val="1"/>
                <w:color w:val="auto"/>
              </w:rPr>
              <w:t>Paid-in</w:t>
            </w:r>
          </w:p>
        </w:tc>
        <w:tc>
          <w:tcPr>
            <w:tcW w:w="880" w:type="dxa"/>
            <w:vAlign w:val="bottom"/>
            <w:gridSpan w:val="2"/>
            <w:vMerge w:val="restart"/>
          </w:tcPr>
          <w:p>
            <w:pPr>
              <w:ind w:left="40"/>
              <w:spacing w:after="0" w:line="176" w:lineRule="exact"/>
              <w:rPr>
                <w:sz w:val="20"/>
                <w:szCs w:val="20"/>
                <w:color w:val="auto"/>
              </w:rPr>
            </w:pPr>
            <w:r>
              <w:rPr>
                <w:rFonts w:ascii="Arial" w:cs="Arial" w:eastAsia="Arial" w:hAnsi="Arial"/>
                <w:sz w:val="18"/>
                <w:szCs w:val="18"/>
                <w:b w:val="1"/>
                <w:bCs w:val="1"/>
                <w:color w:val="auto"/>
              </w:rPr>
              <w:t>Retained</w:t>
            </w:r>
          </w:p>
        </w:tc>
        <w:tc>
          <w:tcPr>
            <w:tcW w:w="1320" w:type="dxa"/>
            <w:vAlign w:val="bottom"/>
            <w:gridSpan w:val="3"/>
            <w:vMerge w:val="restart"/>
          </w:tcPr>
          <w:p>
            <w:pPr>
              <w:jc w:val="center"/>
              <w:ind w:right="80"/>
              <w:spacing w:after="0" w:line="176" w:lineRule="exact"/>
              <w:rPr>
                <w:sz w:val="20"/>
                <w:szCs w:val="20"/>
                <w:color w:val="auto"/>
              </w:rPr>
            </w:pPr>
            <w:r>
              <w:rPr>
                <w:rFonts w:ascii="Arial" w:cs="Arial" w:eastAsia="Arial" w:hAnsi="Arial"/>
                <w:sz w:val="18"/>
                <w:szCs w:val="18"/>
                <w:b w:val="1"/>
                <w:bCs w:val="1"/>
                <w:color w:val="auto"/>
                <w:w w:val="88"/>
              </w:rPr>
              <w:t>Comprehensive</w:t>
            </w:r>
          </w:p>
        </w:tc>
        <w:tc>
          <w:tcPr>
            <w:tcW w:w="1440" w:type="dxa"/>
            <w:vAlign w:val="bottom"/>
            <w:tcBorders>
              <w:bottom w:val="single" w:sz="8" w:color="auto"/>
            </w:tcBorders>
            <w:gridSpan w:val="3"/>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100" w:type="dxa"/>
            <w:vAlign w:val="bottom"/>
            <w:gridSpan w:val="2"/>
            <w:vMerge w:val="restart"/>
          </w:tcPr>
          <w:p>
            <w:pPr>
              <w:jc w:val="center"/>
              <w:spacing w:after="0" w:line="176" w:lineRule="exact"/>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9"/>
              </w:rPr>
              <w:t>Shares</w:t>
            </w:r>
          </w:p>
        </w:tc>
        <w:tc>
          <w:tcPr>
            <w:tcW w:w="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Amount</w:t>
            </w:r>
          </w:p>
        </w:tc>
        <w:tc>
          <w:tcPr>
            <w:tcW w:w="7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Shares</w:t>
            </w:r>
          </w:p>
        </w:tc>
        <w:tc>
          <w:tcPr>
            <w:tcW w:w="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Amount</w:t>
            </w:r>
          </w:p>
        </w:tc>
        <w:tc>
          <w:tcPr>
            <w:tcW w:w="960" w:type="dxa"/>
            <w:vAlign w:val="bottom"/>
            <w:gridSpan w:val="2"/>
            <w:vMerge w:val="continue"/>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1320" w:type="dxa"/>
            <w:vAlign w:val="bottom"/>
            <w:gridSpan w:val="3"/>
            <w:vMerge w:val="continue"/>
          </w:tcPr>
          <w:p>
            <w:pPr>
              <w:spacing w:after="0" w:line="20" w:lineRule="exact"/>
              <w:rPr>
                <w:sz w:val="1"/>
                <w:szCs w:val="1"/>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Amount</w:t>
            </w:r>
          </w:p>
        </w:tc>
        <w:tc>
          <w:tcPr>
            <w:tcW w:w="11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48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960" w:type="dxa"/>
            <w:vAlign w:val="bottom"/>
            <w:gridSpan w:val="2"/>
          </w:tcPr>
          <w:p>
            <w:pPr>
              <w:ind w:left="140"/>
              <w:spacing w:after="0"/>
              <w:rPr>
                <w:sz w:val="20"/>
                <w:szCs w:val="20"/>
                <w:color w:val="auto"/>
              </w:rPr>
            </w:pPr>
            <w:r>
              <w:rPr>
                <w:rFonts w:ascii="Arial" w:cs="Arial" w:eastAsia="Arial" w:hAnsi="Arial"/>
                <w:sz w:val="18"/>
                <w:szCs w:val="18"/>
                <w:b w:val="1"/>
                <w:bCs w:val="1"/>
                <w:color w:val="auto"/>
              </w:rPr>
              <w:t>Capital</w:t>
            </w: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Earnings</w:t>
            </w:r>
          </w:p>
        </w:tc>
        <w:tc>
          <w:tcPr>
            <w:tcW w:w="13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Income (Loss)</w:t>
            </w:r>
          </w:p>
        </w:tc>
        <w:tc>
          <w:tcPr>
            <w:tcW w:w="68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23"/>
        </w:trPr>
        <w:tc>
          <w:tcPr>
            <w:tcW w:w="2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2017</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0.1</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3,512.9</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$ 2,946.7</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(316.2)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6,144.1</w:t>
            </w:r>
          </w:p>
        </w:tc>
        <w:tc>
          <w:tcPr>
            <w:tcW w:w="0" w:type="dxa"/>
            <w:vAlign w:val="bottom"/>
          </w:tcPr>
          <w:p>
            <w:pPr>
              <w:spacing w:after="0"/>
              <w:rPr>
                <w:sz w:val="1"/>
                <w:szCs w:val="1"/>
                <w:color w:val="auto"/>
              </w:rPr>
            </w:pPr>
          </w:p>
        </w:tc>
      </w:tr>
      <w:tr>
        <w:trPr>
          <w:trHeight w:val="176"/>
        </w:trPr>
        <w:tc>
          <w:tcPr>
            <w:tcW w:w="2480" w:type="dxa"/>
            <w:vAlign w:val="bottom"/>
          </w:tcPr>
          <w:p>
            <w:pPr>
              <w:spacing w:after="0" w:line="176" w:lineRule="exact"/>
              <w:rPr>
                <w:sz w:val="20"/>
                <w:szCs w:val="20"/>
                <w:color w:val="auto"/>
              </w:rPr>
            </w:pPr>
            <w:r>
              <w:rPr>
                <w:rFonts w:ascii="Arial" w:cs="Arial" w:eastAsia="Arial" w:hAnsi="Arial"/>
                <w:sz w:val="18"/>
                <w:szCs w:val="18"/>
                <w:color w:val="auto"/>
                <w:w w:val="99"/>
              </w:rPr>
              <w:t>Issuance of Common Stock for</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80" w:type="dxa"/>
            <w:vAlign w:val="bottom"/>
          </w:tcPr>
          <w:p>
            <w:pPr>
              <w:ind w:left="160"/>
              <w:spacing w:after="0" w:line="176" w:lineRule="exact"/>
              <w:rPr>
                <w:sz w:val="20"/>
                <w:szCs w:val="20"/>
                <w:color w:val="auto"/>
              </w:rPr>
            </w:pPr>
            <w:r>
              <w:rPr>
                <w:rFonts w:ascii="Arial" w:cs="Arial" w:eastAsia="Arial" w:hAnsi="Arial"/>
                <w:sz w:val="18"/>
                <w:szCs w:val="18"/>
                <w:color w:val="auto"/>
              </w:rPr>
              <w:t>equity awards granted under</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tcPr>
          <w:p>
            <w:pPr>
              <w:ind w:left="42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5"/>
                <w:szCs w:val="15"/>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114.2</w:t>
            </w:r>
          </w:p>
        </w:tc>
        <w:tc>
          <w:tcPr>
            <w:tcW w:w="8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30"/>
        </w:trPr>
        <w:tc>
          <w:tcPr>
            <w:tcW w:w="2480" w:type="dxa"/>
            <w:vAlign w:val="bottom"/>
          </w:tcPr>
          <w:p>
            <w:pPr>
              <w:ind w:left="160"/>
              <w:spacing w:after="0"/>
              <w:rPr>
                <w:sz w:val="20"/>
                <w:szCs w:val="20"/>
                <w:color w:val="auto"/>
              </w:rPr>
            </w:pPr>
            <w:r>
              <w:rPr>
                <w:rFonts w:ascii="Arial" w:cs="Arial" w:eastAsia="Arial" w:hAnsi="Arial"/>
                <w:sz w:val="18"/>
                <w:szCs w:val="18"/>
                <w:color w:val="auto"/>
              </w:rPr>
              <w:t>long-term incentive plans</w:t>
            </w:r>
          </w:p>
        </w:tc>
        <w:tc>
          <w:tcPr>
            <w:tcW w:w="640" w:type="dxa"/>
            <w:vAlign w:val="bottom"/>
            <w:gridSpan w:val="2"/>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Common Stock tendered upon</w:t>
            </w: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9"/>
              </w:rPr>
              <w:t>exercise of stock options and</w:t>
            </w: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vesting of restricted stock for</w:t>
            </w: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8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 tax obligations</w:t>
            </w:r>
          </w:p>
        </w:tc>
        <w:tc>
          <w:tcPr>
            <w:tcW w:w="640" w:type="dxa"/>
            <w:vAlign w:val="bottom"/>
            <w:gridSpan w:val="2"/>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480" w:type="dxa"/>
            <w:vAlign w:val="bottom"/>
          </w:tcPr>
          <w:p>
            <w:pPr>
              <w:spacing w:after="0" w:line="176" w:lineRule="exact"/>
              <w:rPr>
                <w:sz w:val="20"/>
                <w:szCs w:val="20"/>
                <w:color w:val="auto"/>
              </w:rPr>
            </w:pPr>
            <w:r>
              <w:rPr>
                <w:rFonts w:ascii="Arial" w:cs="Arial" w:eastAsia="Arial" w:hAnsi="Arial"/>
                <w:sz w:val="18"/>
                <w:szCs w:val="18"/>
                <w:color w:val="auto"/>
                <w:w w:val="99"/>
              </w:rPr>
              <w:t>Issuance of Common Stock for</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tcPr>
          <w:p>
            <w:pPr>
              <w:ind w:left="42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5"/>
                <w:szCs w:val="15"/>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30"/>
        </w:trPr>
        <w:tc>
          <w:tcPr>
            <w:tcW w:w="2480" w:type="dxa"/>
            <w:vAlign w:val="bottom"/>
          </w:tcPr>
          <w:p>
            <w:pPr>
              <w:ind w:left="160"/>
              <w:spacing w:after="0"/>
              <w:rPr>
                <w:sz w:val="20"/>
                <w:szCs w:val="20"/>
                <w:color w:val="auto"/>
              </w:rPr>
            </w:pPr>
            <w:r>
              <w:rPr>
                <w:rFonts w:ascii="Arial" w:cs="Arial" w:eastAsia="Arial" w:hAnsi="Arial"/>
                <w:sz w:val="18"/>
                <w:szCs w:val="18"/>
                <w:color w:val="auto"/>
              </w:rPr>
              <w:t>401(k) Savings Plan</w:t>
            </w:r>
          </w:p>
        </w:tc>
        <w:tc>
          <w:tcPr>
            <w:tcW w:w="640" w:type="dxa"/>
            <w:vAlign w:val="bottom"/>
            <w:gridSpan w:val="2"/>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w w:val="96"/>
              </w:rPr>
              <w:t>Repurchases of Common Stock</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176"/>
        </w:trPr>
        <w:tc>
          <w:tcPr>
            <w:tcW w:w="2480" w:type="dxa"/>
            <w:vAlign w:val="bottom"/>
          </w:tcPr>
          <w:p>
            <w:pPr>
              <w:spacing w:after="0" w:line="176" w:lineRule="exact"/>
              <w:rPr>
                <w:sz w:val="20"/>
                <w:szCs w:val="20"/>
                <w:color w:val="auto"/>
              </w:rPr>
            </w:pPr>
            <w:r>
              <w:rPr>
                <w:rFonts w:ascii="Arial" w:cs="Arial" w:eastAsia="Arial" w:hAnsi="Arial"/>
                <w:sz w:val="18"/>
                <w:szCs w:val="18"/>
                <w:color w:val="auto"/>
              </w:rPr>
              <w:t>Stock-based compensation</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tcPr>
          <w:p>
            <w:pPr>
              <w:ind w:left="420"/>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444.8</w:t>
            </w:r>
          </w:p>
        </w:tc>
        <w:tc>
          <w:tcPr>
            <w:tcW w:w="8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444.8</w:t>
            </w:r>
          </w:p>
        </w:tc>
        <w:tc>
          <w:tcPr>
            <w:tcW w:w="0" w:type="dxa"/>
            <w:vAlign w:val="bottom"/>
          </w:tcPr>
          <w:p>
            <w:pPr>
              <w:spacing w:after="0"/>
              <w:rPr>
                <w:sz w:val="1"/>
                <w:szCs w:val="1"/>
                <w:color w:val="auto"/>
              </w:rPr>
            </w:pPr>
          </w:p>
        </w:tc>
      </w:tr>
      <w:tr>
        <w:trPr>
          <w:trHeight w:val="229"/>
        </w:trPr>
        <w:tc>
          <w:tcPr>
            <w:tcW w:w="2480" w:type="dxa"/>
            <w:vAlign w:val="bottom"/>
          </w:tcPr>
          <w:p>
            <w:pPr>
              <w:ind w:left="160"/>
              <w:spacing w:after="0"/>
              <w:rPr>
                <w:sz w:val="20"/>
                <w:szCs w:val="20"/>
                <w:color w:val="auto"/>
              </w:rPr>
            </w:pPr>
            <w:r>
              <w:rPr>
                <w:rFonts w:ascii="Arial" w:cs="Arial" w:eastAsia="Arial" w:hAnsi="Arial"/>
                <w:sz w:val="18"/>
                <w:szCs w:val="18"/>
                <w:color w:val="auto"/>
              </w:rPr>
              <w:t>charges</w:t>
            </w:r>
          </w:p>
        </w:tc>
        <w:tc>
          <w:tcPr>
            <w:tcW w:w="640" w:type="dxa"/>
            <w:vAlign w:val="bottom"/>
            <w:gridSpan w:val="2"/>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Cumulative-effect adjustment</w:t>
            </w: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upon adoption of new</w:t>
            </w: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accounting standards</w:t>
            </w:r>
          </w:p>
        </w:tc>
        <w:tc>
          <w:tcPr>
            <w:tcW w:w="640" w:type="dxa"/>
            <w:vAlign w:val="bottom"/>
            <w:gridSpan w:val="2"/>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80" w:type="dxa"/>
            <w:vAlign w:val="bottom"/>
          </w:tcPr>
          <w:p>
            <w:pPr>
              <w:spacing w:after="0"/>
              <w:rPr>
                <w:sz w:val="20"/>
                <w:szCs w:val="20"/>
                <w:color w:val="auto"/>
              </w:rPr>
            </w:pPr>
            <w:r>
              <w:rPr>
                <w:rFonts w:ascii="Arial" w:cs="Arial" w:eastAsia="Arial" w:hAnsi="Arial"/>
                <w:sz w:val="18"/>
                <w:szCs w:val="18"/>
                <w:color w:val="auto"/>
              </w:rPr>
              <w:t>Net income</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2,444.4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2,444.4</w:t>
            </w:r>
          </w:p>
        </w:tc>
        <w:tc>
          <w:tcPr>
            <w:tcW w:w="0" w:type="dxa"/>
            <w:vAlign w:val="bottom"/>
          </w:tcPr>
          <w:p>
            <w:pPr>
              <w:spacing w:after="0"/>
              <w:rPr>
                <w:sz w:val="1"/>
                <w:szCs w:val="1"/>
                <w:color w:val="auto"/>
              </w:rPr>
            </w:pPr>
          </w:p>
        </w:tc>
      </w:tr>
      <w:tr>
        <w:trPr>
          <w:trHeight w:val="176"/>
        </w:trPr>
        <w:tc>
          <w:tcPr>
            <w:tcW w:w="2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 comprehensive loss, net</w:t>
            </w: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9"/>
        </w:trPr>
        <w:tc>
          <w:tcPr>
            <w:tcW w:w="2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tax</w:t>
            </w:r>
          </w:p>
        </w:tc>
        <w:tc>
          <w:tcPr>
            <w:tcW w:w="640" w:type="dxa"/>
            <w:vAlign w:val="bottom"/>
            <w:gridSpan w:val="2"/>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80" w:type="dxa"/>
            <w:vAlign w:val="bottom"/>
          </w:tcPr>
          <w:p>
            <w:pPr>
              <w:spacing w:after="0"/>
              <w:rPr>
                <w:sz w:val="20"/>
                <w:szCs w:val="20"/>
                <w:color w:val="auto"/>
              </w:rPr>
            </w:pPr>
            <w:r>
              <w:rPr>
                <w:rFonts w:ascii="Arial" w:cs="Arial" w:eastAsia="Arial" w:hAnsi="Arial"/>
                <w:sz w:val="18"/>
                <w:szCs w:val="18"/>
                <w:b w:val="1"/>
                <w:bCs w:val="1"/>
                <w:color w:val="auto"/>
              </w:rPr>
              <w:t>Balance, December 31, 2018</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66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111.1</w:t>
            </w:r>
          </w:p>
        </w:tc>
        <w:tc>
          <w:tcPr>
            <w:tcW w:w="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3,911.6</w:t>
            </w:r>
          </w:p>
        </w:tc>
        <w:tc>
          <w:tcPr>
            <w:tcW w:w="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5,254.3</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(396.4)</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8,757.3</w:t>
            </w:r>
          </w:p>
        </w:tc>
        <w:tc>
          <w:tcPr>
            <w:tcW w:w="0" w:type="dxa"/>
            <w:vAlign w:val="bottom"/>
          </w:tcPr>
          <w:p>
            <w:pPr>
              <w:spacing w:after="0"/>
              <w:rPr>
                <w:sz w:val="1"/>
                <w:szCs w:val="1"/>
                <w:color w:val="auto"/>
              </w:rPr>
            </w:pPr>
          </w:p>
        </w:tc>
      </w:tr>
      <w:tr>
        <w:trPr>
          <w:trHeight w:val="175"/>
        </w:trPr>
        <w:tc>
          <w:tcPr>
            <w:tcW w:w="2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9"/>
              </w:rPr>
              <w:t>Issuance of Common Stock for</w:t>
            </w: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equity awards granted under</w:t>
            </w: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8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29"/>
        </w:trPr>
        <w:tc>
          <w:tcPr>
            <w:tcW w:w="2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incentive plans</w:t>
            </w:r>
          </w:p>
        </w:tc>
        <w:tc>
          <w:tcPr>
            <w:tcW w:w="640" w:type="dxa"/>
            <w:vAlign w:val="bottom"/>
            <w:gridSpan w:val="2"/>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480" w:type="dxa"/>
            <w:vAlign w:val="bottom"/>
          </w:tcPr>
          <w:p>
            <w:pPr>
              <w:spacing w:after="0" w:line="176" w:lineRule="exact"/>
              <w:rPr>
                <w:sz w:val="20"/>
                <w:szCs w:val="20"/>
                <w:color w:val="auto"/>
              </w:rPr>
            </w:pPr>
            <w:r>
              <w:rPr>
                <w:rFonts w:ascii="Arial" w:cs="Arial" w:eastAsia="Arial" w:hAnsi="Arial"/>
                <w:sz w:val="18"/>
                <w:szCs w:val="18"/>
                <w:color w:val="auto"/>
              </w:rPr>
              <w:t>Common Stock tendered upon</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80" w:type="dxa"/>
            <w:vAlign w:val="bottom"/>
          </w:tcPr>
          <w:p>
            <w:pPr>
              <w:ind w:left="160"/>
              <w:spacing w:after="0" w:line="176" w:lineRule="exact"/>
              <w:rPr>
                <w:sz w:val="20"/>
                <w:szCs w:val="20"/>
                <w:color w:val="auto"/>
              </w:rPr>
            </w:pPr>
            <w:r>
              <w:rPr>
                <w:rFonts w:ascii="Arial" w:cs="Arial" w:eastAsia="Arial" w:hAnsi="Arial"/>
                <w:sz w:val="18"/>
                <w:szCs w:val="18"/>
                <w:color w:val="auto"/>
                <w:w w:val="99"/>
              </w:rPr>
              <w:t>exercise of stock options and</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80" w:type="dxa"/>
            <w:vAlign w:val="bottom"/>
          </w:tcPr>
          <w:p>
            <w:pPr>
              <w:ind w:left="160"/>
              <w:spacing w:after="0" w:line="176" w:lineRule="exact"/>
              <w:rPr>
                <w:sz w:val="20"/>
                <w:szCs w:val="20"/>
                <w:color w:val="auto"/>
              </w:rPr>
            </w:pPr>
            <w:r>
              <w:rPr>
                <w:rFonts w:ascii="Arial" w:cs="Arial" w:eastAsia="Arial" w:hAnsi="Arial"/>
                <w:sz w:val="18"/>
                <w:szCs w:val="18"/>
                <w:color w:val="auto"/>
              </w:rPr>
              <w:t>vesting of restricted stock for</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tcPr>
          <w:p>
            <w:pPr>
              <w:ind w:left="42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5"/>
                <w:szCs w:val="15"/>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(188.0)</w:t>
            </w:r>
          </w:p>
        </w:tc>
        <w:tc>
          <w:tcPr>
            <w:tcW w:w="8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30"/>
        </w:trPr>
        <w:tc>
          <w:tcPr>
            <w:tcW w:w="2480" w:type="dxa"/>
            <w:vAlign w:val="bottom"/>
          </w:tcPr>
          <w:p>
            <w:pPr>
              <w:ind w:left="160"/>
              <w:spacing w:after="0"/>
              <w:rPr>
                <w:sz w:val="20"/>
                <w:szCs w:val="20"/>
                <w:color w:val="auto"/>
              </w:rPr>
            </w:pPr>
            <w:r>
              <w:rPr>
                <w:rFonts w:ascii="Arial" w:cs="Arial" w:eastAsia="Arial" w:hAnsi="Arial"/>
                <w:sz w:val="18"/>
                <w:szCs w:val="18"/>
                <w:color w:val="auto"/>
              </w:rPr>
              <w:t>employee tax obligations</w:t>
            </w:r>
          </w:p>
        </w:tc>
        <w:tc>
          <w:tcPr>
            <w:tcW w:w="640" w:type="dxa"/>
            <w:vAlign w:val="bottom"/>
            <w:gridSpan w:val="2"/>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Issuance/distribution of</w:t>
            </w: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Common Stock for 401(k)</w:t>
            </w: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8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Savings Plan</w:t>
            </w:r>
          </w:p>
        </w:tc>
        <w:tc>
          <w:tcPr>
            <w:tcW w:w="640" w:type="dxa"/>
            <w:vAlign w:val="bottom"/>
            <w:gridSpan w:val="2"/>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80" w:type="dxa"/>
            <w:vAlign w:val="bottom"/>
          </w:tcPr>
          <w:p>
            <w:pPr>
              <w:spacing w:after="0"/>
              <w:rPr>
                <w:sz w:val="20"/>
                <w:szCs w:val="20"/>
                <w:color w:val="auto"/>
              </w:rPr>
            </w:pPr>
            <w:r>
              <w:rPr>
                <w:rFonts w:ascii="Arial" w:cs="Arial" w:eastAsia="Arial" w:hAnsi="Arial"/>
                <w:sz w:val="18"/>
                <w:szCs w:val="18"/>
                <w:color w:val="auto"/>
                <w:w w:val="96"/>
              </w:rPr>
              <w:t>Repurchases of Common Stock</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(356.7)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(356.7)</w:t>
            </w:r>
          </w:p>
        </w:tc>
        <w:tc>
          <w:tcPr>
            <w:tcW w:w="0" w:type="dxa"/>
            <w:vAlign w:val="bottom"/>
          </w:tcPr>
          <w:p>
            <w:pPr>
              <w:spacing w:after="0"/>
              <w:rPr>
                <w:sz w:val="1"/>
                <w:szCs w:val="1"/>
                <w:color w:val="auto"/>
              </w:rPr>
            </w:pPr>
          </w:p>
        </w:tc>
      </w:tr>
      <w:tr>
        <w:trPr>
          <w:trHeight w:val="176"/>
        </w:trPr>
        <w:tc>
          <w:tcPr>
            <w:tcW w:w="2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9"/>
              </w:rPr>
              <w:t>Conversion of Class A Stock to</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5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480" w:type="dxa"/>
            <w:vAlign w:val="bottom"/>
          </w:tcPr>
          <w:p>
            <w:pPr>
              <w:spacing w:after="0" w:line="176" w:lineRule="exact"/>
              <w:rPr>
                <w:sz w:val="20"/>
                <w:szCs w:val="20"/>
                <w:color w:val="auto"/>
              </w:rPr>
            </w:pPr>
            <w:r>
              <w:rPr>
                <w:rFonts w:ascii="Arial" w:cs="Arial" w:eastAsia="Arial" w:hAnsi="Arial"/>
                <w:sz w:val="18"/>
                <w:szCs w:val="18"/>
                <w:color w:val="auto"/>
              </w:rPr>
              <w:t>Stock-based compensation</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tcPr>
          <w:p>
            <w:pPr>
              <w:ind w:left="420"/>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466.9</w:t>
            </w:r>
          </w:p>
        </w:tc>
        <w:tc>
          <w:tcPr>
            <w:tcW w:w="8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466.9</w:t>
            </w:r>
          </w:p>
        </w:tc>
        <w:tc>
          <w:tcPr>
            <w:tcW w:w="0" w:type="dxa"/>
            <w:vAlign w:val="bottom"/>
          </w:tcPr>
          <w:p>
            <w:pPr>
              <w:spacing w:after="0"/>
              <w:rPr>
                <w:sz w:val="1"/>
                <w:szCs w:val="1"/>
                <w:color w:val="auto"/>
              </w:rPr>
            </w:pPr>
          </w:p>
        </w:tc>
      </w:tr>
      <w:tr>
        <w:trPr>
          <w:trHeight w:val="229"/>
        </w:trPr>
        <w:tc>
          <w:tcPr>
            <w:tcW w:w="2480" w:type="dxa"/>
            <w:vAlign w:val="bottom"/>
          </w:tcPr>
          <w:p>
            <w:pPr>
              <w:ind w:left="160"/>
              <w:spacing w:after="0"/>
              <w:rPr>
                <w:sz w:val="20"/>
                <w:szCs w:val="20"/>
                <w:color w:val="auto"/>
              </w:rPr>
            </w:pPr>
            <w:r>
              <w:rPr>
                <w:rFonts w:ascii="Arial" w:cs="Arial" w:eastAsia="Arial" w:hAnsi="Arial"/>
                <w:sz w:val="18"/>
                <w:szCs w:val="18"/>
                <w:color w:val="auto"/>
              </w:rPr>
              <w:t>charges</w:t>
            </w:r>
          </w:p>
        </w:tc>
        <w:tc>
          <w:tcPr>
            <w:tcW w:w="640" w:type="dxa"/>
            <w:vAlign w:val="bottom"/>
            <w:gridSpan w:val="2"/>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Adjustment upon adoption of</w:t>
            </w: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new accounting standard</w:t>
            </w:r>
          </w:p>
        </w:tc>
        <w:tc>
          <w:tcPr>
            <w:tcW w:w="640" w:type="dxa"/>
            <w:vAlign w:val="bottom"/>
            <w:gridSpan w:val="2"/>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Net income</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2,115.8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2,115.8</w:t>
            </w:r>
          </w:p>
        </w:tc>
        <w:tc>
          <w:tcPr>
            <w:tcW w:w="0" w:type="dxa"/>
            <w:vAlign w:val="bottom"/>
          </w:tcPr>
          <w:p>
            <w:pPr>
              <w:spacing w:after="0"/>
              <w:rPr>
                <w:sz w:val="1"/>
                <w:szCs w:val="1"/>
                <w:color w:val="auto"/>
              </w:rPr>
            </w:pPr>
          </w:p>
        </w:tc>
      </w:tr>
      <w:tr>
        <w:trPr>
          <w:trHeight w:val="175"/>
        </w:trPr>
        <w:tc>
          <w:tcPr>
            <w:tcW w:w="2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 comprehensive income,</w:t>
            </w: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8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of tax</w:t>
            </w:r>
          </w:p>
        </w:tc>
        <w:tc>
          <w:tcPr>
            <w:tcW w:w="640" w:type="dxa"/>
            <w:vAlign w:val="bottom"/>
            <w:gridSpan w:val="2"/>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80" w:type="dxa"/>
            <w:vAlign w:val="bottom"/>
          </w:tcPr>
          <w:p>
            <w:pPr>
              <w:spacing w:after="0"/>
              <w:rPr>
                <w:sz w:val="20"/>
                <w:szCs w:val="20"/>
                <w:color w:val="auto"/>
              </w:rPr>
            </w:pPr>
            <w:r>
              <w:rPr>
                <w:rFonts w:ascii="Arial" w:cs="Arial" w:eastAsia="Arial" w:hAnsi="Arial"/>
                <w:sz w:val="18"/>
                <w:szCs w:val="18"/>
                <w:b w:val="1"/>
                <w:bCs w:val="1"/>
                <w:color w:val="auto"/>
              </w:rPr>
              <w:t>Balance, December 31, 2019</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66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113.3</w:t>
            </w:r>
          </w:p>
        </w:tc>
        <w:tc>
          <w:tcPr>
            <w:tcW w:w="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4,428.6</w:t>
            </w:r>
          </w:p>
        </w:tc>
        <w:tc>
          <w:tcPr>
            <w:tcW w:w="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7,379.8</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(739.9)</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11,089.7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107" w:name="page108"/>
    <w:bookmarkEnd w:id="10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 xml:space="preserve">CONSOLIDATED STATEMENTS OF STOCKHOLDERS' EQUITY </w:t>
      </w:r>
      <w:r>
        <w:rPr>
          <w:rFonts w:ascii="Arial" w:cs="Arial" w:eastAsia="Arial" w:hAnsi="Arial"/>
          <w:sz w:val="17"/>
          <w:szCs w:val="17"/>
          <w:b w:val="1"/>
          <w:bCs w:val="1"/>
          <w:i w:val="1"/>
          <w:iCs w:val="1"/>
          <w:color w:val="auto"/>
        </w:rPr>
        <w:t>(continued)</w:t>
      </w:r>
    </w:p>
    <w:p>
      <w:pPr>
        <w:sectPr>
          <w:pgSz w:w="11900" w:h="16838" w:orient="portrait"/>
          <w:cols w:equalWidth="0" w:num="1">
            <w:col w:w="11180"/>
          </w:cols>
          <w:pgMar w:left="320" w:top="130" w:right="399" w:bottom="1440" w:gutter="0" w:footer="0" w:header="0"/>
        </w:sectPr>
      </w:pPr>
    </w:p>
    <w:p>
      <w:pPr>
        <w:spacing w:after="0" w:line="331"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130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w w:val="96"/>
              </w:rPr>
              <w:t>Class A Stock</w:t>
            </w:r>
          </w:p>
        </w:tc>
        <w:tc>
          <w:tcPr>
            <w:tcW w:w="80" w:type="dxa"/>
            <w:vAlign w:val="bottom"/>
          </w:tcPr>
          <w:p>
            <w:pPr>
              <w:spacing w:after="0"/>
              <w:rPr>
                <w:sz w:val="20"/>
                <w:szCs w:val="20"/>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w w:val="95"/>
              </w:rPr>
              <w:t>Common Stock</w:t>
            </w:r>
          </w:p>
        </w:tc>
        <w:tc>
          <w:tcPr>
            <w:tcW w:w="0" w:type="dxa"/>
            <w:vAlign w:val="bottom"/>
          </w:tcPr>
          <w:p>
            <w:pPr>
              <w:spacing w:after="0"/>
              <w:rPr>
                <w:sz w:val="1"/>
                <w:szCs w:val="1"/>
                <w:color w:val="auto"/>
              </w:rPr>
            </w:pPr>
          </w:p>
        </w:tc>
      </w:tr>
      <w:tr>
        <w:trPr>
          <w:trHeight w:val="237"/>
        </w:trPr>
        <w:tc>
          <w:tcPr>
            <w:tcW w:w="2420" w:type="dxa"/>
            <w:vAlign w:val="bottom"/>
            <w:vMerge w:val="restart"/>
          </w:tcPr>
          <w:p>
            <w:pPr>
              <w:spacing w:after="0"/>
              <w:rPr>
                <w:sz w:val="20"/>
                <w:szCs w:val="20"/>
                <w:color w:val="auto"/>
              </w:rPr>
            </w:pPr>
            <w:r>
              <w:rPr>
                <w:rFonts w:ascii="Arial" w:cs="Arial" w:eastAsia="Arial" w:hAnsi="Arial"/>
                <w:sz w:val="18"/>
                <w:szCs w:val="18"/>
                <w:color w:val="auto"/>
                <w:w w:val="97"/>
              </w:rPr>
              <w:t>Issuance of Common Stock for</w:t>
            </w:r>
          </w:p>
        </w:tc>
        <w:tc>
          <w:tcPr>
            <w:tcW w:w="620" w:type="dxa"/>
            <w:vAlign w:val="bottom"/>
            <w:gridSpan w:val="2"/>
          </w:tcPr>
          <w:p>
            <w:pPr>
              <w:spacing w:after="0"/>
              <w:rPr>
                <w:sz w:val="20"/>
                <w:szCs w:val="20"/>
                <w:color w:val="auto"/>
              </w:rPr>
            </w:pPr>
            <w:r>
              <w:rPr>
                <w:rFonts w:ascii="Arial" w:cs="Arial" w:eastAsia="Arial" w:hAnsi="Arial"/>
                <w:sz w:val="18"/>
                <w:szCs w:val="18"/>
                <w:b w:val="1"/>
                <w:bCs w:val="1"/>
                <w:color w:val="auto"/>
                <w:w w:val="99"/>
              </w:rPr>
              <w:t>Shares</w:t>
            </w:r>
          </w:p>
        </w:tc>
        <w:tc>
          <w:tcPr>
            <w:tcW w:w="76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700" w:type="dxa"/>
            <w:vAlign w:val="bottom"/>
            <w:gridSpan w:val="2"/>
          </w:tcPr>
          <w:p>
            <w:pPr>
              <w:ind w:left="40"/>
              <w:spacing w:after="0"/>
              <w:rPr>
                <w:sz w:val="20"/>
                <w:szCs w:val="20"/>
                <w:color w:val="auto"/>
              </w:rPr>
            </w:pPr>
            <w:r>
              <w:rPr>
                <w:rFonts w:ascii="Arial" w:cs="Arial" w:eastAsia="Arial" w:hAnsi="Arial"/>
                <w:sz w:val="18"/>
                <w:szCs w:val="18"/>
                <w:b w:val="1"/>
                <w:bCs w:val="1"/>
                <w:color w:val="auto"/>
              </w:rPr>
              <w:t>Shares</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155"/>
        </w:trPr>
        <w:tc>
          <w:tcPr>
            <w:tcW w:w="2420" w:type="dxa"/>
            <w:vAlign w:val="bottom"/>
            <w:vMerge w:val="continue"/>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420" w:type="dxa"/>
            <w:vAlign w:val="bottom"/>
          </w:tcPr>
          <w:p>
            <w:pPr>
              <w:ind w:left="160"/>
              <w:spacing w:after="0" w:line="176" w:lineRule="exact"/>
              <w:rPr>
                <w:sz w:val="20"/>
                <w:szCs w:val="20"/>
                <w:color w:val="auto"/>
              </w:rPr>
            </w:pPr>
            <w:r>
              <w:rPr>
                <w:rFonts w:ascii="Arial" w:cs="Arial" w:eastAsia="Arial" w:hAnsi="Arial"/>
                <w:sz w:val="18"/>
                <w:szCs w:val="18"/>
                <w:color w:val="auto"/>
                <w:w w:val="98"/>
              </w:rPr>
              <w:t>equity awards granted under</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tcPr>
          <w:p>
            <w:pPr>
              <w:ind w:left="420"/>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tcPr>
          <w:p>
            <w:pPr>
              <w:ind w:left="160"/>
              <w:spacing w:after="0"/>
              <w:rPr>
                <w:sz w:val="20"/>
                <w:szCs w:val="20"/>
                <w:color w:val="auto"/>
              </w:rPr>
            </w:pPr>
            <w:r>
              <w:rPr>
                <w:rFonts w:ascii="Arial" w:cs="Arial" w:eastAsia="Arial" w:hAnsi="Arial"/>
                <w:sz w:val="18"/>
                <w:szCs w:val="18"/>
                <w:color w:val="auto"/>
              </w:rPr>
              <w:t>long-term incentive plans</w:t>
            </w:r>
          </w:p>
        </w:tc>
        <w:tc>
          <w:tcPr>
            <w:tcW w:w="620" w:type="dxa"/>
            <w:vAlign w:val="bottom"/>
            <w:gridSpan w:val="2"/>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420" w:type="dxa"/>
            <w:vAlign w:val="bottom"/>
          </w:tcPr>
          <w:p>
            <w:pPr>
              <w:spacing w:after="0" w:line="176" w:lineRule="exact"/>
              <w:rPr>
                <w:sz w:val="20"/>
                <w:szCs w:val="20"/>
                <w:color w:val="auto"/>
              </w:rPr>
            </w:pPr>
            <w:r>
              <w:rPr>
                <w:rFonts w:ascii="Arial" w:cs="Arial" w:eastAsia="Arial" w:hAnsi="Arial"/>
                <w:sz w:val="18"/>
                <w:szCs w:val="18"/>
                <w:color w:val="auto"/>
                <w:w w:val="98"/>
              </w:rPr>
              <w:t>Common Stock tendered upon</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20" w:type="dxa"/>
            <w:vAlign w:val="bottom"/>
          </w:tcPr>
          <w:p>
            <w:pPr>
              <w:ind w:left="160"/>
              <w:spacing w:after="0" w:line="176" w:lineRule="exact"/>
              <w:rPr>
                <w:sz w:val="20"/>
                <w:szCs w:val="20"/>
                <w:color w:val="auto"/>
              </w:rPr>
            </w:pPr>
            <w:r>
              <w:rPr>
                <w:rFonts w:ascii="Arial" w:cs="Arial" w:eastAsia="Arial" w:hAnsi="Arial"/>
                <w:sz w:val="18"/>
                <w:szCs w:val="18"/>
                <w:color w:val="auto"/>
                <w:w w:val="96"/>
              </w:rPr>
              <w:t>exercise of stock options and</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20" w:type="dxa"/>
            <w:vAlign w:val="bottom"/>
          </w:tcPr>
          <w:p>
            <w:pPr>
              <w:ind w:left="160"/>
              <w:spacing w:after="0" w:line="176" w:lineRule="exact"/>
              <w:rPr>
                <w:sz w:val="20"/>
                <w:szCs w:val="20"/>
                <w:color w:val="auto"/>
              </w:rPr>
            </w:pPr>
            <w:r>
              <w:rPr>
                <w:rFonts w:ascii="Arial" w:cs="Arial" w:eastAsia="Arial" w:hAnsi="Arial"/>
                <w:sz w:val="18"/>
                <w:szCs w:val="18"/>
                <w:color w:val="auto"/>
                <w:w w:val="97"/>
              </w:rPr>
              <w:t>vesting of restricted stock for</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tcPr>
          <w:p>
            <w:pPr>
              <w:ind w:left="420"/>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tcPr>
          <w:p>
            <w:pPr>
              <w:ind w:left="160"/>
              <w:spacing w:after="0"/>
              <w:rPr>
                <w:sz w:val="20"/>
                <w:szCs w:val="20"/>
                <w:color w:val="auto"/>
              </w:rPr>
            </w:pPr>
            <w:r>
              <w:rPr>
                <w:rFonts w:ascii="Arial" w:cs="Arial" w:eastAsia="Arial" w:hAnsi="Arial"/>
                <w:sz w:val="18"/>
                <w:szCs w:val="18"/>
                <w:color w:val="auto"/>
              </w:rPr>
              <w:t>employee tax obligations</w:t>
            </w:r>
          </w:p>
        </w:tc>
        <w:tc>
          <w:tcPr>
            <w:tcW w:w="620" w:type="dxa"/>
            <w:vAlign w:val="bottom"/>
            <w:gridSpan w:val="2"/>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420" w:type="dxa"/>
            <w:vAlign w:val="bottom"/>
          </w:tcPr>
          <w:p>
            <w:pPr>
              <w:spacing w:after="0" w:line="176" w:lineRule="exact"/>
              <w:rPr>
                <w:sz w:val="20"/>
                <w:szCs w:val="20"/>
                <w:color w:val="auto"/>
              </w:rPr>
            </w:pPr>
            <w:r>
              <w:rPr>
                <w:rFonts w:ascii="Arial" w:cs="Arial" w:eastAsia="Arial" w:hAnsi="Arial"/>
                <w:sz w:val="18"/>
                <w:szCs w:val="18"/>
                <w:color w:val="auto"/>
              </w:rPr>
              <w:t>Issuance/distribution of</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20" w:type="dxa"/>
            <w:vAlign w:val="bottom"/>
          </w:tcPr>
          <w:p>
            <w:pPr>
              <w:ind w:left="160"/>
              <w:spacing w:after="0" w:line="176" w:lineRule="exact"/>
              <w:rPr>
                <w:sz w:val="20"/>
                <w:szCs w:val="20"/>
                <w:color w:val="auto"/>
              </w:rPr>
            </w:pPr>
            <w:r>
              <w:rPr>
                <w:rFonts w:ascii="Arial" w:cs="Arial" w:eastAsia="Arial" w:hAnsi="Arial"/>
                <w:sz w:val="18"/>
                <w:szCs w:val="18"/>
                <w:color w:val="auto"/>
              </w:rPr>
              <w:t>Common Stock for 401(k)</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tcPr>
          <w:p>
            <w:pPr>
              <w:ind w:left="420"/>
              <w:spacing w:after="0"/>
              <w:rPr>
                <w:sz w:val="20"/>
                <w:szCs w:val="20"/>
                <w:color w:val="auto"/>
              </w:rPr>
            </w:pPr>
            <w:r>
              <w:rPr>
                <w:rFonts w:ascii="Arial" w:cs="Arial" w:eastAsia="Arial" w:hAnsi="Arial"/>
                <w:sz w:val="18"/>
                <w:szCs w:val="18"/>
                <w:color w:val="auto"/>
              </w:rPr>
              <w:t>—</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tcPr>
          <w:p>
            <w:pPr>
              <w:ind w:left="160"/>
              <w:spacing w:after="0"/>
              <w:rPr>
                <w:sz w:val="20"/>
                <w:szCs w:val="20"/>
                <w:color w:val="auto"/>
              </w:rPr>
            </w:pPr>
            <w:r>
              <w:rPr>
                <w:rFonts w:ascii="Arial" w:cs="Arial" w:eastAsia="Arial" w:hAnsi="Arial"/>
                <w:sz w:val="18"/>
                <w:szCs w:val="18"/>
                <w:color w:val="auto"/>
              </w:rPr>
              <w:t>Savings Plan</w:t>
            </w:r>
          </w:p>
        </w:tc>
        <w:tc>
          <w:tcPr>
            <w:tcW w:w="620" w:type="dxa"/>
            <w:vAlign w:val="bottom"/>
            <w:gridSpan w:val="2"/>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20" w:type="dxa"/>
            <w:vAlign w:val="bottom"/>
          </w:tcPr>
          <w:p>
            <w:pPr>
              <w:spacing w:after="0"/>
              <w:rPr>
                <w:sz w:val="20"/>
                <w:szCs w:val="20"/>
                <w:color w:val="auto"/>
              </w:rPr>
            </w:pPr>
            <w:r>
              <w:rPr>
                <w:rFonts w:ascii="Arial" w:cs="Arial" w:eastAsia="Arial" w:hAnsi="Arial"/>
                <w:sz w:val="18"/>
                <w:szCs w:val="18"/>
                <w:color w:val="auto"/>
                <w:w w:val="94"/>
              </w:rPr>
              <w:t>Repurchases of Common Stock</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420" w:type="dxa"/>
            <w:vAlign w:val="bottom"/>
          </w:tcPr>
          <w:p>
            <w:pPr>
              <w:spacing w:after="0" w:line="176" w:lineRule="exact"/>
              <w:rPr>
                <w:sz w:val="20"/>
                <w:szCs w:val="20"/>
                <w:color w:val="auto"/>
              </w:rPr>
            </w:pPr>
            <w:r>
              <w:rPr>
                <w:rFonts w:ascii="Arial" w:cs="Arial" w:eastAsia="Arial" w:hAnsi="Arial"/>
                <w:sz w:val="18"/>
                <w:szCs w:val="18"/>
                <w:color w:val="auto"/>
              </w:rPr>
              <w:t>Stock-based compensation</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tcPr>
          <w:p>
            <w:pPr>
              <w:ind w:left="420"/>
              <w:spacing w:after="0"/>
              <w:rPr>
                <w:sz w:val="20"/>
                <w:szCs w:val="20"/>
                <w:color w:val="auto"/>
              </w:rPr>
            </w:pPr>
            <w:r>
              <w:rPr>
                <w:rFonts w:ascii="Arial" w:cs="Arial" w:eastAsia="Arial" w:hAnsi="Arial"/>
                <w:sz w:val="18"/>
                <w:szCs w:val="18"/>
                <w:color w:val="auto"/>
              </w:rPr>
              <w:t>—</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tcPr>
          <w:p>
            <w:pPr>
              <w:ind w:left="160"/>
              <w:spacing w:after="0"/>
              <w:rPr>
                <w:sz w:val="20"/>
                <w:szCs w:val="20"/>
                <w:color w:val="auto"/>
              </w:rPr>
            </w:pPr>
            <w:r>
              <w:rPr>
                <w:rFonts w:ascii="Arial" w:cs="Arial" w:eastAsia="Arial" w:hAnsi="Arial"/>
                <w:sz w:val="18"/>
                <w:szCs w:val="18"/>
                <w:color w:val="auto"/>
              </w:rPr>
              <w:t>charges</w:t>
            </w:r>
          </w:p>
        </w:tc>
        <w:tc>
          <w:tcPr>
            <w:tcW w:w="620" w:type="dxa"/>
            <w:vAlign w:val="bottom"/>
            <w:gridSpan w:val="2"/>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Net income</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420" w:type="dxa"/>
            <w:vAlign w:val="bottom"/>
          </w:tcPr>
          <w:p>
            <w:pPr>
              <w:spacing w:after="0" w:line="176" w:lineRule="exact"/>
              <w:rPr>
                <w:sz w:val="20"/>
                <w:szCs w:val="20"/>
                <w:color w:val="auto"/>
              </w:rPr>
            </w:pPr>
            <w:r>
              <w:rPr>
                <w:rFonts w:ascii="Arial" w:cs="Arial" w:eastAsia="Arial" w:hAnsi="Arial"/>
                <w:sz w:val="18"/>
                <w:szCs w:val="18"/>
                <w:color w:val="auto"/>
                <w:w w:val="99"/>
              </w:rPr>
              <w:t>Other comprehensive income,</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tcPr>
          <w:p>
            <w:pPr>
              <w:ind w:left="420"/>
              <w:spacing w:after="0"/>
              <w:rPr>
                <w:sz w:val="20"/>
                <w:szCs w:val="20"/>
                <w:color w:val="auto"/>
              </w:rPr>
            </w:pPr>
            <w:r>
              <w:rPr>
                <w:rFonts w:ascii="Arial" w:cs="Arial" w:eastAsia="Arial" w:hAnsi="Arial"/>
                <w:sz w:val="18"/>
                <w:szCs w:val="18"/>
                <w:color w:val="auto"/>
              </w:rPr>
              <w:t>—</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20" w:type="dxa"/>
            <w:vAlign w:val="bottom"/>
          </w:tcPr>
          <w:p>
            <w:pPr>
              <w:ind w:left="160"/>
              <w:spacing w:after="0"/>
              <w:rPr>
                <w:sz w:val="20"/>
                <w:szCs w:val="20"/>
                <w:color w:val="auto"/>
              </w:rPr>
            </w:pPr>
            <w:r>
              <w:rPr>
                <w:rFonts w:ascii="Arial" w:cs="Arial" w:eastAsia="Arial" w:hAnsi="Arial"/>
                <w:sz w:val="18"/>
                <w:szCs w:val="18"/>
                <w:color w:val="auto"/>
              </w:rPr>
              <w:t>net of tax</w:t>
            </w:r>
          </w:p>
        </w:tc>
        <w:tc>
          <w:tcPr>
            <w:tcW w:w="620" w:type="dxa"/>
            <w:vAlign w:val="bottom"/>
            <w:gridSpan w:val="2"/>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20" w:type="dxa"/>
            <w:vAlign w:val="bottom"/>
          </w:tcPr>
          <w:p>
            <w:pPr>
              <w:spacing w:after="0"/>
              <w:rPr>
                <w:sz w:val="20"/>
                <w:szCs w:val="20"/>
                <w:color w:val="auto"/>
              </w:rPr>
            </w:pPr>
            <w:r>
              <w:rPr>
                <w:rFonts w:ascii="Arial" w:cs="Arial" w:eastAsia="Arial" w:hAnsi="Arial"/>
                <w:sz w:val="18"/>
                <w:szCs w:val="18"/>
                <w:b w:val="1"/>
                <w:bCs w:val="1"/>
                <w:color w:val="auto"/>
                <w:w w:val="99"/>
              </w:rPr>
              <w:t>Balance, December 31, 2020</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0.</w:t>
            </w:r>
            <w:r>
              <w:rPr>
                <w:rFonts w:ascii="Arial" w:cs="Arial" w:eastAsia="Arial" w:hAnsi="Arial"/>
                <w:sz w:val="18"/>
                <w:szCs w:val="18"/>
                <w:u w:val="single" w:color="auto"/>
                <w:color w:val="auto"/>
              </w:rPr>
              <w:t>1</w:t>
            </w: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94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3"/>
              </w:rPr>
              <w:t>Additional</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76"/>
        </w:trPr>
        <w:tc>
          <w:tcPr>
            <w:tcW w:w="940" w:type="dxa"/>
            <w:vAlign w:val="bottom"/>
            <w:gridSpan w:val="2"/>
            <w:vMerge w:val="continue"/>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95"/>
              </w:rPr>
              <w:t>Other</w:t>
            </w:r>
          </w:p>
        </w:tc>
        <w:tc>
          <w:tcPr>
            <w:tcW w:w="1480" w:type="dxa"/>
            <w:vAlign w:val="bottom"/>
            <w:gridSpan w:val="3"/>
            <w:vMerge w:val="restart"/>
          </w:tcPr>
          <w:p>
            <w:pPr>
              <w:jc w:val="right"/>
              <w:ind w:right="70"/>
              <w:spacing w:after="0"/>
              <w:rPr>
                <w:sz w:val="20"/>
                <w:szCs w:val="20"/>
                <w:color w:val="auto"/>
              </w:rPr>
            </w:pPr>
            <w:r>
              <w:rPr>
                <w:rFonts w:ascii="Arial" w:cs="Arial" w:eastAsia="Arial" w:hAnsi="Arial"/>
                <w:sz w:val="18"/>
                <w:szCs w:val="18"/>
                <w:b w:val="1"/>
                <w:bCs w:val="1"/>
                <w:color w:val="auto"/>
                <w:w w:val="99"/>
              </w:rPr>
              <w:t>Treasury Stock</w:t>
            </w:r>
          </w:p>
        </w:tc>
        <w:tc>
          <w:tcPr>
            <w:tcW w:w="80" w:type="dxa"/>
            <w:vAlign w:val="bottom"/>
            <w:vMerge w:val="restart"/>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940" w:type="dxa"/>
            <w:vAlign w:val="bottom"/>
            <w:gridSpan w:val="2"/>
          </w:tcPr>
          <w:p>
            <w:pPr>
              <w:jc w:val="center"/>
              <w:ind w:right="100"/>
              <w:spacing w:after="0" w:line="149" w:lineRule="exact"/>
              <w:rPr>
                <w:sz w:val="20"/>
                <w:szCs w:val="20"/>
                <w:color w:val="auto"/>
              </w:rPr>
            </w:pPr>
            <w:r>
              <w:rPr>
                <w:rFonts w:ascii="Arial" w:cs="Arial" w:eastAsia="Arial" w:hAnsi="Arial"/>
                <w:sz w:val="17"/>
                <w:szCs w:val="17"/>
                <w:b w:val="1"/>
                <w:bCs w:val="1"/>
                <w:color w:val="auto"/>
                <w:w w:val="98"/>
              </w:rPr>
              <w:t>Paid-in</w:t>
            </w:r>
          </w:p>
        </w:tc>
        <w:tc>
          <w:tcPr>
            <w:tcW w:w="920" w:type="dxa"/>
            <w:vAlign w:val="bottom"/>
            <w:gridSpan w:val="2"/>
          </w:tcPr>
          <w:p>
            <w:pPr>
              <w:ind w:left="80"/>
              <w:spacing w:after="0" w:line="149" w:lineRule="exact"/>
              <w:rPr>
                <w:sz w:val="20"/>
                <w:szCs w:val="20"/>
                <w:color w:val="auto"/>
              </w:rPr>
            </w:pPr>
            <w:r>
              <w:rPr>
                <w:rFonts w:ascii="Arial" w:cs="Arial" w:eastAsia="Arial" w:hAnsi="Arial"/>
                <w:sz w:val="17"/>
                <w:szCs w:val="17"/>
                <w:b w:val="1"/>
                <w:bCs w:val="1"/>
                <w:color w:val="auto"/>
              </w:rPr>
              <w:t>Retained</w:t>
            </w:r>
          </w:p>
        </w:tc>
        <w:tc>
          <w:tcPr>
            <w:tcW w:w="1320" w:type="dxa"/>
            <w:vAlign w:val="bottom"/>
            <w:gridSpan w:val="3"/>
          </w:tcPr>
          <w:p>
            <w:pPr>
              <w:jc w:val="center"/>
              <w:ind w:right="80"/>
              <w:spacing w:after="0" w:line="149" w:lineRule="exact"/>
              <w:rPr>
                <w:sz w:val="20"/>
                <w:szCs w:val="20"/>
                <w:color w:val="auto"/>
              </w:rPr>
            </w:pPr>
            <w:r>
              <w:rPr>
                <w:rFonts w:ascii="Arial" w:cs="Arial" w:eastAsia="Arial" w:hAnsi="Arial"/>
                <w:sz w:val="17"/>
                <w:szCs w:val="17"/>
                <w:b w:val="1"/>
                <w:bCs w:val="1"/>
                <w:color w:val="auto"/>
                <w:w w:val="94"/>
              </w:rPr>
              <w:t>Comprehensive</w:t>
            </w:r>
          </w:p>
        </w:tc>
        <w:tc>
          <w:tcPr>
            <w:tcW w:w="1480" w:type="dxa"/>
            <w:vAlign w:val="bottom"/>
            <w:tcBorders>
              <w:bottom w:val="single" w:sz="8" w:color="auto"/>
            </w:tcBorders>
            <w:gridSpan w:val="3"/>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7"/>
                <w:szCs w:val="17"/>
                <w:b w:val="1"/>
                <w:bCs w:val="1"/>
                <w:color w:val="auto"/>
                <w:w w:val="94"/>
              </w:rPr>
              <w:t>Stockholders'</w:t>
            </w:r>
          </w:p>
        </w:tc>
        <w:tc>
          <w:tcPr>
            <w:tcW w:w="0" w:type="dxa"/>
            <w:vAlign w:val="bottom"/>
          </w:tcPr>
          <w:p>
            <w:pPr>
              <w:spacing w:after="0"/>
              <w:rPr>
                <w:sz w:val="1"/>
                <w:szCs w:val="1"/>
                <w:color w:val="auto"/>
              </w:rPr>
            </w:pPr>
          </w:p>
        </w:tc>
      </w:tr>
      <w:tr>
        <w:trPr>
          <w:trHeight w:val="237"/>
        </w:trPr>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Capital</w:t>
            </w:r>
          </w:p>
        </w:tc>
        <w:tc>
          <w:tcPr>
            <w:tcW w:w="80" w:type="dxa"/>
            <w:vAlign w:val="bottom"/>
          </w:tcPr>
          <w:p>
            <w:pPr>
              <w:spacing w:after="0"/>
              <w:rPr>
                <w:sz w:val="20"/>
                <w:szCs w:val="20"/>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8"/>
              </w:rPr>
              <w:t>Earnings</w:t>
            </w:r>
          </w:p>
        </w:tc>
        <w:tc>
          <w:tcPr>
            <w:tcW w:w="80" w:type="dxa"/>
            <w:vAlign w:val="bottom"/>
          </w:tcPr>
          <w:p>
            <w:pPr>
              <w:spacing w:after="0"/>
              <w:rPr>
                <w:sz w:val="20"/>
                <w:szCs w:val="20"/>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8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Shares</w:t>
            </w:r>
          </w:p>
        </w:tc>
        <w:tc>
          <w:tcPr>
            <w:tcW w:w="80" w:type="dxa"/>
            <w:vAlign w:val="bottom"/>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Amount</w:t>
            </w:r>
          </w:p>
        </w:tc>
        <w:tc>
          <w:tcPr>
            <w:tcW w:w="8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560"/>
        </w:trPr>
        <w:tc>
          <w:tcPr>
            <w:tcW w:w="860" w:type="dxa"/>
            <w:vAlign w:val="bottom"/>
          </w:tcPr>
          <w:p>
            <w:pPr>
              <w:jc w:val="right"/>
              <w:spacing w:after="0"/>
              <w:rPr>
                <w:sz w:val="20"/>
                <w:szCs w:val="20"/>
                <w:color w:val="auto"/>
              </w:rPr>
            </w:pPr>
            <w:r>
              <w:rPr>
                <w:rFonts w:ascii="Arial" w:cs="Arial" w:eastAsia="Arial" w:hAnsi="Arial"/>
                <w:sz w:val="18"/>
                <w:szCs w:val="18"/>
                <w:color w:val="auto"/>
              </w:rPr>
              <w:t>2,576.4</w:t>
            </w:r>
          </w:p>
        </w:tc>
        <w:tc>
          <w:tcPr>
            <w:tcW w:w="8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2,576.4</w:t>
            </w:r>
          </w:p>
        </w:tc>
        <w:tc>
          <w:tcPr>
            <w:tcW w:w="0" w:type="dxa"/>
            <w:vAlign w:val="bottom"/>
          </w:tcPr>
          <w:p>
            <w:pPr>
              <w:spacing w:after="0"/>
              <w:rPr>
                <w:sz w:val="1"/>
                <w:szCs w:val="1"/>
                <w:color w:val="auto"/>
              </w:rPr>
            </w:pPr>
          </w:p>
        </w:tc>
      </w:tr>
      <w:tr>
        <w:trPr>
          <w:trHeight w:val="756"/>
        </w:trPr>
        <w:tc>
          <w:tcPr>
            <w:tcW w:w="860" w:type="dxa"/>
            <w:vAlign w:val="bottom"/>
          </w:tcPr>
          <w:p>
            <w:pPr>
              <w:jc w:val="right"/>
              <w:spacing w:after="0"/>
              <w:rPr>
                <w:sz w:val="20"/>
                <w:szCs w:val="20"/>
                <w:color w:val="auto"/>
              </w:rPr>
            </w:pPr>
            <w:r>
              <w:rPr>
                <w:rFonts w:ascii="Arial" w:cs="Arial" w:eastAsia="Arial" w:hAnsi="Arial"/>
                <w:sz w:val="18"/>
                <w:szCs w:val="18"/>
                <w:color w:val="auto"/>
              </w:rPr>
              <w:t>(768.9)</w:t>
            </w:r>
          </w:p>
        </w:tc>
        <w:tc>
          <w:tcPr>
            <w:tcW w:w="8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(768.9)</w:t>
            </w:r>
          </w:p>
        </w:tc>
        <w:tc>
          <w:tcPr>
            <w:tcW w:w="0" w:type="dxa"/>
            <w:vAlign w:val="bottom"/>
          </w:tcPr>
          <w:p>
            <w:pPr>
              <w:spacing w:after="0"/>
              <w:rPr>
                <w:sz w:val="1"/>
                <w:szCs w:val="1"/>
                <w:color w:val="auto"/>
              </w:rPr>
            </w:pPr>
          </w:p>
        </w:tc>
      </w:tr>
      <w:tr>
        <w:trPr>
          <w:trHeight w:val="580"/>
        </w:trPr>
        <w:tc>
          <w:tcPr>
            <w:tcW w:w="860" w:type="dxa"/>
            <w:vAlign w:val="bottom"/>
          </w:tcPr>
          <w:p>
            <w:pPr>
              <w:jc w:val="right"/>
              <w:spacing w:after="0"/>
              <w:rPr>
                <w:sz w:val="20"/>
                <w:szCs w:val="20"/>
                <w:color w:val="auto"/>
              </w:rPr>
            </w:pPr>
            <w:r>
              <w:rPr>
                <w:rFonts w:ascii="Arial" w:cs="Arial" w:eastAsia="Arial" w:hAnsi="Arial"/>
                <w:sz w:val="18"/>
                <w:szCs w:val="18"/>
                <w:color w:val="auto"/>
              </w:rPr>
              <w:t>37.2</w:t>
            </w:r>
          </w:p>
        </w:tc>
        <w:tc>
          <w:tcPr>
            <w:tcW w:w="8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30"/>
        </w:trPr>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(5,880.9)</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(5,880.9)</w:t>
            </w:r>
          </w:p>
        </w:tc>
        <w:tc>
          <w:tcPr>
            <w:tcW w:w="0" w:type="dxa"/>
            <w:vAlign w:val="bottom"/>
          </w:tcPr>
          <w:p>
            <w:pPr>
              <w:spacing w:after="0"/>
              <w:rPr>
                <w:sz w:val="1"/>
                <w:szCs w:val="1"/>
                <w:color w:val="auto"/>
              </w:rPr>
            </w:pPr>
          </w:p>
        </w:tc>
      </w:tr>
      <w:tr>
        <w:trPr>
          <w:trHeight w:val="404"/>
        </w:trPr>
        <w:tc>
          <w:tcPr>
            <w:tcW w:w="860" w:type="dxa"/>
            <w:vAlign w:val="bottom"/>
          </w:tcPr>
          <w:p>
            <w:pPr>
              <w:jc w:val="right"/>
              <w:spacing w:after="0"/>
              <w:rPr>
                <w:sz w:val="20"/>
                <w:szCs w:val="20"/>
                <w:color w:val="auto"/>
              </w:rPr>
            </w:pPr>
            <w:r>
              <w:rPr>
                <w:rFonts w:ascii="Arial" w:cs="Arial" w:eastAsia="Arial" w:hAnsi="Arial"/>
                <w:sz w:val="18"/>
                <w:szCs w:val="18"/>
                <w:color w:val="auto"/>
              </w:rPr>
              <w:t>442.9</w:t>
            </w:r>
          </w:p>
        </w:tc>
        <w:tc>
          <w:tcPr>
            <w:tcW w:w="8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442.9</w:t>
            </w:r>
          </w:p>
        </w:tc>
        <w:tc>
          <w:tcPr>
            <w:tcW w:w="0" w:type="dxa"/>
            <w:vAlign w:val="bottom"/>
          </w:tcPr>
          <w:p>
            <w:pPr>
              <w:spacing w:after="0"/>
              <w:rPr>
                <w:sz w:val="1"/>
                <w:szCs w:val="1"/>
                <w:color w:val="auto"/>
              </w:rPr>
            </w:pPr>
          </w:p>
        </w:tc>
      </w:tr>
      <w:tr>
        <w:trPr>
          <w:trHeight w:val="230"/>
        </w:trPr>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3,513.2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3,513.2</w:t>
            </w:r>
          </w:p>
        </w:tc>
        <w:tc>
          <w:tcPr>
            <w:tcW w:w="0" w:type="dxa"/>
            <w:vAlign w:val="bottom"/>
          </w:tcPr>
          <w:p>
            <w:pPr>
              <w:spacing w:after="0"/>
              <w:rPr>
                <w:sz w:val="1"/>
                <w:szCs w:val="1"/>
                <w:color w:val="auto"/>
              </w:rPr>
            </w:pPr>
          </w:p>
        </w:tc>
      </w:tr>
      <w:tr>
        <w:trPr>
          <w:trHeight w:val="405"/>
        </w:trPr>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3"/>
        </w:trPr>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6,716.2</w:t>
            </w:r>
          </w:p>
        </w:tc>
        <w:tc>
          <w:tcPr>
            <w:tcW w:w="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$ 10,893.0</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(6,613.3)</w:t>
            </w:r>
          </w:p>
        </w:tc>
        <w:tc>
          <w:tcPr>
            <w:tcW w:w="8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11,025.3</w:t>
            </w:r>
          </w:p>
        </w:tc>
        <w:tc>
          <w:tcPr>
            <w:tcW w:w="0" w:type="dxa"/>
            <w:vAlign w:val="bottom"/>
          </w:tcPr>
          <w:p>
            <w:pPr>
              <w:spacing w:after="0"/>
              <w:rPr>
                <w:sz w:val="1"/>
                <w:szCs w:val="1"/>
                <w:color w:val="auto"/>
              </w:rPr>
            </w:pPr>
          </w:p>
        </w:tc>
      </w:tr>
      <w:tr>
        <w:trPr>
          <w:trHeight w:val="21"/>
        </w:trPr>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-3342640</wp:posOffset>
            </wp:positionH>
            <wp:positionV relativeFrom="paragraph">
              <wp:posOffset>-2211070</wp:posOffset>
            </wp:positionV>
            <wp:extent cx="7054850" cy="3683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25">
                      <a:extLst>
                        <a:ext uri="{28A0092B-C50C-407E-A947-70E740481C1C}"/>
                      </a:extLst>
                    </a:blip>
                    <a:srcRect/>
                    <a:stretch>
                      <a:fillRect/>
                    </a:stretch>
                  </pic:blipFill>
                  <pic:spPr bwMode="auto">
                    <a:xfrm>
                      <a:off x="0" y="0"/>
                      <a:ext cx="7054850" cy="368300"/>
                    </a:xfrm>
                    <a:prstGeom prst="rect">
                      <a:avLst/>
                    </a:prstGeom>
                    <a:noFill/>
                  </pic:spPr>
                </pic:pic>
              </a:graphicData>
            </a:graphic>
          </wp:anchor>
        </w:drawing>
        <w:drawing>
          <wp:anchor simplePos="0" relativeHeight="251657728" behindDoc="1" locked="0" layoutInCell="0" allowOverlap="1">
            <wp:simplePos x="0" y="0"/>
            <wp:positionH relativeFrom="column">
              <wp:posOffset>-3342640</wp:posOffset>
            </wp:positionH>
            <wp:positionV relativeFrom="paragraph">
              <wp:posOffset>-1362710</wp:posOffset>
            </wp:positionV>
            <wp:extent cx="7054850" cy="3689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26">
                      <a:extLst>
                        <a:ext uri="{28A0092B-C50C-407E-A947-70E740481C1C}"/>
                      </a:extLst>
                    </a:blip>
                    <a:srcRect/>
                    <a:stretch>
                      <a:fillRect/>
                    </a:stretch>
                  </pic:blipFill>
                  <pic:spPr bwMode="auto">
                    <a:xfrm>
                      <a:off x="0" y="0"/>
                      <a:ext cx="7054850" cy="368935"/>
                    </a:xfrm>
                    <a:prstGeom prst="rect">
                      <a:avLst/>
                    </a:prstGeom>
                    <a:noFill/>
                  </pic:spPr>
                </pic:pic>
              </a:graphicData>
            </a:graphic>
          </wp:anchor>
        </w:drawing>
        <w:drawing>
          <wp:anchor simplePos="0" relativeHeight="251657728" behindDoc="1" locked="0" layoutInCell="0" allowOverlap="1">
            <wp:simplePos x="0" y="0"/>
            <wp:positionH relativeFrom="column">
              <wp:posOffset>-3342640</wp:posOffset>
            </wp:positionH>
            <wp:positionV relativeFrom="paragraph">
              <wp:posOffset>-848360</wp:posOffset>
            </wp:positionV>
            <wp:extent cx="7054850" cy="2571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27">
                      <a:extLst>
                        <a:ext uri="{28A0092B-C50C-407E-A947-70E740481C1C}"/>
                      </a:extLst>
                    </a:blip>
                    <a:srcRect/>
                    <a:stretch>
                      <a:fillRect/>
                    </a:stretch>
                  </pic:blipFill>
                  <pic:spPr bwMode="auto">
                    <a:xfrm>
                      <a:off x="0" y="0"/>
                      <a:ext cx="7054850" cy="257175"/>
                    </a:xfrm>
                    <a:prstGeom prst="rect">
                      <a:avLst/>
                    </a:prstGeom>
                    <a:noFill/>
                  </pic:spPr>
                </pic:pic>
              </a:graphicData>
            </a:graphic>
          </wp:anchor>
        </w:drawing>
        <w:drawing>
          <wp:anchor simplePos="0" relativeHeight="251657728" behindDoc="1" locked="0" layoutInCell="0" allowOverlap="1">
            <wp:simplePos x="0" y="0"/>
            <wp:positionH relativeFrom="column">
              <wp:posOffset>-3342640</wp:posOffset>
            </wp:positionH>
            <wp:positionV relativeFrom="paragraph">
              <wp:posOffset>-445135</wp:posOffset>
            </wp:positionV>
            <wp:extent cx="7054850" cy="2571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28">
                      <a:extLst>
                        <a:ext uri="{28A0092B-C50C-407E-A947-70E740481C1C}"/>
                      </a:extLst>
                    </a:blip>
                    <a:srcRect/>
                    <a:stretch>
                      <a:fillRect/>
                    </a:stretch>
                  </pic:blipFill>
                  <pic:spPr bwMode="auto">
                    <a:xfrm>
                      <a:off x="0" y="0"/>
                      <a:ext cx="7054850" cy="257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80"/>
            <w:col w:w="5840"/>
          </w:cols>
          <w:pgMar w:left="320" w:top="130" w:right="399" w:bottom="1440" w:gutter="0" w:footer="0" w:header="0"/>
          <w:type w:val="continuous"/>
        </w:sectPr>
      </w:pP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31750</wp:posOffset>
            </wp:positionV>
            <wp:extent cx="705485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29">
                      <a:extLst>
                        <a:ext uri="{28A0092B-C50C-407E-A947-70E740481C1C}"/>
                      </a:extLst>
                    </a:blip>
                    <a:srcRect/>
                    <a:stretch>
                      <a:fillRect/>
                    </a:stretch>
                  </pic:blipFill>
                  <pic:spPr bwMode="auto">
                    <a:xfrm>
                      <a:off x="0" y="0"/>
                      <a:ext cx="7054850" cy="825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57785</wp:posOffset>
            </wp:positionV>
            <wp:extent cx="705485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30">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type w:val="continuous"/>
        </w:sectPr>
      </w:pPr>
    </w:p>
    <w:bookmarkStart w:id="108" w:name="page109"/>
    <w:bookmarkEnd w:id="10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(In millions)</w:t>
      </w:r>
    </w:p>
    <w:p>
      <w:pPr>
        <w:spacing w:after="0" w:line="126"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Borders>
              <w:bottom w:val="single" w:sz="8" w:color="auto"/>
            </w:tcBorders>
          </w:tcPr>
          <w:p>
            <w:pPr>
              <w:spacing w:after="0"/>
              <w:rPr>
                <w:sz w:val="20"/>
                <w:szCs w:val="20"/>
                <w:color w:val="auto"/>
              </w:rPr>
            </w:pPr>
          </w:p>
        </w:tc>
      </w:tr>
      <w:tr>
        <w:trPr>
          <w:trHeight w:val="223"/>
        </w:trPr>
        <w:tc>
          <w:tcPr>
            <w:tcW w:w="66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0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666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3,513.2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2,115.8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2,444.4</w:t>
            </w:r>
          </w:p>
        </w:tc>
      </w:tr>
      <w:tr>
        <w:trPr>
          <w:trHeight w:val="230"/>
        </w:trPr>
        <w:tc>
          <w:tcPr>
            <w:tcW w:w="6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666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148.2</w:t>
            </w:r>
          </w:p>
        </w:tc>
      </w:tr>
      <w:tr>
        <w:trPr>
          <w:trHeight w:val="230"/>
        </w:trPr>
        <w:tc>
          <w:tcPr>
            <w:tcW w:w="6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Non-cash compensation expense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w:t>
            </w:r>
          </w:p>
        </w:tc>
      </w:tr>
      <w:tr>
        <w:trPr>
          <w:trHeight w:val="229"/>
        </w:trPr>
        <w:tc>
          <w:tcPr>
            <w:tcW w:w="6660" w:type="dxa"/>
            <w:vAlign w:val="bottom"/>
          </w:tcPr>
          <w:p>
            <w:pPr>
              <w:ind w:left="480"/>
              <w:spacing w:after="0"/>
              <w:rPr>
                <w:sz w:val="20"/>
                <w:szCs w:val="20"/>
                <w:color w:val="auto"/>
              </w:rPr>
            </w:pPr>
            <w:r>
              <w:rPr>
                <w:rFonts w:ascii="Arial" w:cs="Arial" w:eastAsia="Arial" w:hAnsi="Arial"/>
                <w:sz w:val="18"/>
                <w:szCs w:val="18"/>
                <w:color w:val="auto"/>
              </w:rPr>
              <w:t>Other non-cash items, net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29"/>
        </w:trPr>
        <w:tc>
          <w:tcPr>
            <w:tcW w:w="6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taxes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r>
      <w:tr>
        <w:trPr>
          <w:trHeight w:val="230"/>
        </w:trPr>
        <w:tc>
          <w:tcPr>
            <w:tcW w:w="6660" w:type="dxa"/>
            <w:vAlign w:val="bottom"/>
          </w:tcPr>
          <w:p>
            <w:pPr>
              <w:ind w:left="480"/>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66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Increase in trade, Sanofi, and other accounts receivable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w:t>
            </w:r>
          </w:p>
        </w:tc>
      </w:tr>
      <w:tr>
        <w:trPr>
          <w:trHeight w:val="229"/>
        </w:trPr>
        <w:tc>
          <w:tcPr>
            <w:tcW w:w="6660" w:type="dxa"/>
            <w:vAlign w:val="bottom"/>
          </w:tcPr>
          <w:p>
            <w:pPr>
              <w:ind w:left="680"/>
              <w:spacing w:after="0"/>
              <w:rPr>
                <w:sz w:val="20"/>
                <w:szCs w:val="20"/>
                <w:color w:val="auto"/>
              </w:rPr>
            </w:pPr>
            <w:r>
              <w:rPr>
                <w:rFonts w:ascii="Arial" w:cs="Arial" w:eastAsia="Arial" w:hAnsi="Arial"/>
                <w:sz w:val="18"/>
                <w:szCs w:val="18"/>
                <w:color w:val="auto"/>
              </w:rPr>
              <w:t>Increase in inventories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(387.9)</w:t>
            </w:r>
          </w:p>
        </w:tc>
      </w:tr>
      <w:tr>
        <w:trPr>
          <w:trHeight w:val="230"/>
        </w:trPr>
        <w:tc>
          <w:tcPr>
            <w:tcW w:w="66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Decrease (increase) in prepaid expenses and other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r>
      <w:tr>
        <w:trPr>
          <w:trHeight w:val="229"/>
        </w:trPr>
        <w:tc>
          <w:tcPr>
            <w:tcW w:w="6660" w:type="dxa"/>
            <w:vAlign w:val="bottom"/>
          </w:tcPr>
          <w:p>
            <w:pPr>
              <w:ind w:left="680"/>
              <w:spacing w:after="0"/>
              <w:rPr>
                <w:sz w:val="20"/>
                <w:szCs w:val="20"/>
                <w:color w:val="auto"/>
              </w:rPr>
            </w:pPr>
            <w:r>
              <w:rPr>
                <w:rFonts w:ascii="Arial" w:cs="Arial" w:eastAsia="Arial" w:hAnsi="Arial"/>
                <w:sz w:val="18"/>
                <w:szCs w:val="18"/>
                <w:color w:val="auto"/>
              </w:rPr>
              <w:t>Increase (decrease) in deferred revenue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(43.4)</w:t>
            </w:r>
          </w:p>
        </w:tc>
      </w:tr>
      <w:tr>
        <w:trPr>
          <w:trHeight w:val="230"/>
        </w:trPr>
        <w:tc>
          <w:tcPr>
            <w:tcW w:w="66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Increase in accounts payable, accrued expenses, and 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r>
      <w:tr>
        <w:trPr>
          <w:trHeight w:val="223"/>
        </w:trPr>
        <w:tc>
          <w:tcPr>
            <w:tcW w:w="66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adjustments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(249.3)</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2,195.1</w:t>
            </w:r>
          </w:p>
        </w:tc>
      </w:tr>
      <w:tr>
        <w:trPr>
          <w:trHeight w:val="196"/>
        </w:trPr>
        <w:tc>
          <w:tcPr>
            <w:tcW w:w="6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6660" w:type="dxa"/>
            <w:vAlign w:val="bottom"/>
          </w:tcPr>
          <w:p>
            <w:pPr>
              <w:ind w:left="240"/>
              <w:spacing w:after="0"/>
              <w:rPr>
                <w:sz w:val="20"/>
                <w:szCs w:val="20"/>
                <w:color w:val="auto"/>
              </w:rPr>
            </w:pPr>
            <w:r>
              <w:rPr>
                <w:rFonts w:ascii="Arial" w:cs="Arial" w:eastAsia="Arial" w:hAnsi="Arial"/>
                <w:sz w:val="18"/>
                <w:szCs w:val="18"/>
                <w:color w:val="auto"/>
              </w:rPr>
              <w:t>Purchases of marketable and other securities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(3,241.0)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(3,202.4)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(1,845.5)</w:t>
            </w:r>
          </w:p>
        </w:tc>
      </w:tr>
      <w:tr>
        <w:trPr>
          <w:trHeight w:val="229"/>
        </w:trPr>
        <w:tc>
          <w:tcPr>
            <w:tcW w:w="6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or maturities of marketable and other securities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775.6</w:t>
            </w:r>
          </w:p>
        </w:tc>
      </w:tr>
      <w:tr>
        <w:trPr>
          <w:trHeight w:val="230"/>
        </w:trPr>
        <w:tc>
          <w:tcPr>
            <w:tcW w:w="6660" w:type="dxa"/>
            <w:vAlign w:val="bottom"/>
          </w:tcPr>
          <w:p>
            <w:pPr>
              <w:ind w:left="24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(614.6)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(383.1)</w:t>
            </w:r>
          </w:p>
        </w:tc>
      </w:tr>
      <w:tr>
        <w:trPr>
          <w:trHeight w:val="230"/>
        </w:trPr>
        <w:tc>
          <w:tcPr>
            <w:tcW w:w="6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(2,027.8)</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(1,463.0)</w:t>
            </w:r>
          </w:p>
        </w:tc>
      </w:tr>
      <w:tr>
        <w:trPr>
          <w:trHeight w:val="196"/>
        </w:trPr>
        <w:tc>
          <w:tcPr>
            <w:tcW w:w="6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6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issuance of long-term debt, net of issuance costs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60" w:type="dxa"/>
            <w:vAlign w:val="bottom"/>
          </w:tcPr>
          <w:p>
            <w:pPr>
              <w:ind w:left="240"/>
              <w:spacing w:after="0"/>
              <w:rPr>
                <w:sz w:val="20"/>
                <w:szCs w:val="20"/>
                <w:color w:val="auto"/>
              </w:rPr>
            </w:pPr>
            <w:r>
              <w:rPr>
                <w:rFonts w:ascii="Arial" w:cs="Arial" w:eastAsia="Arial" w:hAnsi="Arial"/>
                <w:sz w:val="18"/>
                <w:szCs w:val="18"/>
                <w:color w:val="auto"/>
              </w:rPr>
              <w:t>Proceeds from bridge loan facility</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Repayment of bridge loan facility</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60" w:type="dxa"/>
            <w:vAlign w:val="bottom"/>
          </w:tcPr>
          <w:p>
            <w:pPr>
              <w:ind w:left="240"/>
              <w:spacing w:after="0"/>
              <w:rPr>
                <w:sz w:val="20"/>
                <w:szCs w:val="20"/>
                <w:color w:val="auto"/>
              </w:rPr>
            </w:pPr>
            <w:r>
              <w:rPr>
                <w:rFonts w:ascii="Arial" w:cs="Arial" w:eastAsia="Arial" w:hAnsi="Arial"/>
                <w:sz w:val="18"/>
                <w:szCs w:val="18"/>
                <w:color w:val="auto"/>
              </w:rPr>
              <w:t>Proceeds from issuance of Common Stock</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2,575.2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114.5</w:t>
            </w:r>
          </w:p>
        </w:tc>
      </w:tr>
      <w:tr>
        <w:trPr>
          <w:trHeight w:val="230"/>
        </w:trPr>
        <w:tc>
          <w:tcPr>
            <w:tcW w:w="66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6"/>
              </w:rPr>
              <w:t>Payments in connection with Common Stock tendered for employee tax obligations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w:t>
            </w:r>
          </w:p>
        </w:tc>
      </w:tr>
      <w:tr>
        <w:trPr>
          <w:trHeight w:val="230"/>
        </w:trPr>
        <w:tc>
          <w:tcPr>
            <w:tcW w:w="66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Repurchases of Common Stock</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(5,846.8)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(1,970.5)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w:t>
            </w:r>
          </w:p>
        </w:tc>
      </w:tr>
      <w:tr>
        <w:trPr>
          <w:trHeight w:val="196"/>
        </w:trPr>
        <w:tc>
          <w:tcPr>
            <w:tcW w:w="6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w:t>
            </w:r>
          </w:p>
        </w:tc>
      </w:tr>
      <w:tr>
        <w:trPr>
          <w:trHeight w:val="216"/>
        </w:trPr>
        <w:tc>
          <w:tcPr>
            <w:tcW w:w="6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825.2</w:t>
            </w:r>
          </w:p>
        </w:tc>
      </w:tr>
      <w:tr>
        <w:trPr>
          <w:trHeight w:val="196"/>
        </w:trPr>
        <w:tc>
          <w:tcPr>
            <w:tcW w:w="6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55"/>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1,480.2</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Cash paid for interest (net of amounts capitalized)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income taxes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w:t>
            </w:r>
          </w:p>
        </w:tc>
      </w:tr>
    </w:tbl>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17145</wp:posOffset>
            </wp:positionV>
            <wp:extent cx="697801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32">
                      <a:extLst>
                        <a:ext uri="{28A0092B-C50C-407E-A947-70E740481C1C}"/>
                      </a:extLst>
                    </a:blip>
                    <a:srcRect/>
                    <a:stretch>
                      <a:fillRect/>
                    </a:stretch>
                  </pic:blipFill>
                  <pic:spPr bwMode="auto">
                    <a:xfrm>
                      <a:off x="0" y="0"/>
                      <a:ext cx="6978015" cy="889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43180</wp:posOffset>
            </wp:positionV>
            <wp:extent cx="69780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33">
                      <a:extLst>
                        <a:ext uri="{28A0092B-C50C-407E-A947-70E740481C1C}"/>
                      </a:extLst>
                    </a:blip>
                    <a:srcRect/>
                    <a:stretch>
                      <a:fillRect/>
                    </a:stretch>
                  </pic:blipFill>
                  <pic:spPr bwMode="auto">
                    <a:xfrm>
                      <a:off x="0" y="0"/>
                      <a:ext cx="6978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30" w:right="459" w:bottom="1440" w:gutter="0" w:footer="0" w:header="0"/>
        </w:sectPr>
      </w:pPr>
    </w:p>
    <w:bookmarkStart w:id="109" w:name="page110"/>
    <w:bookmarkEnd w:id="10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Overview and Summary of Significant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Business</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Regeneron Pharmaceuticals, Inc. and its subsidiaries ("Regeneron," "Company," "we," "us," and "our") is a fully integrated biotechnology company that discovers, invents, develops, manufactures, and commercializes medicines for the treatment of serious diseases. Our commercialized medicines and product candidates in development are designed to help patients with eye diseases, allergic and inflammatory diseases, cancer, cardiovascular and metabolic diseases, pain, infectious diseases, and rare diseases. The Company's products that have received marketing approval consist of EYLEA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(aflibercept), Dupixent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(dupilumab), Libtayo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(cemiplimab), Praluent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(alirocumab), Kevzara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(sarilumab), Inmazeb</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(atoltivimab, maftivimab, and odesivimab-ebgn), ARCALYST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(rilonacept), and ZALTRAP</w:t>
      </w:r>
      <w:r>
        <w:rPr>
          <w:rFonts w:ascii="Arial" w:cs="Arial" w:eastAsia="Arial" w:hAnsi="Arial"/>
          <w:sz w:val="22"/>
          <w:szCs w:val="22"/>
          <w:color w:val="auto"/>
          <w:vertAlign w:val="superscript"/>
        </w:rPr>
        <w:t>®</w:t>
      </w:r>
      <w:r>
        <w:rPr>
          <w:rFonts w:ascii="Arial" w:cs="Arial" w:eastAsia="Arial" w:hAnsi="Arial"/>
          <w:sz w:val="17"/>
          <w:szCs w:val="17"/>
          <w:color w:val="auto"/>
        </w:rPr>
        <w:t xml:space="preserve"> (ziv-aflibercept)</w:t>
      </w:r>
      <w:r>
        <w:rPr>
          <w:rFonts w:ascii="Arial" w:cs="Arial" w:eastAsia="Arial" w:hAnsi="Arial"/>
          <w:sz w:val="17"/>
          <w:szCs w:val="17"/>
          <w:i w:val="1"/>
          <w:iCs w:val="1"/>
          <w:color w:val="auto"/>
        </w:rPr>
        <w:t>.</w:t>
      </w:r>
      <w:r>
        <w:rPr>
          <w:rFonts w:ascii="Arial" w:cs="Arial" w:eastAsia="Arial" w:hAnsi="Arial"/>
          <w:sz w:val="17"/>
          <w:szCs w:val="17"/>
          <w:color w:val="auto"/>
        </w:rPr>
        <w:t xml:space="preserve"> In addition, REGEN-COV</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(casirivimab and imdevimab) received Emergency Use Authorization from the U.S. Food and Drug Administration ("FDA") for the treatment of mild to moderate COVID-19 in certain patients at high risk for progressing to severe COVID-19 and/or hospitalization. The Company is a party to collaboration agreements to develop and commercialize, as applicable, certain products and product candidates (see Note 3).</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operates in one business segment, which includes all activities related to the discovery, development, and commercialization of medicines for the treatment of serious diseases. The Company's business is subject to certain risks including, but not limited to, uncertainties relating to conducting research activities, product development, obtaining regulatory approvals, competition, and obtaining and enforcing patents.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consolidated financial statements include the accounts of Regeneron and its wholly-owned subsidiaries. Intercompany balances and transactions are eliminated in consolidation. Certain reclassifications have been made to prior period amounts to conform with the current period's presentation.</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January 1, 2020, we changed the presentation of cost reimbursements from collaborators who are not deemed to be our customers from collaboration revenue to a reduction of the corresponding operating expense (</w:t>
      </w:r>
      <w:r>
        <w:rPr>
          <w:rFonts w:ascii="Arial" w:cs="Arial" w:eastAsia="Arial" w:hAnsi="Arial"/>
          <w:sz w:val="18"/>
          <w:szCs w:val="18"/>
          <w:i w:val="1"/>
          <w:iCs w:val="1"/>
          <w:color w:val="auto"/>
        </w:rPr>
        <w:t>i.e.</w:t>
      </w:r>
      <w:r>
        <w:rPr>
          <w:rFonts w:ascii="Arial" w:cs="Arial" w:eastAsia="Arial" w:hAnsi="Arial"/>
          <w:sz w:val="18"/>
          <w:szCs w:val="18"/>
          <w:color w:val="auto"/>
        </w:rPr>
        <w:t>, either Research and development or Selling, general, and administrative) incurred by us. We also changed the presentation of amounts recognized in connection with up-front and development milestone payments received from collaboration revenue to other operating income. We made these changes in presentation because we believe the new presentation is preferable, as it better reflects the nature of the Company’s costs incurred and revenues earned pursuant to arrangements with collaborators and enhances the comparability of our financial statements with industry peers.</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change in presentation has been applied retrospectively. The tables below present the impact of the change on the Company’s previously-filed Consolidated Balance Sheet as of December 31, 2019, the Consolidated Statement of Operations for the years ended December 31, 2019, and 2018, and the Consolidated Statement of Cash Flows for the years ended December 31, 2019, and 2018. The Company’s previously-filed balance sheet has been updated to reflect the addition of the caption Other liabilities for the presentation of up-front and development milestones paid by collaborators that are deferred. There was no impact on the Company’s previously-filed Consolidated Statements of Stockholders’ Equity.</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90"/>
              </w:rPr>
              <w:t>December 31, 2019</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43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Balance Sheet Data:</w:t>
            </w:r>
          </w:p>
        </w:tc>
        <w:tc>
          <w:tcPr>
            <w:tcW w:w="120" w:type="dxa"/>
            <w:vAlign w:val="bottom"/>
          </w:tcPr>
          <w:p>
            <w:pPr>
              <w:spacing w:after="0"/>
              <w:rPr>
                <w:sz w:val="14"/>
                <w:szCs w:val="14"/>
                <w:color w:val="auto"/>
              </w:rPr>
            </w:pPr>
          </w:p>
        </w:tc>
        <w:tc>
          <w:tcPr>
            <w:tcW w:w="1540" w:type="dxa"/>
            <w:vAlign w:val="bottom"/>
            <w:gridSpan w:val="2"/>
          </w:tcPr>
          <w:p>
            <w:pPr>
              <w:jc w:val="center"/>
              <w:ind w:right="220"/>
              <w:spacing w:after="0" w:line="169" w:lineRule="exact"/>
              <w:rPr>
                <w:sz w:val="20"/>
                <w:szCs w:val="20"/>
                <w:color w:val="auto"/>
              </w:rPr>
            </w:pPr>
            <w:r>
              <w:rPr>
                <w:rFonts w:ascii="Arial" w:cs="Arial" w:eastAsia="Arial" w:hAnsi="Arial"/>
                <w:sz w:val="18"/>
                <w:szCs w:val="18"/>
                <w:b w:val="1"/>
                <w:bCs w:val="1"/>
                <w:color w:val="auto"/>
                <w:w w:val="87"/>
              </w:rPr>
              <w:t>As Previously</w:t>
            </w:r>
          </w:p>
        </w:tc>
        <w:tc>
          <w:tcPr>
            <w:tcW w:w="180" w:type="dxa"/>
            <w:vAlign w:val="bottom"/>
          </w:tcPr>
          <w:p>
            <w:pPr>
              <w:spacing w:after="0"/>
              <w:rPr>
                <w:sz w:val="14"/>
                <w:szCs w:val="14"/>
                <w:color w:val="auto"/>
              </w:rPr>
            </w:pPr>
          </w:p>
        </w:tc>
        <w:tc>
          <w:tcPr>
            <w:tcW w:w="146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89"/>
              </w:rPr>
              <w:t>Adjustments</w:t>
            </w:r>
          </w:p>
        </w:tc>
        <w:tc>
          <w:tcPr>
            <w:tcW w:w="220" w:type="dxa"/>
            <w:vAlign w:val="bottom"/>
          </w:tcPr>
          <w:p>
            <w:pPr>
              <w:spacing w:after="0"/>
              <w:rPr>
                <w:sz w:val="14"/>
                <w:szCs w:val="14"/>
                <w:color w:val="auto"/>
              </w:rPr>
            </w:pPr>
          </w:p>
        </w:tc>
        <w:tc>
          <w:tcPr>
            <w:tcW w:w="236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As Revised</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43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220"/>
              <w:spacing w:after="0" w:line="189" w:lineRule="exact"/>
              <w:rPr>
                <w:sz w:val="20"/>
                <w:szCs w:val="20"/>
                <w:color w:val="auto"/>
              </w:rPr>
            </w:pPr>
            <w:r>
              <w:rPr>
                <w:rFonts w:ascii="Arial" w:cs="Arial" w:eastAsia="Arial" w:hAnsi="Arial"/>
                <w:sz w:val="18"/>
                <w:szCs w:val="18"/>
                <w:b w:val="1"/>
                <w:bCs w:val="1"/>
                <w:color w:val="auto"/>
                <w:w w:val="91"/>
              </w:rPr>
              <w:t>Reported</w:t>
            </w:r>
          </w:p>
        </w:tc>
        <w:tc>
          <w:tcPr>
            <w:tcW w:w="18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1,211.4</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4320" w:type="dxa"/>
            <w:vAlign w:val="bottom"/>
            <w:gridSpan w:val="3"/>
          </w:tcPr>
          <w:p>
            <w:pPr>
              <w:ind w:left="20"/>
              <w:spacing w:after="0"/>
              <w:rPr>
                <w:sz w:val="20"/>
                <w:szCs w:val="20"/>
                <w:color w:val="auto"/>
              </w:rPr>
            </w:pPr>
            <w:r>
              <w:rPr>
                <w:rFonts w:ascii="Arial" w:cs="Arial" w:eastAsia="Arial" w:hAnsi="Arial"/>
                <w:sz w:val="18"/>
                <w:szCs w:val="18"/>
                <w:color w:val="auto"/>
              </w:rPr>
              <w:t>Deferred revenue - Sanofi (current)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395.5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310.5</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4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Deferred revenue - other (current)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40" w:type="dxa"/>
            <w:vAlign w:val="bottom"/>
          </w:tcPr>
          <w:p>
            <w:pPr>
              <w:spacing w:after="0"/>
              <w:rPr>
                <w:sz w:val="19"/>
                <w:szCs w:val="19"/>
                <w:color w:val="auto"/>
              </w:rPr>
            </w:pPr>
          </w:p>
        </w:tc>
        <w:tc>
          <w:tcPr>
            <w:tcW w:w="4320" w:type="dxa"/>
            <w:vAlign w:val="bottom"/>
            <w:gridSpan w:val="3"/>
          </w:tcPr>
          <w:p>
            <w:pPr>
              <w:ind w:left="20"/>
              <w:spacing w:after="0"/>
              <w:rPr>
                <w:sz w:val="20"/>
                <w:szCs w:val="20"/>
                <w:color w:val="auto"/>
              </w:rPr>
            </w:pPr>
            <w:r>
              <w:rPr>
                <w:rFonts w:ascii="Arial" w:cs="Arial" w:eastAsia="Arial" w:hAnsi="Arial"/>
                <w:sz w:val="18"/>
                <w:szCs w:val="18"/>
                <w:color w:val="auto"/>
              </w:rPr>
              <w:t>Other liabilities - Sanofi (current)</w:t>
            </w: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85.0</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4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Deferred revenue - Sanofi (noncurrent)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4320" w:type="dxa"/>
            <w:vAlign w:val="bottom"/>
            <w:gridSpan w:val="3"/>
          </w:tcPr>
          <w:p>
            <w:pPr>
              <w:ind w:left="20"/>
              <w:spacing w:after="0"/>
              <w:rPr>
                <w:sz w:val="20"/>
                <w:szCs w:val="20"/>
                <w:color w:val="auto"/>
              </w:rPr>
            </w:pPr>
            <w:r>
              <w:rPr>
                <w:rFonts w:ascii="Arial" w:cs="Arial" w:eastAsia="Arial" w:hAnsi="Arial"/>
                <w:sz w:val="18"/>
                <w:szCs w:val="18"/>
                <w:color w:val="auto"/>
              </w:rPr>
              <w:t>Deferred revenue - other (noncurrent)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109.3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77.6</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4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liabilities - Sanofi (noncurrent)</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4320" w:type="dxa"/>
            <w:vAlign w:val="bottom"/>
            <w:gridSpan w:val="3"/>
          </w:tcPr>
          <w:p>
            <w:pPr>
              <w:ind w:left="20"/>
              <w:spacing w:after="0"/>
              <w:rPr>
                <w:sz w:val="20"/>
                <w:szCs w:val="20"/>
                <w:color w:val="auto"/>
              </w:rPr>
            </w:pPr>
            <w:r>
              <w:rPr>
                <w:rFonts w:ascii="Arial" w:cs="Arial" w:eastAsia="Arial" w:hAnsi="Arial"/>
                <w:sz w:val="18"/>
                <w:szCs w:val="18"/>
                <w:color w:val="auto"/>
              </w:rPr>
              <w:t>Other noncurrent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286.0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317.7</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F-9</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0" w:name="page111"/>
    <w:bookmarkEnd w:id="1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REGENERON PHARMACEUTICALS, INC. NOTES TO CONSOLIDATED FINANCIAL STATEMENTS (Continued) </w:t>
      </w: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7"/>
          </w:tcPr>
          <w:p>
            <w:pPr>
              <w:jc w:val="right"/>
              <w:ind w:right="750"/>
              <w:spacing w:after="0"/>
              <w:rPr>
                <w:sz w:val="20"/>
                <w:szCs w:val="20"/>
                <w:color w:val="auto"/>
              </w:rPr>
            </w:pPr>
            <w:r>
              <w:rPr>
                <w:rFonts w:ascii="Arial" w:cs="Arial" w:eastAsia="Arial" w:hAnsi="Arial"/>
                <w:sz w:val="18"/>
                <w:szCs w:val="18"/>
                <w:b w:val="1"/>
                <w:bCs w:val="1"/>
                <w:color w:val="auto"/>
              </w:rPr>
              <w:t>Year Ended December 31, 2019</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7"/>
          </w:tcPr>
          <w:p>
            <w:pPr>
              <w:jc w:val="right"/>
              <w:ind w:right="750"/>
              <w:spacing w:after="0"/>
              <w:rPr>
                <w:sz w:val="20"/>
                <w:szCs w:val="20"/>
                <w:color w:val="auto"/>
              </w:rPr>
            </w:pPr>
            <w:r>
              <w:rPr>
                <w:rFonts w:ascii="Arial" w:cs="Arial" w:eastAsia="Arial" w:hAnsi="Arial"/>
                <w:sz w:val="18"/>
                <w:szCs w:val="18"/>
                <w:b w:val="1"/>
                <w:bCs w:val="1"/>
                <w:color w:val="auto"/>
              </w:rPr>
              <w:t>Year Ended December 31, 2018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Statement of Operations Data:</w:t>
            </w:r>
          </w:p>
        </w:tc>
        <w:tc>
          <w:tcPr>
            <w:tcW w:w="140" w:type="dxa"/>
            <w:vAlign w:val="bottom"/>
          </w:tcPr>
          <w:p>
            <w:pPr>
              <w:spacing w:after="0"/>
              <w:rPr>
                <w:sz w:val="14"/>
                <w:szCs w:val="14"/>
                <w:color w:val="auto"/>
              </w:rPr>
            </w:pPr>
          </w:p>
        </w:tc>
        <w:tc>
          <w:tcPr>
            <w:tcW w:w="136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88"/>
              </w:rPr>
              <w:t>As Previously</w:t>
            </w:r>
          </w:p>
        </w:tc>
        <w:tc>
          <w:tcPr>
            <w:tcW w:w="140" w:type="dxa"/>
            <w:vAlign w:val="bottom"/>
          </w:tcPr>
          <w:p>
            <w:pPr>
              <w:spacing w:after="0"/>
              <w:rPr>
                <w:sz w:val="14"/>
                <w:szCs w:val="14"/>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Adjustments</w:t>
            </w:r>
          </w:p>
        </w:tc>
        <w:tc>
          <w:tcPr>
            <w:tcW w:w="140" w:type="dxa"/>
            <w:vAlign w:val="bottom"/>
          </w:tcPr>
          <w:p>
            <w:pPr>
              <w:spacing w:after="0"/>
              <w:rPr>
                <w:sz w:val="14"/>
                <w:szCs w:val="14"/>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As Revised</w:t>
            </w:r>
          </w:p>
        </w:tc>
        <w:tc>
          <w:tcPr>
            <w:tcW w:w="160" w:type="dxa"/>
            <w:vAlign w:val="bottom"/>
          </w:tcPr>
          <w:p>
            <w:pPr>
              <w:spacing w:after="0"/>
              <w:rPr>
                <w:sz w:val="14"/>
                <w:szCs w:val="14"/>
                <w:color w:val="auto"/>
              </w:rPr>
            </w:pPr>
          </w:p>
        </w:tc>
        <w:tc>
          <w:tcPr>
            <w:tcW w:w="136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88"/>
              </w:rPr>
              <w:t>As Previously</w:t>
            </w:r>
          </w:p>
        </w:tc>
        <w:tc>
          <w:tcPr>
            <w:tcW w:w="140" w:type="dxa"/>
            <w:vAlign w:val="bottom"/>
          </w:tcPr>
          <w:p>
            <w:pPr>
              <w:spacing w:after="0"/>
              <w:rPr>
                <w:sz w:val="14"/>
                <w:szCs w:val="14"/>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Adjustments</w:t>
            </w:r>
          </w:p>
        </w:tc>
        <w:tc>
          <w:tcPr>
            <w:tcW w:w="140" w:type="dxa"/>
            <w:vAlign w:val="bottom"/>
          </w:tcPr>
          <w:p>
            <w:pPr>
              <w:spacing w:after="0"/>
              <w:rPr>
                <w:sz w:val="14"/>
                <w:szCs w:val="14"/>
                <w:color w:val="auto"/>
              </w:rPr>
            </w:pPr>
          </w:p>
        </w:tc>
        <w:tc>
          <w:tcPr>
            <w:tcW w:w="10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86"/>
              </w:rPr>
              <w:t>As Revised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40"/>
              <w:spacing w:after="0" w:line="189" w:lineRule="exact"/>
              <w:rPr>
                <w:sz w:val="20"/>
                <w:szCs w:val="20"/>
                <w:color w:val="auto"/>
              </w:rPr>
            </w:pPr>
            <w:r>
              <w:rPr>
                <w:rFonts w:ascii="Arial" w:cs="Arial" w:eastAsia="Arial" w:hAnsi="Arial"/>
                <w:sz w:val="18"/>
                <w:szCs w:val="18"/>
                <w:b w:val="1"/>
                <w:bCs w:val="1"/>
                <w:color w:val="auto"/>
                <w:w w:val="91"/>
              </w:rPr>
              <w:t>Reported</w:t>
            </w: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40"/>
              <w:spacing w:after="0" w:line="189" w:lineRule="exact"/>
              <w:rPr>
                <w:sz w:val="20"/>
                <w:szCs w:val="20"/>
                <w:color w:val="auto"/>
              </w:rPr>
            </w:pPr>
            <w:r>
              <w:rPr>
                <w:rFonts w:ascii="Arial" w:cs="Arial" w:eastAsia="Arial" w:hAnsi="Arial"/>
                <w:sz w:val="18"/>
                <w:szCs w:val="18"/>
                <w:b w:val="1"/>
                <w:bCs w:val="1"/>
                <w:color w:val="auto"/>
                <w:w w:val="91"/>
              </w:rPr>
              <w:t>Reported</w:t>
            </w: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60" w:type="dxa"/>
            <w:vAlign w:val="bottom"/>
            <w:tcBorders>
              <w:top w:val="single" w:sz="8" w:color="auto"/>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Sanofi collaboration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Bayer collaboration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1,188.8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1,145.6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1,076.7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1,036.1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7,863.4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(1,305.8)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6,557.6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6,710.8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(1,565.2)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5,145.6</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3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3,036.6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(586.6)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2,450.0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2,186.1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(717.3)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1,468.8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40" w:type="dxa"/>
            <w:vAlign w:val="bottom"/>
            <w:gridSpan w:val="2"/>
          </w:tcPr>
          <w:p>
            <w:pPr>
              <w:spacing w:after="0" w:line="176" w:lineRule="exact"/>
              <w:rPr>
                <w:sz w:val="20"/>
                <w:szCs w:val="20"/>
                <w:color w:val="auto"/>
              </w:rPr>
            </w:pPr>
            <w:r>
              <w:rPr>
                <w:rFonts w:ascii="Arial" w:cs="Arial" w:eastAsia="Arial" w:hAnsi="Arial"/>
                <w:sz w:val="18"/>
                <w:szCs w:val="18"/>
                <w:color w:val="auto"/>
              </w:rPr>
              <w:t>Cost of collaboration and contract</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419.9</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402.8</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254.1</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gridSpan w:val="2"/>
          </w:tcPr>
          <w:p>
            <w:pPr>
              <w:ind w:left="160"/>
              <w:spacing w:after="0" w:line="230" w:lineRule="exact"/>
              <w:rPr>
                <w:sz w:val="20"/>
                <w:szCs w:val="20"/>
                <w:color w:val="auto"/>
              </w:rPr>
            </w:pPr>
            <w:r>
              <w:rPr>
                <w:rFonts w:ascii="Arial" w:cs="Arial" w:eastAsia="Arial" w:hAnsi="Arial"/>
                <w:sz w:val="18"/>
                <w:szCs w:val="18"/>
                <w:color w:val="auto"/>
              </w:rPr>
              <w:t>manufacturing</w:t>
            </w:r>
            <w:r>
              <w:rPr>
                <w:rFonts w:ascii="Arial" w:cs="Arial" w:eastAsia="Arial" w:hAnsi="Arial"/>
                <w:sz w:val="23"/>
                <w:szCs w:val="23"/>
                <w:color w:val="auto"/>
                <w:vertAlign w:val="superscript"/>
              </w:rPr>
              <w:t>(1)</w:t>
            </w:r>
          </w:p>
        </w:tc>
        <w:tc>
          <w:tcPr>
            <w:tcW w:w="14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Other operating (income) expense, net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5,653.6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(1,305.8)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4,347.8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4,176.4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(1,565.2)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2,611.2</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240" w:right="120" w:firstLine="2"/>
        <w:spacing w:after="0" w:line="226" w:lineRule="auto"/>
        <w:tabs>
          <w:tab w:leader="none" w:pos="403" w:val="left"/>
        </w:tabs>
        <w:numPr>
          <w:ilvl w:val="0"/>
          <w:numId w:val="53"/>
        </w:numPr>
        <w:rPr>
          <w:rFonts w:ascii="Arial" w:cs="Arial" w:eastAsia="Arial" w:hAnsi="Arial"/>
          <w:sz w:val="19"/>
          <w:szCs w:val="19"/>
          <w:color w:val="auto"/>
          <w:vertAlign w:val="superscript"/>
        </w:rPr>
      </w:pPr>
      <w:r>
        <w:rPr>
          <w:rFonts w:ascii="Arial" w:cs="Arial" w:eastAsia="Arial" w:hAnsi="Arial"/>
          <w:sz w:val="15"/>
          <w:szCs w:val="15"/>
          <w:color w:val="auto"/>
        </w:rPr>
        <w:t>In addition to the reclassification of certain amounts in connection with the change in accounting presentation described above, the Company also reclassified certain immaterial reimbursements that were previously classified as collaboration revenue to Cost of collaboration and contract manufacturing.</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gridSpan w:val="7"/>
          </w:tcPr>
          <w:p>
            <w:pPr>
              <w:jc w:val="right"/>
              <w:ind w:right="750"/>
              <w:spacing w:after="0"/>
              <w:rPr>
                <w:sz w:val="20"/>
                <w:szCs w:val="20"/>
                <w:color w:val="auto"/>
              </w:rPr>
            </w:pPr>
            <w:r>
              <w:rPr>
                <w:rFonts w:ascii="Arial" w:cs="Arial" w:eastAsia="Arial" w:hAnsi="Arial"/>
                <w:sz w:val="18"/>
                <w:szCs w:val="18"/>
                <w:b w:val="1"/>
                <w:bCs w:val="1"/>
                <w:color w:val="auto"/>
              </w:rPr>
              <w:t>Year Ended December 31, 2019</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7"/>
          </w:tcPr>
          <w:p>
            <w:pPr>
              <w:ind w:left="720"/>
              <w:spacing w:after="0"/>
              <w:rPr>
                <w:sz w:val="20"/>
                <w:szCs w:val="20"/>
                <w:color w:val="auto"/>
              </w:rPr>
            </w:pPr>
            <w:r>
              <w:rPr>
                <w:rFonts w:ascii="Arial" w:cs="Arial" w:eastAsia="Arial" w:hAnsi="Arial"/>
                <w:sz w:val="18"/>
                <w:szCs w:val="18"/>
                <w:b w:val="1"/>
                <w:bCs w:val="1"/>
                <w:color w:val="auto"/>
              </w:rPr>
              <w:t>Year Ended December 31, 2018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Data:</w:t>
            </w:r>
          </w:p>
        </w:tc>
        <w:tc>
          <w:tcPr>
            <w:tcW w:w="140" w:type="dxa"/>
            <w:vAlign w:val="bottom"/>
          </w:tcPr>
          <w:p>
            <w:pPr>
              <w:spacing w:after="0"/>
              <w:rPr>
                <w:sz w:val="14"/>
                <w:szCs w:val="14"/>
                <w:color w:val="auto"/>
              </w:rPr>
            </w:pPr>
          </w:p>
        </w:tc>
        <w:tc>
          <w:tcPr>
            <w:tcW w:w="138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88"/>
              </w:rPr>
              <w:t>As Previously</w:t>
            </w:r>
          </w:p>
        </w:tc>
        <w:tc>
          <w:tcPr>
            <w:tcW w:w="140" w:type="dxa"/>
            <w:vAlign w:val="bottom"/>
          </w:tcPr>
          <w:p>
            <w:pPr>
              <w:spacing w:after="0"/>
              <w:rPr>
                <w:sz w:val="14"/>
                <w:szCs w:val="14"/>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Adjustments</w:t>
            </w:r>
          </w:p>
        </w:tc>
        <w:tc>
          <w:tcPr>
            <w:tcW w:w="120" w:type="dxa"/>
            <w:vAlign w:val="bottom"/>
          </w:tcPr>
          <w:p>
            <w:pPr>
              <w:spacing w:after="0"/>
              <w:rPr>
                <w:sz w:val="14"/>
                <w:szCs w:val="14"/>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As Revised</w:t>
            </w:r>
          </w:p>
        </w:tc>
        <w:tc>
          <w:tcPr>
            <w:tcW w:w="140" w:type="dxa"/>
            <w:vAlign w:val="bottom"/>
          </w:tcPr>
          <w:p>
            <w:pPr>
              <w:spacing w:after="0"/>
              <w:rPr>
                <w:sz w:val="14"/>
                <w:szCs w:val="14"/>
                <w:color w:val="auto"/>
              </w:rPr>
            </w:pPr>
          </w:p>
        </w:tc>
        <w:tc>
          <w:tcPr>
            <w:tcW w:w="138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88"/>
              </w:rPr>
              <w:t>As Previously</w:t>
            </w:r>
          </w:p>
        </w:tc>
        <w:tc>
          <w:tcPr>
            <w:tcW w:w="14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Adjustments</w:t>
            </w:r>
          </w:p>
        </w:tc>
        <w:tc>
          <w:tcPr>
            <w:tcW w:w="140" w:type="dxa"/>
            <w:vAlign w:val="bottom"/>
          </w:tcPr>
          <w:p>
            <w:pPr>
              <w:spacing w:after="0"/>
              <w:rPr>
                <w:sz w:val="14"/>
                <w:szCs w:val="14"/>
                <w:color w:val="auto"/>
              </w:rPr>
            </w:pPr>
          </w:p>
        </w:tc>
        <w:tc>
          <w:tcPr>
            <w:tcW w:w="1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Revised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60"/>
              <w:spacing w:after="0" w:line="189" w:lineRule="exact"/>
              <w:rPr>
                <w:sz w:val="20"/>
                <w:szCs w:val="20"/>
                <w:color w:val="auto"/>
              </w:rPr>
            </w:pPr>
            <w:r>
              <w:rPr>
                <w:rFonts w:ascii="Arial" w:cs="Arial" w:eastAsia="Arial" w:hAnsi="Arial"/>
                <w:sz w:val="18"/>
                <w:szCs w:val="18"/>
                <w:b w:val="1"/>
                <w:bCs w:val="1"/>
                <w:color w:val="auto"/>
                <w:w w:val="91"/>
              </w:rPr>
              <w:t>Reported</w:t>
            </w: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20"/>
              <w:spacing w:after="0" w:line="189" w:lineRule="exact"/>
              <w:rPr>
                <w:sz w:val="20"/>
                <w:szCs w:val="20"/>
                <w:color w:val="auto"/>
              </w:rPr>
            </w:pPr>
            <w:r>
              <w:rPr>
                <w:rFonts w:ascii="Arial" w:cs="Arial" w:eastAsia="Arial" w:hAnsi="Arial"/>
                <w:sz w:val="18"/>
                <w:szCs w:val="18"/>
                <w:b w:val="1"/>
                <w:bCs w:val="1"/>
                <w:color w:val="auto"/>
                <w:w w:val="91"/>
              </w:rPr>
              <w:t>Reported</w:t>
            </w: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6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Cash flows from operating activities: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0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Increase (decrease) in deferred</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294.0</w:t>
            </w: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(154.5)</w:t>
            </w:r>
          </w:p>
        </w:tc>
        <w:tc>
          <w:tcPr>
            <w:tcW w:w="12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ind w:left="720"/>
              <w:spacing w:after="0"/>
              <w:rPr>
                <w:sz w:val="20"/>
                <w:szCs w:val="20"/>
                <w:color w:val="auto"/>
              </w:rPr>
            </w:pPr>
            <w:r>
              <w:rPr>
                <w:rFonts w:ascii="Arial" w:cs="Arial" w:eastAsia="Arial" w:hAnsi="Arial"/>
                <w:sz w:val="18"/>
                <w:szCs w:val="18"/>
                <w:color w:val="auto"/>
                <w:w w:val="94"/>
              </w:rPr>
              <w:t>(194.5)</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151.1</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00" w:type="dxa"/>
            <w:vAlign w:val="bottom"/>
            <w:gridSpan w:val="2"/>
          </w:tcPr>
          <w:p>
            <w:pPr>
              <w:ind w:left="280"/>
              <w:spacing w:after="0"/>
              <w:rPr>
                <w:sz w:val="20"/>
                <w:szCs w:val="20"/>
                <w:color w:val="auto"/>
              </w:rPr>
            </w:pPr>
            <w:r>
              <w:rPr>
                <w:rFonts w:ascii="Arial" w:cs="Arial" w:eastAsia="Arial" w:hAnsi="Arial"/>
                <w:sz w:val="18"/>
                <w:szCs w:val="18"/>
                <w:color w:val="auto"/>
              </w:rPr>
              <w:t>revenue</w:t>
            </w:r>
          </w:p>
        </w:tc>
        <w:tc>
          <w:tcPr>
            <w:tcW w:w="14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90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Increase in accounts payable,</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900" w:type="dxa"/>
            <w:vAlign w:val="bottom"/>
            <w:gridSpan w:val="2"/>
            <w:shd w:val="clear" w:color="auto" w:fill="CCEEFF"/>
          </w:tcPr>
          <w:p>
            <w:pPr>
              <w:ind w:left="280"/>
              <w:spacing w:after="0" w:line="176" w:lineRule="exact"/>
              <w:rPr>
                <w:sz w:val="20"/>
                <w:szCs w:val="20"/>
                <w:color w:val="auto"/>
              </w:rPr>
            </w:pPr>
            <w:r>
              <w:rPr>
                <w:rFonts w:ascii="Arial" w:cs="Arial" w:eastAsia="Arial" w:hAnsi="Arial"/>
                <w:sz w:val="18"/>
                <w:szCs w:val="18"/>
                <w:color w:val="auto"/>
              </w:rPr>
              <w:t>accrued expenses, and other</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444.5</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599.0</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liabilities</w:t>
            </w:r>
          </w:p>
        </w:tc>
        <w:tc>
          <w:tcPr>
            <w:tcW w:w="14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We adopted Accounting Standards Codification ("ASC") 842, </w:t>
      </w:r>
      <w:r>
        <w:rPr>
          <w:rFonts w:ascii="Arial" w:cs="Arial" w:eastAsia="Arial" w:hAnsi="Arial"/>
          <w:sz w:val="16"/>
          <w:szCs w:val="16"/>
          <w:i w:val="1"/>
          <w:iCs w:val="1"/>
          <w:color w:val="auto"/>
        </w:rPr>
        <w:t>Leases</w:t>
      </w:r>
      <w:r>
        <w:rPr>
          <w:rFonts w:ascii="Arial" w:cs="Arial" w:eastAsia="Arial" w:hAnsi="Arial"/>
          <w:sz w:val="16"/>
          <w:szCs w:val="16"/>
          <w:color w:val="auto"/>
        </w:rPr>
        <w:t>, on January 1, 2019 (the "effective date") and used the effective date as our date of initial application. See Note 10. The new standard requires a lessee to recognize on its balance sheet (for both finance and operating leases) a liability for future lease payments and a right-of-use asset representing its right to use the underlying asset over the lease term. We elected the practical expedients upon transition, which permitted companies to not reassess lease identification, classification, and initial direct costs under the new standard for leases that commenced prior to the effective date. Upon adoption of the new standard, we recognized right-of-use assets of $33.2 million related to operating leases as of January 1, 2019. The impact of adopting the standard for the facilities that we had historically applied build-to-suit and capital lease accounting was not material to our Consolidated Financial Statements. Prior period amounts were not adjusted in connection with the adoption of this standard.</w:t>
      </w:r>
    </w:p>
    <w:p>
      <w:pPr>
        <w:spacing w:after="0" w:line="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We adopted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as of January 1, 2018. The Company adopted the standard using the modified retrospective method, and thus recognized a cumulative-effect adjustment to reduce Retained earnings and increase Deferred revenue on January 1, 2018 by $143.4 million, net of tax.</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 The extent to which the COVID-19 pandemic may directly or indirectly impact our business, financial condition, and results of operations is highly uncertain and subject to change. We considered the potential impact of the COVID-19 pandemic on our estimates and assumptions and there was not a material impact to our consolidated</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1" w:name="page112"/>
    <w:bookmarkEnd w:id="1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REGENERON PHARMACEUTICALS, INC. NOTES TO CONSOLIDATED FINANCIAL STATEMENTS (Continued) </w:t>
      </w: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statements as of and for the year ended December 31, 2020; however, actual results could differ from those estimates and there may be changes to our estimates in future periods.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5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Financial instruments which potentially expose the Company to concentrations of credit risk consist of cash, cash equivalents, certain investments, and accounts receivable. In accordance with the Company's policies, the Company mandates asset diversification and monitors exposure with its counterparties.</w:t>
      </w:r>
    </w:p>
    <w:p>
      <w:pPr>
        <w:spacing w:after="0" w:line="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Concentrations of credit risk with respect to accounts receivable are significant. The Company has a concentration of credit risk associated with the receivables due from its collaborators Bayer, Sanofi, and Teva. The Company is also subject to credit risk with accounts receivable from its product sales to its customers. As of December 31, 2020 and 2019, three individual customers accounted for 93% and 97%, respectively, of the Company's net trade accounts receivable balances. The Company has contractual payment terms with each of its collaborators and customers, and the Company monitors their financial performance and credit worthiness so that it can properly assess and respond to any changes in their credit profile. As of December 31, 2020 and 2019, there were no write-offs and allowances of accounts receivable related to credit risk for our collaborators or customers.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considers all highly liquid debt instruments with a maturity of three months or less when purchased to be cash equivalents. The carrying amount reported in the Consolidated Balance Sheet for cash and cash equivalents approximates its fair value.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and Equity Securities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has an investment policy that includes guidelines on acceptable investment securities, minimum credit quality, maturity parameters, and concentration and diversification. We invest our cash primarily in debt securities of investment grade institutions. We consider our investments in debt securities to be "available-for-sale," as defined by authoritative guidance issued by the Financial Accounting Standards Board ("FASB"). These assets are carried at fair value and the unrealized gains and losses are included in Accumulated other comprehensive income (loss). Realized gains and losses on available-for-sale debt securities are included in Other income (expense), net. The Company reviews its portfolio of available-for-sale debt securities, using both quantitative and qualitative factors, to determine if declines in fair value below cost have resulted from a credit-related loss or other factors. If the decline in fair value is due to credit-related factors, a loss is recognized in net income, whereas if the decline in fair value is not due to credit-related factors, the loss is recorded in Other comprehensive income (loss).</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also have investments in equity securities that are carried at fair value with changes in fair value recognized within Other income (expense), net. We have elected to measure certain equity investments we hold that do not have readily determinable fair values at cost less impairment, if any, and adjust for observable price changes in orderly transactions for identical or similar investments of the same issuer within Other income (expense), net.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trade accounts receivable arise from product sales and represent amounts due from its customers, which are all located in the United States. In addition, the Company records accounts receivable arising from its collaboration and licensing agreements. The Company monitors the financial performance and credit worthiness of its counterparties so that it can properly assess and respond to changes in their credit profile. The Company provides allowances against receivables for estimated losses, if any, that may result from a counterparty's inability to pay. Amounts determined to be uncollectible are written-off against the allowance.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Inventories are stated at the lower of cost or net realizable value. The Company determines the cost of inventory using the first-in, first-out, or FIFO, method.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2" w:name="page113"/>
    <w:bookmarkEnd w:id="1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REGENERON PHARMACEUTICALS, INC. NOTES TO CONSOLIDATED FINANCIAL STATEMENTS (Continued) </w:t>
      </w: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capitalizes inventory costs associated with the Company's products prior to regulatory approval when, based on management's judgment, future commercialization is considered probable and the future economic benefit is expected to be realized; otherwise, such costs are expensed. The determination to capitalize inventory costs is based on various factors, including status and expectations of the regulatory approval process, any known safety or efficacy concerns, potential labeling restrictions, and any other impediments to obtaining regulatory approval.</w:t>
      </w:r>
    </w:p>
    <w:p>
      <w:pPr>
        <w:spacing w:after="0" w:line="9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periodically analyzes its inventory levels to identify inventory that may expire prior to expected sale or has a cost basis in excess of its estimated realizable value, and writes-down such inventories as appropriate. In addition, the Company's products are subject to strict quality control and monitoring which the Company performs throughout the manufacturing process. If certain batches or units of product no longer meet quality specifications or become obsolete due to expiration, the Company records a charge to write down such unmarketable inventory to its estimated realizable value.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Property, plant, and equipment are stated at cost, net of accumulated depreciation. Depreciation is calculated on a straight-line basis over the estimated useful lives of the assets. Leasehold improvements are amortized over the shorter of the estimated useful lives of the assets or the remaining lease term. Costs of construction of certain long-lived assets include capitalized interest, which is amortized over the estimated useful life of the related asset. Expenditures for maintenance and repairs which do not materially extend the useful lives of the assets are charged to expense as incurred. The cost and accumulated depreciation or amortization of assets retired or sold are removed from the respective accounts, and any gain or loss is recognized in operations. The estimated useful lives of property, plant, and equipment are as follows:</w:t>
      </w:r>
    </w:p>
    <w:p>
      <w:pPr>
        <w:spacing w:after="0" w:line="233" w:lineRule="exact"/>
        <w:rPr>
          <w:sz w:val="20"/>
          <w:szCs w:val="20"/>
          <w:color w:val="auto"/>
        </w:rPr>
      </w:pPr>
    </w:p>
    <w:tbl>
      <w:tblPr>
        <w:tblLayout w:type="fixed"/>
        <w:tblInd w:w="3480" w:type="dxa"/>
        <w:tblCellMar>
          <w:top w:w="0" w:type="dxa"/>
          <w:left w:w="0" w:type="dxa"/>
          <w:bottom w:w="0" w:type="dxa"/>
          <w:right w:w="0" w:type="dxa"/>
        </w:tblCellMar>
      </w:tblPr>
      <w:tr>
        <w:trPr>
          <w:trHeight w:val="229"/>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and improvements</w:t>
            </w:r>
          </w:p>
        </w:tc>
        <w:tc>
          <w:tcPr>
            <w:tcW w:w="1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10–50 years</w:t>
            </w: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Laboratory and other equipment</w:t>
            </w:r>
          </w:p>
        </w:tc>
        <w:tc>
          <w:tcPr>
            <w:tcW w:w="1600" w:type="dxa"/>
            <w:vAlign w:val="bottom"/>
          </w:tcPr>
          <w:p>
            <w:pPr>
              <w:ind w:left="360"/>
              <w:spacing w:after="0"/>
              <w:rPr>
                <w:sz w:val="20"/>
                <w:szCs w:val="20"/>
                <w:color w:val="auto"/>
              </w:rPr>
            </w:pPr>
            <w:r>
              <w:rPr>
                <w:rFonts w:ascii="Arial" w:cs="Arial" w:eastAsia="Arial" w:hAnsi="Arial"/>
                <w:sz w:val="18"/>
                <w:szCs w:val="18"/>
                <w:color w:val="auto"/>
              </w:rPr>
              <w:t>3–10 years</w:t>
            </w:r>
          </w:p>
        </w:tc>
      </w:tr>
      <w:tr>
        <w:trPr>
          <w:trHeight w:val="229"/>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5 years</w:t>
            </w: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periodically assesses the recoverability of long-lived assets, such as property, plant, and equipment, and evaluates such assets for impairment whenever events or changes in circumstances indicate that the carrying amount of an asset may not be recoverable.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determines if an arrangement is a lease considering whether there is an identified asset and the contract conveys the right to control its use. Leases with an initial term of 12 months or less are not recorded on the balance sheet. The Company's lease terms may include options to extend or terminate a lease when it is reasonably certain that it will exercise that option. The Company accounts for lease components (</w:t>
      </w:r>
      <w:r>
        <w:rPr>
          <w:rFonts w:ascii="Arial" w:cs="Arial" w:eastAsia="Arial" w:hAnsi="Arial"/>
          <w:sz w:val="18"/>
          <w:szCs w:val="18"/>
          <w:i w:val="1"/>
          <w:iCs w:val="1"/>
          <w:color w:val="auto"/>
        </w:rPr>
        <w:t>e.g.</w:t>
      </w:r>
      <w:r>
        <w:rPr>
          <w:rFonts w:ascii="Arial" w:cs="Arial" w:eastAsia="Arial" w:hAnsi="Arial"/>
          <w:sz w:val="18"/>
          <w:szCs w:val="18"/>
          <w:color w:val="auto"/>
        </w:rPr>
        <w:t>, rental payments) separately from non-lease components (</w:t>
      </w:r>
      <w:r>
        <w:rPr>
          <w:rFonts w:ascii="Arial" w:cs="Arial" w:eastAsia="Arial" w:hAnsi="Arial"/>
          <w:sz w:val="18"/>
          <w:szCs w:val="18"/>
          <w:i w:val="1"/>
          <w:iCs w:val="1"/>
          <w:color w:val="auto"/>
        </w:rPr>
        <w:t>e.g.</w:t>
      </w:r>
      <w:r>
        <w:rPr>
          <w:rFonts w:ascii="Arial" w:cs="Arial" w:eastAsia="Arial" w:hAnsi="Arial"/>
          <w:sz w:val="18"/>
          <w:szCs w:val="18"/>
          <w:color w:val="auto"/>
        </w:rPr>
        <w:t>, common area maintenance costs).</w:t>
      </w:r>
    </w:p>
    <w:p>
      <w:pPr>
        <w:spacing w:after="0" w:line="10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Right-of-use assets and lease liabilities are recognized at lease commencement date based on the present value of lease payments over the lease term, unless there is a transfer of title or purchase option we are reasonably certain to exercise. For leases where an implicit rate is not readily determinable, we use our incremental borrowing rate based on information available at the lease commencement date to determine the present value of future lease payments. Lease expense for operating leases is recognized on a straight-line basis over the expected lease term.</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Product Revenue</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 from product sales is recognized at a point in time when our customer is deemed to have obtained control of the product, which generally occurs upon receipt by our customer.</w:t>
      </w:r>
    </w:p>
    <w:p>
      <w:pPr>
        <w:spacing w:after="0" w:line="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amount of revenue we recognize from product sales may vary due to rebates, chargebacks, and discounts provided under governmental and other programs, distribution-related fees, and other sales-related deductions. In order to determine the transaction price, we estimate, utilizing the expected value method, the amount of variable consideration that we will be entitled to. This estimate is based upon contracts with customers, healthcare providers, payors, and government agencies, statutorily-defined discounts applicable to government-funded programs, historical experience, estimated payor mix, and other relevant factors. The Company reviews its estimates of rebates, chargebacks, and other applicable provisions each period and records any necessary adjustments in the current period's net product sales.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3" w:name="page114"/>
    <w:bookmarkEnd w:id="1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REGENERON PHARMACEUTICALS, INC. NOTES TO CONSOLIDATED FINANCIAL STATEMENTS (Continued) </w:t>
      </w:r>
      <w:r>
        <w:rPr>
          <w:rFonts w:ascii="Arial" w:cs="Arial" w:eastAsia="Arial" w:hAnsi="Arial"/>
          <w:sz w:val="18"/>
          <w:szCs w:val="18"/>
          <w:b w:val="1"/>
          <w:bCs w:val="1"/>
          <w:i w:val="1"/>
          <w:iCs w:val="1"/>
          <w:color w:val="auto"/>
        </w:rPr>
        <w:t>(Unless otherwise noted, dollars in millions, except per share data)</w:t>
      </w:r>
    </w:p>
    <w:p>
      <w:pPr>
        <w:spacing w:after="0" w:line="342" w:lineRule="exact"/>
        <w:rPr>
          <w:sz w:val="20"/>
          <w:szCs w:val="20"/>
          <w:color w:val="auto"/>
        </w:rPr>
      </w:pPr>
    </w:p>
    <w:p>
      <w:pPr>
        <w:jc w:val="both"/>
        <w:ind w:left="660" w:hanging="328"/>
        <w:spacing w:after="0" w:line="283" w:lineRule="auto"/>
        <w:tabs>
          <w:tab w:leader="none" w:pos="655" w:val="left"/>
        </w:tabs>
        <w:numPr>
          <w:ilvl w:val="0"/>
          <w:numId w:val="5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Rebates, Chargebacks, and Discounts: </w:t>
      </w:r>
      <w:r>
        <w:rPr>
          <w:rFonts w:ascii="Arial" w:cs="Arial" w:eastAsia="Arial" w:hAnsi="Arial"/>
          <w:sz w:val="16"/>
          <w:szCs w:val="16"/>
          <w:color w:val="auto"/>
        </w:rPr>
        <w:t>The Company estimates reductions to product sales for Medicaid and Veterans' Administration ("VA")</w:t>
      </w:r>
      <w:r>
        <w:rPr>
          <w:rFonts w:ascii="Arial" w:cs="Arial" w:eastAsia="Arial" w:hAnsi="Arial"/>
          <w:sz w:val="16"/>
          <w:szCs w:val="16"/>
          <w:i w:val="1"/>
          <w:iCs w:val="1"/>
          <w:color w:val="auto"/>
        </w:rPr>
        <w:t xml:space="preserve"> </w:t>
      </w:r>
      <w:r>
        <w:rPr>
          <w:rFonts w:ascii="Arial" w:cs="Arial" w:eastAsia="Arial" w:hAnsi="Arial"/>
          <w:sz w:val="16"/>
          <w:szCs w:val="16"/>
          <w:color w:val="auto"/>
        </w:rPr>
        <w:t>programs as well as certain other qualifying federal and state government programs, and other programs, including group purchasing organizations, and records an allowance for rebates and chargebacks. The Company's liability for Medicaid rebates consists of estimates for claims that a state will make for a current quarter, claims for prior quarters that have been estimated for which an invoice has not been received, and invoices received for claims from prior quarters that have not been paid. The Company's reserves related to discounted pricing to VA, Public Health Services, eligible physicians, and others (collectively "qualified healthcare providers") represent the Company's estimated obligations resulting from contractual commitments to sell products to qualified healthcare providers at prices lower than the list prices the Company charges to its customers (</w:t>
      </w:r>
      <w:r>
        <w:rPr>
          <w:rFonts w:ascii="Arial" w:cs="Arial" w:eastAsia="Arial" w:hAnsi="Arial"/>
          <w:sz w:val="16"/>
          <w:szCs w:val="16"/>
          <w:i w:val="1"/>
          <w:iCs w:val="1"/>
          <w:color w:val="auto"/>
        </w:rPr>
        <w:t>i.e.</w:t>
      </w:r>
      <w:r>
        <w:rPr>
          <w:rFonts w:ascii="Arial" w:cs="Arial" w:eastAsia="Arial" w:hAnsi="Arial"/>
          <w:sz w:val="16"/>
          <w:szCs w:val="16"/>
          <w:color w:val="auto"/>
        </w:rPr>
        <w:t>, distributors and specialty pharmacies). The Company's customers charge the Company for the difference between what they pay for the products and the ultimate selling price to the qualified healthcare providers. The Company's reserve for this discounted pricing is based on expected sales to qualified healthcare providers and the chargebacks that customers have already claimed.</w:t>
      </w:r>
    </w:p>
    <w:p>
      <w:pPr>
        <w:spacing w:after="0" w:line="4" w:lineRule="exact"/>
        <w:rPr>
          <w:rFonts w:ascii="Arial" w:cs="Arial" w:eastAsia="Arial" w:hAnsi="Arial"/>
          <w:sz w:val="16"/>
          <w:szCs w:val="16"/>
          <w:i w:val="1"/>
          <w:iCs w:val="1"/>
          <w:color w:val="auto"/>
        </w:rPr>
      </w:pPr>
    </w:p>
    <w:p>
      <w:pPr>
        <w:ind w:left="660" w:hanging="328"/>
        <w:spacing w:after="0" w:line="250" w:lineRule="auto"/>
        <w:tabs>
          <w:tab w:leader="none" w:pos="655"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Distribution-Related Fees: </w:t>
      </w:r>
      <w:r>
        <w:rPr>
          <w:rFonts w:ascii="Arial" w:cs="Arial" w:eastAsia="Arial" w:hAnsi="Arial"/>
          <w:sz w:val="18"/>
          <w:szCs w:val="18"/>
          <w:color w:val="auto"/>
        </w:rPr>
        <w:t>The Company has written contracts with its customers that include terms for distribution-related fees.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and records distribution and related fees due to its customers generally based on gross sales.</w:t>
      </w:r>
    </w:p>
    <w:p>
      <w:pPr>
        <w:ind w:left="660" w:hanging="328"/>
        <w:spacing w:after="0" w:line="323" w:lineRule="auto"/>
        <w:tabs>
          <w:tab w:leader="none" w:pos="655" w:val="left"/>
        </w:tabs>
        <w:numPr>
          <w:ilvl w:val="0"/>
          <w:numId w:val="54"/>
        </w:numPr>
        <w:rPr>
          <w:rFonts w:ascii="Arial" w:cs="Arial" w:eastAsia="Arial" w:hAnsi="Arial"/>
          <w:sz w:val="16"/>
          <w:szCs w:val="16"/>
          <w:i w:val="1"/>
          <w:iCs w:val="1"/>
          <w:color w:val="auto"/>
        </w:rPr>
      </w:pPr>
      <w:r>
        <w:rPr>
          <w:rFonts w:ascii="Arial" w:cs="Arial" w:eastAsia="Arial" w:hAnsi="Arial"/>
          <w:sz w:val="16"/>
          <w:szCs w:val="16"/>
          <w:i w:val="1"/>
          <w:iCs w:val="1"/>
          <w:color w:val="auto"/>
        </w:rPr>
        <w:t>Other Sales-Related Deductions</w:t>
      </w:r>
      <w:r>
        <w:rPr>
          <w:rFonts w:ascii="Arial" w:cs="Arial" w:eastAsia="Arial" w:hAnsi="Arial"/>
          <w:sz w:val="16"/>
          <w:szCs w:val="16"/>
          <w:color w:val="auto"/>
        </w:rPr>
        <w:t>: The Company's other sales-related deductions include co-pay assistance programs and product returns.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estimates and records other sales-related deductions generally based on gross sales, written contracts, and other relevant factors.</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Consistent with industry practice, the Company offers its customers a limited right to return product purchased directly from the Company, which is principally based upon the product's expiration date. Product returned is generally not resalable given the nature of the Company's products and method of administration. The Company develops estimates for product returns based upon historical experience, shelf life of the product, and other relevant factors. The Company monitors product supply levels in the distribution channel, as well as sales by its customers, using product-specific data provided by its customers. If necessary, the Company's estimates of product returns may be adjusted in the future based on actual returns experience, known or expected changes in the marketplace, or other factors.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Collaborative Arrangements</w:t>
      </w:r>
    </w:p>
    <w:p>
      <w:pPr>
        <w:spacing w:after="0" w:line="15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entered into various collaborative arrangements to research, develop, manufacture, and commercialize product candidates and utilize our technology platforms. Although each of these arrangements is unique in nature, such arrangements involve a joint operating activity where both parties are active participants in the activities of the collaboration and exposed to significant risks and rewards dependent on the commercial success of the activities.</w:t>
      </w:r>
    </w:p>
    <w:p>
      <w:pPr>
        <w:spacing w:after="0" w:line="81"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In arrangements where we do not deem our collaborator to be our customer, payments to and from our collaborator are presented in our statement of operations based on the nature of our business operations, the nature of the arrangement, including the contractual terms, and the nature of the payments, as</w:t>
      </w:r>
    </w:p>
    <w:tbl>
      <w:tblPr>
        <w:tblLayout w:type="fixed"/>
        <w:tblInd w:w="0" w:type="dxa"/>
        <w:tblCellMar>
          <w:top w:w="0" w:type="dxa"/>
          <w:left w:w="0" w:type="dxa"/>
          <w:bottom w:w="0" w:type="dxa"/>
          <w:right w:w="0" w:type="dxa"/>
        </w:tblCellMar>
      </w:tblP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summarized</w:t>
            </w:r>
          </w:p>
        </w:tc>
        <w:tc>
          <w:tcPr>
            <w:tcW w:w="1320" w:type="dxa"/>
            <w:vAlign w:val="bottom"/>
          </w:tcPr>
          <w:p>
            <w:pPr>
              <w:ind w:left="160"/>
              <w:spacing w:after="0"/>
              <w:rPr>
                <w:sz w:val="20"/>
                <w:szCs w:val="20"/>
                <w:color w:val="auto"/>
              </w:rPr>
            </w:pPr>
            <w:r>
              <w:rPr>
                <w:rFonts w:ascii="Arial" w:cs="Arial" w:eastAsia="Arial" w:hAnsi="Arial"/>
                <w:sz w:val="18"/>
                <w:szCs w:val="18"/>
                <w:color w:val="auto"/>
              </w:rPr>
              <w:t>in</w:t>
            </w:r>
          </w:p>
        </w:tc>
        <w:tc>
          <w:tcPr>
            <w:tcW w:w="1240" w:type="dxa"/>
            <w:vAlign w:val="bottom"/>
          </w:tcPr>
          <w:p>
            <w:pPr>
              <w:ind w:left="80"/>
              <w:spacing w:after="0"/>
              <w:rPr>
                <w:sz w:val="20"/>
                <w:szCs w:val="20"/>
                <w:color w:val="auto"/>
              </w:rPr>
            </w:pPr>
            <w:r>
              <w:rPr>
                <w:rFonts w:ascii="Arial" w:cs="Arial" w:eastAsia="Arial" w:hAnsi="Arial"/>
                <w:sz w:val="18"/>
                <w:szCs w:val="18"/>
                <w:color w:val="auto"/>
              </w:rPr>
              <w:t>the</w:t>
            </w:r>
          </w:p>
        </w:tc>
        <w:tc>
          <w:tcPr>
            <w:tcW w:w="1340" w:type="dxa"/>
            <w:vAlign w:val="bottom"/>
            <w:gridSpan w:val="2"/>
          </w:tcPr>
          <w:p>
            <w:pPr>
              <w:ind w:left="160"/>
              <w:spacing w:after="0"/>
              <w:rPr>
                <w:sz w:val="20"/>
                <w:szCs w:val="20"/>
                <w:color w:val="auto"/>
              </w:rPr>
            </w:pPr>
            <w:r>
              <w:rPr>
                <w:rFonts w:ascii="Arial" w:cs="Arial" w:eastAsia="Arial" w:hAnsi="Arial"/>
                <w:sz w:val="18"/>
                <w:szCs w:val="18"/>
                <w:color w:val="auto"/>
              </w:rPr>
              <w:t>table</w:t>
            </w:r>
          </w:p>
        </w:tc>
        <w:tc>
          <w:tcPr>
            <w:tcW w:w="1640" w:type="dxa"/>
            <w:vAlign w:val="bottom"/>
          </w:tcPr>
          <w:p>
            <w:pPr>
              <w:ind w:left="280"/>
              <w:spacing w:after="0"/>
              <w:rPr>
                <w:sz w:val="20"/>
                <w:szCs w:val="20"/>
                <w:color w:val="auto"/>
              </w:rPr>
            </w:pPr>
            <w:r>
              <w:rPr>
                <w:rFonts w:ascii="Arial" w:cs="Arial" w:eastAsia="Arial" w:hAnsi="Arial"/>
                <w:sz w:val="18"/>
                <w:szCs w:val="18"/>
                <w:color w:val="auto"/>
              </w:rPr>
              <w:t>and</w:t>
            </w:r>
          </w:p>
        </w:tc>
        <w:tc>
          <w:tcPr>
            <w:tcW w:w="1580" w:type="dxa"/>
            <w:vAlign w:val="bottom"/>
          </w:tcPr>
          <w:p>
            <w:pPr>
              <w:spacing w:after="0"/>
              <w:rPr>
                <w:sz w:val="20"/>
                <w:szCs w:val="20"/>
                <w:color w:val="auto"/>
              </w:rPr>
            </w:pPr>
            <w:r>
              <w:rPr>
                <w:rFonts w:ascii="Arial" w:cs="Arial" w:eastAsia="Arial" w:hAnsi="Arial"/>
                <w:sz w:val="18"/>
                <w:szCs w:val="18"/>
                <w:color w:val="auto"/>
              </w:rPr>
              <w:t>further</w:t>
            </w:r>
          </w:p>
        </w:tc>
        <w:tc>
          <w:tcPr>
            <w:tcW w:w="1380" w:type="dxa"/>
            <w:vAlign w:val="bottom"/>
          </w:tcPr>
          <w:p>
            <w:pPr>
              <w:spacing w:after="0"/>
              <w:rPr>
                <w:sz w:val="20"/>
                <w:szCs w:val="20"/>
                <w:color w:val="auto"/>
              </w:rPr>
            </w:pPr>
            <w:r>
              <w:rPr>
                <w:rFonts w:ascii="Arial" w:cs="Arial" w:eastAsia="Arial" w:hAnsi="Arial"/>
                <w:sz w:val="18"/>
                <w:szCs w:val="18"/>
                <w:color w:val="auto"/>
              </w:rPr>
              <w:t>described</w:t>
            </w:r>
          </w:p>
        </w:tc>
        <w:tc>
          <w:tcPr>
            <w:tcW w:w="900" w:type="dxa"/>
            <w:vAlign w:val="bottom"/>
            <w:gridSpan w:val="2"/>
          </w:tcPr>
          <w:p>
            <w:pPr>
              <w:ind w:left="420"/>
              <w:spacing w:after="0"/>
              <w:rPr>
                <w:sz w:val="20"/>
                <w:szCs w:val="20"/>
                <w:color w:val="auto"/>
              </w:rPr>
            </w:pPr>
            <w:r>
              <w:rPr>
                <w:rFonts w:ascii="Arial" w:cs="Arial" w:eastAsia="Arial" w:hAnsi="Arial"/>
                <w:sz w:val="18"/>
                <w:szCs w:val="18"/>
                <w:color w:val="auto"/>
                <w:w w:val="88"/>
              </w:rPr>
              <w:t>below.</w:t>
            </w:r>
          </w:p>
        </w:tc>
      </w:tr>
      <w:tr>
        <w:trPr>
          <w:trHeight w:val="242"/>
        </w:trPr>
        <w:tc>
          <w:tcPr>
            <w:tcW w:w="184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Nature/Type of Payment</w:t>
            </w: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600" w:type="dxa"/>
            <w:vAlign w:val="bottom"/>
            <w:tcBorders>
              <w:bottom w:val="single" w:sz="8" w:color="auto"/>
            </w:tcBorders>
            <w:gridSpan w:val="3"/>
          </w:tcPr>
          <w:p>
            <w:pPr>
              <w:ind w:left="1260"/>
              <w:spacing w:after="0"/>
              <w:rPr>
                <w:sz w:val="20"/>
                <w:szCs w:val="20"/>
                <w:color w:val="auto"/>
              </w:rPr>
            </w:pPr>
            <w:r>
              <w:rPr>
                <w:rFonts w:ascii="Arial" w:cs="Arial" w:eastAsia="Arial" w:hAnsi="Arial"/>
                <w:sz w:val="18"/>
                <w:szCs w:val="18"/>
                <w:b w:val="1"/>
                <w:bCs w:val="1"/>
                <w:color w:val="auto"/>
              </w:rPr>
              <w:t>Statement of Operations Presentation</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69"/>
        </w:trPr>
        <w:tc>
          <w:tcPr>
            <w:tcW w:w="5640" w:type="dxa"/>
            <w:vAlign w:val="bottom"/>
            <w:gridSpan w:val="4"/>
            <w:shd w:val="clear" w:color="auto" w:fill="CCEEFF"/>
          </w:tcPr>
          <w:p>
            <w:pPr>
              <w:ind w:left="20"/>
              <w:spacing w:after="0" w:line="169" w:lineRule="exact"/>
              <w:rPr>
                <w:sz w:val="20"/>
                <w:szCs w:val="20"/>
                <w:color w:val="auto"/>
              </w:rPr>
            </w:pPr>
            <w:r>
              <w:rPr>
                <w:rFonts w:ascii="Arial" w:cs="Arial" w:eastAsia="Arial" w:hAnsi="Arial"/>
                <w:sz w:val="18"/>
                <w:szCs w:val="18"/>
                <w:color w:val="auto"/>
                <w:w w:val="93"/>
              </w:rPr>
              <w:t>Regeneron's share of profits or losses in connection with commercialization</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w w:val="90"/>
              </w:rPr>
              <w:t>Collaboration revenue</w:t>
            </w:r>
          </w:p>
        </w:tc>
        <w:tc>
          <w:tcPr>
            <w:tcW w:w="15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r>
      <w:tr>
        <w:trPr>
          <w:trHeight w:val="230"/>
        </w:trPr>
        <w:tc>
          <w:tcPr>
            <w:tcW w:w="1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products</w:t>
            </w:r>
          </w:p>
        </w:tc>
        <w:tc>
          <w:tcPr>
            <w:tcW w:w="1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400" w:type="dxa"/>
            <w:vAlign w:val="bottom"/>
            <w:gridSpan w:val="3"/>
          </w:tcPr>
          <w:p>
            <w:pPr>
              <w:ind w:left="20"/>
              <w:spacing w:after="0"/>
              <w:rPr>
                <w:sz w:val="20"/>
                <w:szCs w:val="20"/>
                <w:color w:val="auto"/>
              </w:rPr>
            </w:pPr>
            <w:r>
              <w:rPr>
                <w:rFonts w:ascii="Arial" w:cs="Arial" w:eastAsia="Arial" w:hAnsi="Arial"/>
                <w:sz w:val="18"/>
                <w:szCs w:val="18"/>
                <w:color w:val="auto"/>
                <w:w w:val="94"/>
              </w:rPr>
              <w:t>Reimbursement for manufacturing of commercial supplies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w w:val="90"/>
              </w:rPr>
              <w:t>Collaboration revenue</w:t>
            </w:r>
          </w:p>
        </w:tc>
        <w:tc>
          <w:tcPr>
            <w:tcW w:w="15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Royalties and/or sales-based milestones earned</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Collaboration revenue</w:t>
            </w:r>
          </w:p>
        </w:tc>
        <w:tc>
          <w:tcPr>
            <w:tcW w:w="15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740" w:type="dxa"/>
            <w:vAlign w:val="bottom"/>
            <w:gridSpan w:val="5"/>
          </w:tcPr>
          <w:p>
            <w:pPr>
              <w:ind w:left="20"/>
              <w:spacing w:after="0"/>
              <w:rPr>
                <w:sz w:val="20"/>
                <w:szCs w:val="20"/>
                <w:color w:val="auto"/>
              </w:rPr>
            </w:pPr>
            <w:r>
              <w:rPr>
                <w:rFonts w:ascii="Arial" w:cs="Arial" w:eastAsia="Arial" w:hAnsi="Arial"/>
                <w:sz w:val="18"/>
                <w:szCs w:val="18"/>
                <w:color w:val="auto"/>
              </w:rPr>
              <w:t>Reimbursement of Regeneron's research and development expenses</w:t>
            </w:r>
          </w:p>
        </w:tc>
        <w:tc>
          <w:tcPr>
            <w:tcW w:w="4600" w:type="dxa"/>
            <w:vAlign w:val="bottom"/>
            <w:gridSpan w:val="3"/>
          </w:tcPr>
          <w:p>
            <w:pPr>
              <w:ind w:left="20"/>
              <w:spacing w:after="0"/>
              <w:rPr>
                <w:sz w:val="20"/>
                <w:szCs w:val="20"/>
                <w:color w:val="auto"/>
              </w:rPr>
            </w:pPr>
            <w:r>
              <w:rPr>
                <w:rFonts w:ascii="Arial" w:cs="Arial" w:eastAsia="Arial" w:hAnsi="Arial"/>
                <w:sz w:val="18"/>
                <w:szCs w:val="18"/>
                <w:color w:val="auto"/>
              </w:rPr>
              <w:t>Reduction to Research and development expenses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5"/>
        </w:trPr>
        <w:tc>
          <w:tcPr>
            <w:tcW w:w="5740" w:type="dxa"/>
            <w:vAlign w:val="bottom"/>
            <w:gridSpan w:val="5"/>
            <w:shd w:val="clear" w:color="auto" w:fill="CCEEFF"/>
          </w:tcPr>
          <w:p>
            <w:pPr>
              <w:ind w:left="20"/>
              <w:spacing w:after="0" w:line="176" w:lineRule="exact"/>
              <w:rPr>
                <w:sz w:val="20"/>
                <w:szCs w:val="20"/>
                <w:color w:val="auto"/>
              </w:rPr>
            </w:pPr>
            <w:r>
              <w:rPr>
                <w:rFonts w:ascii="Arial" w:cs="Arial" w:eastAsia="Arial" w:hAnsi="Arial"/>
                <w:sz w:val="18"/>
                <w:szCs w:val="18"/>
                <w:color w:val="auto"/>
              </w:rPr>
              <w:t>Regeneron's obligation for its share of collaborator's research and</w:t>
            </w:r>
          </w:p>
        </w:tc>
        <w:tc>
          <w:tcPr>
            <w:tcW w:w="32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Research and development expense</w:t>
            </w:r>
          </w:p>
        </w:tc>
        <w:tc>
          <w:tcPr>
            <w:tcW w:w="13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18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development expenses</w:t>
            </w:r>
          </w:p>
        </w:tc>
        <w:tc>
          <w:tcPr>
            <w:tcW w:w="1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740" w:type="dxa"/>
            <w:vAlign w:val="bottom"/>
            <w:gridSpan w:val="5"/>
          </w:tcPr>
          <w:p>
            <w:pPr>
              <w:ind w:left="20"/>
              <w:spacing w:after="0"/>
              <w:rPr>
                <w:sz w:val="20"/>
                <w:szCs w:val="20"/>
                <w:color w:val="auto"/>
              </w:rPr>
            </w:pPr>
            <w:r>
              <w:rPr>
                <w:rFonts w:ascii="Arial" w:cs="Arial" w:eastAsia="Arial" w:hAnsi="Arial"/>
                <w:sz w:val="18"/>
                <w:szCs w:val="18"/>
                <w:color w:val="auto"/>
              </w:rPr>
              <w:t>Up-front and development milestone payments to collaborators</w:t>
            </w: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expense</w:t>
            </w:r>
          </w:p>
        </w:tc>
        <w:tc>
          <w:tcPr>
            <w:tcW w:w="1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7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Reimbursement of Regeneron's commercialization-related expenses</w:t>
            </w:r>
          </w:p>
        </w:tc>
        <w:tc>
          <w:tcPr>
            <w:tcW w:w="4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9"/>
              </w:rPr>
              <w:t>Reduction to Selling, general, and administrative expense</w:t>
            </w:r>
          </w:p>
        </w:tc>
        <w:tc>
          <w:tcPr>
            <w:tcW w:w="8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175"/>
        </w:trPr>
        <w:tc>
          <w:tcPr>
            <w:tcW w:w="5740" w:type="dxa"/>
            <w:vAlign w:val="bottom"/>
            <w:gridSpan w:val="5"/>
          </w:tcPr>
          <w:p>
            <w:pPr>
              <w:ind w:left="20"/>
              <w:spacing w:after="0" w:line="176" w:lineRule="exact"/>
              <w:rPr>
                <w:sz w:val="20"/>
                <w:szCs w:val="20"/>
                <w:color w:val="auto"/>
              </w:rPr>
            </w:pPr>
            <w:r>
              <w:rPr>
                <w:rFonts w:ascii="Arial" w:cs="Arial" w:eastAsia="Arial" w:hAnsi="Arial"/>
                <w:sz w:val="18"/>
                <w:szCs w:val="18"/>
                <w:color w:val="auto"/>
              </w:rPr>
              <w:t>Regeneron's obligation for its share of collaborator's commercialization-</w:t>
            </w:r>
          </w:p>
        </w:tc>
        <w:tc>
          <w:tcPr>
            <w:tcW w:w="32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0"/>
              </w:rPr>
              <w:t>Selling, general, and administrative expense</w:t>
            </w:r>
          </w:p>
        </w:tc>
        <w:tc>
          <w:tcPr>
            <w:tcW w:w="1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1840" w:type="dxa"/>
            <w:vAlign w:val="bottom"/>
          </w:tcPr>
          <w:p>
            <w:pPr>
              <w:ind w:left="180"/>
              <w:spacing w:after="0"/>
              <w:rPr>
                <w:sz w:val="20"/>
                <w:szCs w:val="20"/>
                <w:color w:val="auto"/>
              </w:rPr>
            </w:pPr>
            <w:r>
              <w:rPr>
                <w:rFonts w:ascii="Arial" w:cs="Arial" w:eastAsia="Arial" w:hAnsi="Arial"/>
                <w:sz w:val="18"/>
                <w:szCs w:val="18"/>
                <w:color w:val="auto"/>
              </w:rPr>
              <w:t>related expenses</w:t>
            </w:r>
          </w:p>
        </w:tc>
        <w:tc>
          <w:tcPr>
            <w:tcW w:w="1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5"/>
        </w:trPr>
        <w:tc>
          <w:tcPr>
            <w:tcW w:w="5740" w:type="dxa"/>
            <w:vAlign w:val="bottom"/>
            <w:gridSpan w:val="5"/>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Regeneron's obligation to pay collaborator for its share of gross profits when</w:t>
            </w:r>
          </w:p>
        </w:tc>
        <w:tc>
          <w:tcPr>
            <w:tcW w:w="16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Cost of goods sold</w:t>
            </w:r>
          </w:p>
        </w:tc>
        <w:tc>
          <w:tcPr>
            <w:tcW w:w="15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3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1"/>
              </w:rPr>
              <w:t>Regeneron is deemed to be the principal</w:t>
            </w:r>
          </w:p>
        </w:tc>
        <w:tc>
          <w:tcPr>
            <w:tcW w:w="1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175"/>
        </w:trPr>
        <w:tc>
          <w:tcPr>
            <w:tcW w:w="5740" w:type="dxa"/>
            <w:vAlign w:val="bottom"/>
            <w:gridSpan w:val="5"/>
          </w:tcPr>
          <w:p>
            <w:pPr>
              <w:ind w:left="20"/>
              <w:spacing w:after="0" w:line="176" w:lineRule="exact"/>
              <w:rPr>
                <w:sz w:val="20"/>
                <w:szCs w:val="20"/>
                <w:color w:val="auto"/>
              </w:rPr>
            </w:pPr>
            <w:r>
              <w:rPr>
                <w:rFonts w:ascii="Arial" w:cs="Arial" w:eastAsia="Arial" w:hAnsi="Arial"/>
                <w:sz w:val="18"/>
                <w:szCs w:val="18"/>
                <w:color w:val="auto"/>
                <w:w w:val="92"/>
              </w:rPr>
              <w:t>Up-front and development milestones earned (when we have a combined unit</w:t>
            </w:r>
          </w:p>
        </w:tc>
        <w:tc>
          <w:tcPr>
            <w:tcW w:w="32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Other operating income</w:t>
            </w:r>
          </w:p>
        </w:tc>
        <w:tc>
          <w:tcPr>
            <w:tcW w:w="1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740" w:type="dxa"/>
            <w:vAlign w:val="bottom"/>
            <w:gridSpan w:val="5"/>
          </w:tcPr>
          <w:p>
            <w:pPr>
              <w:ind w:left="180"/>
              <w:spacing w:after="0" w:line="176" w:lineRule="exact"/>
              <w:rPr>
                <w:sz w:val="20"/>
                <w:szCs w:val="20"/>
                <w:color w:val="auto"/>
              </w:rPr>
            </w:pPr>
            <w:r>
              <w:rPr>
                <w:rFonts w:ascii="Arial" w:cs="Arial" w:eastAsia="Arial" w:hAnsi="Arial"/>
                <w:sz w:val="18"/>
                <w:szCs w:val="18"/>
                <w:color w:val="auto"/>
              </w:rPr>
              <w:t>of account which includes a license and providing research and</w:t>
            </w:r>
          </w:p>
        </w:tc>
        <w:tc>
          <w:tcPr>
            <w:tcW w:w="16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1840" w:type="dxa"/>
            <w:vAlign w:val="bottom"/>
          </w:tcPr>
          <w:p>
            <w:pPr>
              <w:ind w:left="180"/>
              <w:spacing w:after="0"/>
              <w:rPr>
                <w:sz w:val="20"/>
                <w:szCs w:val="20"/>
                <w:color w:val="auto"/>
              </w:rPr>
            </w:pPr>
            <w:r>
              <w:rPr>
                <w:rFonts w:ascii="Arial" w:cs="Arial" w:eastAsia="Arial" w:hAnsi="Arial"/>
                <w:sz w:val="18"/>
                <w:szCs w:val="18"/>
                <w:color w:val="auto"/>
                <w:w w:val="91"/>
              </w:rPr>
              <w:t>development services)</w:t>
            </w:r>
          </w:p>
        </w:tc>
        <w:tc>
          <w:tcPr>
            <w:tcW w:w="1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agreements involving multiple goods or services promised to be transferred to our collaborator, we must assess, at the inception of the contract, whether each promise represents a separate obligation (</w:t>
      </w:r>
      <w:r>
        <w:rPr>
          <w:rFonts w:ascii="Arial" w:cs="Arial" w:eastAsia="Arial" w:hAnsi="Arial"/>
          <w:sz w:val="17"/>
          <w:szCs w:val="17"/>
          <w:i w:val="1"/>
          <w:iCs w:val="1"/>
          <w:color w:val="auto"/>
        </w:rPr>
        <w:t>i.e.</w:t>
      </w:r>
      <w:r>
        <w:rPr>
          <w:rFonts w:ascii="Arial" w:cs="Arial" w:eastAsia="Arial" w:hAnsi="Arial"/>
          <w:sz w:val="17"/>
          <w:szCs w:val="17"/>
          <w:color w:val="auto"/>
        </w:rPr>
        <w:t>, is "distinct"), or whether such promises should be combined as a single unit of account. When we have a combined unit of account which includes a license and providing research and development services to our collaborator, recognition of up-front payments and development milestones earned from our collaborator is deferred (as a liability) and recognized over the development period (</w:t>
      </w:r>
      <w:r>
        <w:rPr>
          <w:rFonts w:ascii="Arial" w:cs="Arial" w:eastAsia="Arial" w:hAnsi="Arial"/>
          <w:sz w:val="17"/>
          <w:szCs w:val="17"/>
          <w:i w:val="1"/>
          <w:iCs w:val="1"/>
          <w:color w:val="auto"/>
        </w:rPr>
        <w:t>i.e.</w:t>
      </w:r>
      <w:r>
        <w:rPr>
          <w:rFonts w:ascii="Arial" w:cs="Arial" w:eastAsia="Arial" w:hAnsi="Arial"/>
          <w:sz w:val="17"/>
          <w:szCs w:val="17"/>
          <w:color w:val="auto"/>
        </w:rPr>
        <w:t>, over time). In arrangements where we satisfy our obligation(s) during the development phase over time, we recognize amounts initially deferred over time typically using an input method on the basis of our research and development costs incurred relative to the total expected cost which determines the extent of our progress toward completion. We review our estimates each period and make revisions to such estimates as necessary. We recognized other operating income in connection with up-front and development milestones earned, for which we used an input method, of $276.7 million and $207.2 million for the years ended December 31, 2020 and 2019, respectively.</w:t>
      </w:r>
    </w:p>
    <w:p>
      <w:pPr>
        <w:spacing w:after="0" w:line="11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When we are entitled to reimbursement of all or a portion of the expenses (</w:t>
      </w:r>
      <w:r>
        <w:rPr>
          <w:rFonts w:ascii="Arial" w:cs="Arial" w:eastAsia="Arial" w:hAnsi="Arial"/>
          <w:sz w:val="18"/>
          <w:szCs w:val="18"/>
          <w:i w:val="1"/>
          <w:iCs w:val="1"/>
          <w:color w:val="auto"/>
        </w:rPr>
        <w:t>e.g.</w:t>
      </w:r>
      <w:r>
        <w:rPr>
          <w:rFonts w:ascii="Arial" w:cs="Arial" w:eastAsia="Arial" w:hAnsi="Arial"/>
          <w:sz w:val="18"/>
          <w:szCs w:val="18"/>
          <w:color w:val="auto"/>
        </w:rPr>
        <w:t>, research and development expenses) that we incur under a collaboration, we record those reimbursable amounts in the period in which such costs are incurred.</w:t>
      </w:r>
    </w:p>
    <w:p>
      <w:pPr>
        <w:spacing w:after="0" w:line="8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we and our collaborator perform development work or commercialization-related activities and share costs, we also recognize, as expense (</w:t>
      </w:r>
      <w:r>
        <w:rPr>
          <w:rFonts w:ascii="Arial" w:cs="Arial" w:eastAsia="Arial" w:hAnsi="Arial"/>
          <w:sz w:val="17"/>
          <w:szCs w:val="17"/>
          <w:i w:val="1"/>
          <w:iCs w:val="1"/>
          <w:color w:val="auto"/>
        </w:rPr>
        <w:t>i.e.</w:t>
      </w:r>
      <w:r>
        <w:rPr>
          <w:rFonts w:ascii="Arial" w:cs="Arial" w:eastAsia="Arial" w:hAnsi="Arial"/>
          <w:sz w:val="17"/>
          <w:szCs w:val="17"/>
          <w:color w:val="auto"/>
        </w:rPr>
        <w:t>, research and development expense or selling, general, and administrative expense, as applicable) in the period when our collaborator incurs such expenses, the portion of the collaborator's expenses that we are obligated to reimburse. Our collaborators provide us with estimated expenses for the most recent fiscal quarter. Our collaborators' estimates are reconciled to their actual expenses for such quarter in the subsequent fiscal quarter, and our portion of our collaborators' expenses that we are obligated to reimburse is adjusted on a prospective basis accordingly, as necessary.</w:t>
      </w:r>
    </w:p>
    <w:p>
      <w:pPr>
        <w:spacing w:after="0" w:line="1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certain of the Company's collaboration agreements, product sales and cost of sales may be recorded by the Company's collaborators as they are deemed to be the principal in the transaction. In arrangements where we:</w:t>
      </w:r>
    </w:p>
    <w:p>
      <w:pPr>
        <w:sectPr>
          <w:pgSz w:w="11900" w:h="16838" w:orient="portrait"/>
          <w:cols w:equalWidth="0" w:num="1">
            <w:col w:w="11240"/>
          </w:cols>
          <w:pgMar w:left="320" w:top="130" w:right="339" w:bottom="64" w:gutter="0" w:footer="0" w:header="0"/>
        </w:sectPr>
      </w:pPr>
    </w:p>
    <w:bookmarkStart w:id="114" w:name="page115"/>
    <w:bookmarkEnd w:id="114"/>
    <w:p>
      <w:pPr>
        <w:jc w:val="both"/>
        <w:ind w:left="328" w:hanging="328"/>
        <w:spacing w:after="0" w:line="255" w:lineRule="auto"/>
        <w:tabs>
          <w:tab w:leader="none" w:pos="323" w:val="left"/>
        </w:tabs>
        <w:numPr>
          <w:ilvl w:val="0"/>
          <w:numId w:val="55"/>
        </w:numPr>
        <w:rPr>
          <w:rFonts w:ascii="Arial" w:cs="Arial" w:eastAsia="Arial" w:hAnsi="Arial"/>
          <w:sz w:val="18"/>
          <w:szCs w:val="18"/>
          <w:color w:val="auto"/>
        </w:rPr>
      </w:pPr>
      <w:r>
        <w:rPr>
          <w:rFonts w:ascii="Arial" w:cs="Arial" w:eastAsia="Arial" w:hAnsi="Arial"/>
          <w:sz w:val="18"/>
          <w:szCs w:val="18"/>
          <w:color w:val="auto"/>
        </w:rPr>
        <w:t>are obligated to use commercially reasonable efforts to supply commercial product to our collaborator, we may be reimbursed for our manufacturing costs as commercial product is shipped to the collaborator; however, recognition of such cost reimbursements is recognized when the product is sold by our collaborator to third-party customers;</w:t>
      </w:r>
    </w:p>
    <w:p>
      <w:pPr>
        <w:spacing w:after="0" w:line="2" w:lineRule="exact"/>
        <w:rPr>
          <w:rFonts w:ascii="Arial" w:cs="Arial" w:eastAsia="Arial" w:hAnsi="Arial"/>
          <w:sz w:val="18"/>
          <w:szCs w:val="18"/>
          <w:color w:val="auto"/>
        </w:rPr>
      </w:pPr>
    </w:p>
    <w:p>
      <w:pPr>
        <w:jc w:val="both"/>
        <w:ind w:left="328" w:hanging="328"/>
        <w:spacing w:after="0" w:line="250" w:lineRule="auto"/>
        <w:tabs>
          <w:tab w:leader="none" w:pos="323" w:val="left"/>
        </w:tabs>
        <w:numPr>
          <w:ilvl w:val="0"/>
          <w:numId w:val="55"/>
        </w:numPr>
        <w:rPr>
          <w:rFonts w:ascii="Arial" w:cs="Arial" w:eastAsia="Arial" w:hAnsi="Arial"/>
          <w:sz w:val="18"/>
          <w:szCs w:val="18"/>
          <w:color w:val="auto"/>
        </w:rPr>
      </w:pPr>
      <w:r>
        <w:rPr>
          <w:rFonts w:ascii="Arial" w:cs="Arial" w:eastAsia="Arial" w:hAnsi="Arial"/>
          <w:sz w:val="18"/>
          <w:szCs w:val="18"/>
          <w:color w:val="auto"/>
        </w:rPr>
        <w:t>share in any profits or losses arising from the commercialization of such products, we record our share of the variable consideration, representing net product sales less cost of goods sold and shared commercialization and other expenses, in the period in which such underlying sales occur and costs are incurred by the collaborator; and</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receive royalties and/or sales-based milestone payments from our collaborator, we recognize such amounts in the period earned.</w:t>
      </w:r>
    </w:p>
    <w:p>
      <w:pPr>
        <w:spacing w:after="0" w:line="346"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237490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25" w:right="339" w:bottom="1440" w:gutter="0" w:footer="0" w:header="0"/>
        </w:sectPr>
      </w:pPr>
    </w:p>
    <w:bookmarkStart w:id="115" w:name="page116"/>
    <w:bookmarkEnd w:id="1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REGENERON PHARMACEUTICALS, INC. NOTES TO CONSOLIDATED FINANCIAL STATEMENTS (Continued) </w:t>
      </w: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5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collaborators provide us with estimates of product sales and our share of profits or losses, as applicable, for such quarter. These estimates are reconciled to actual results in the subsequent fiscal quarter, and collaboration revenue is adjusted accordingly, as necessary.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Research and development expenses include costs attributable to the conduct of research and development programs, including the cost of salaries, payroll taxes, employee benefits, materials, supplies, depreciation on and maintenance of research equipment, costs related to research collaboration and licensing agreements, the cost of services provided by outside contractors, including services related to the Company's clinical trials, clinical trial expenses, the full cost of manufacturing drug for use in research, preclinical development, and clinical trials, amounts that the Company is obligated to reimburse to collaborators for research and development expenses that they incur, and the allocable portions of facility costs, such as rent, utilities, insurance, repairs and maintenance, depreciation, and general support services. Costs associated with research and development are expensed.</w:t>
      </w:r>
    </w:p>
    <w:p>
      <w:pPr>
        <w:spacing w:after="0" w:line="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each clinical trial that we conduct, certain clinical trial costs are expensed immediately, while others are expensed over time based on the expected total number of patients in the trial, the rate at which patients enter the trial, and/or the period over which clinical investigators, contract research organizations ("CROs"), or other third-party service providers are expected to provide services. In the event of early termination of a clinical trial, we accrue and recognize expenses in an amount based on our estimate of the remaining noncancelable obligations associated with the winding down of the clinical trial and/or penalties.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recognizes stock-based compensation expense for equity grants under the Company's long-term incentive plans to employees and non-employee members of the Company's board of directors (as applicable) based on the grant-date fair value of those awards. The grant-date fair value of an award is generally recognized as compensation expense over the award's requisite service period.</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stock option awards is estimated using the Black-Scholes model. Stock-based compensation expense also includes an estimate, which is made at the time of grant, of the number of awards that are expected to be forfeited. This estimate is revised, if necessary, in subsequent periods if actual forfeitures differ from those estimates.</w:t>
      </w:r>
    </w:p>
    <w:p>
      <w:pPr>
        <w:spacing w:after="0" w:line="1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fair value of performance-based restricted stock units which are subject to vesting based on the Company’s attainment of pre-established market performance goals is estimated using a Monte Carlo simulation. The probability of the number of actual shares expected to be earned is considered in the grant-date valuation, and therefore, stock-based compensation expense is not adjusted at the vesting date to reflect the actual number of shares earned.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provision for income taxes includes U.S. federal, state, local, and foreign taxes. Income taxes are accounted for under the liability method. Deferred tax assets and liabilities for the expected future tax consequences of events that have been included in the financial statements or tax returns, including deferred tax assets and liabilities for expected amounts of global intangible low-taxed income ("GILTI") inclusions, are recognized on the difference between the tax basis of assets and liabilities and their respective financial reporting amounts ("temporary differences") at enacted tax rates in effect for the years in which the differences are expected to reverse. A valuation allowance is established for deferred tax assets for which it is more likely than not that some portion or all of the deferred tax assets will not be realized.</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Uncertain tax positions, for which management's assessment is that there is more than a 50% probability that the position will be sustained upon examination by a taxing authority based upon its technical merits, are subjected to certain recognition and measurement criteria. The Company re-evaluates uncertain tax positions and considers various factors, including, but not limited to, changes in tax law, the measurement of tax positions taken or expected to be taken in tax returns, and changes in facts or circumstances related to a tax position. The Company adjusts the level of the liability to reflect any subsequent changes in the relevant facts and circumstances surrounding the uncertain positions. The Company recognizes interest and penalties related to income tax matters in income tax expense.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6" w:name="page117"/>
    <w:bookmarkEnd w:id="1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REGENERON PHARMACEUTICALS, INC. NOTES TO CONSOLIDATED FINANCIAL STATEMENTS (Continued) </w:t>
      </w: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 Share Data</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Basic net income per share is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Basic net income per share excludes restricted stock until vested. Diluted net income per share includes the potential dilutive effect of common stock equivalents as if such securities were converted or exercised during the period, when the effect is dilutive. Common stock equivalents include: (i) outstanding stock options and unvested restricted stock under the Company's long-term incentive plans, which are included under the treasury stock method when dilutive, and (ii) Common Stock that would be issued upon the achievement of certain market conditions, which are included under the treasury stock method when dilutive.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adopted Accounting Standards Update 2016-13, </w:t>
      </w:r>
      <w:r>
        <w:rPr>
          <w:rFonts w:ascii="Arial" w:cs="Arial" w:eastAsia="Arial" w:hAnsi="Arial"/>
          <w:sz w:val="18"/>
          <w:szCs w:val="18"/>
          <w:i w:val="1"/>
          <w:iCs w:val="1"/>
          <w:color w:val="auto"/>
        </w:rPr>
        <w:t>Financial Instruments - Credit Losses: Measurement of Credit Losses on Financial Instruments</w:t>
      </w:r>
      <w:r>
        <w:rPr>
          <w:rFonts w:ascii="Arial" w:cs="Arial" w:eastAsia="Arial" w:hAnsi="Arial"/>
          <w:sz w:val="18"/>
          <w:szCs w:val="18"/>
          <w:color w:val="auto"/>
        </w:rPr>
        <w:t xml:space="preserve"> ("ASU 2016-13"), as of January 1, 2020. ASU 2016-13 requires an entity to measure and recognize expected credit losses for certain financial instruments, including trade receivables, as an allowance that reflects the entity's current estimate of credit losses expected to be incurred. For available-for-sale debt securities with unrealized credit losses, the standard requires allowances to be recorded through net income instead of directly reducing the amortized cost of the investment under the previous other-than-temporary impairment model. The adoption of this standard did not have a material impact on our financial statements or a significant impact on our internal controls.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Product Sales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Net product sales consist of the following:</w:t>
      </w:r>
    </w:p>
    <w:p>
      <w:pPr>
        <w:spacing w:after="0" w:line="275" w:lineRule="exact"/>
        <w:rPr>
          <w:sz w:val="20"/>
          <w:szCs w:val="20"/>
          <w:color w:val="auto"/>
        </w:rPr>
      </w:pPr>
    </w:p>
    <w:tbl>
      <w:tblPr>
        <w:tblLayout w:type="fixed"/>
        <w:tblInd w:w="16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382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Net Product Sales in the United States</w:t>
            </w:r>
          </w:p>
        </w:tc>
        <w:tc>
          <w:tcPr>
            <w:tcW w:w="280" w:type="dxa"/>
            <w:vAlign w:val="bottom"/>
          </w:tcPr>
          <w:p>
            <w:pPr>
              <w:spacing w:after="0"/>
              <w:rPr>
                <w:sz w:val="15"/>
                <w:szCs w:val="15"/>
                <w:color w:val="auto"/>
              </w:rPr>
            </w:pPr>
          </w:p>
        </w:tc>
        <w:tc>
          <w:tcPr>
            <w:tcW w:w="1040" w:type="dxa"/>
            <w:vAlign w:val="bottom"/>
          </w:tcPr>
          <w:p>
            <w:pPr>
              <w:jc w:val="right"/>
              <w:ind w:right="390"/>
              <w:spacing w:after="0" w:line="182"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390"/>
              <w:spacing w:after="0" w:line="182" w:lineRule="exact"/>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390"/>
              <w:spacing w:after="0" w:line="182" w:lineRule="exact"/>
              <w:rPr>
                <w:sz w:val="20"/>
                <w:szCs w:val="20"/>
                <w:color w:val="auto"/>
              </w:rPr>
            </w:pPr>
            <w:r>
              <w:rPr>
                <w:rFonts w:ascii="Arial" w:cs="Arial" w:eastAsia="Arial" w:hAnsi="Arial"/>
                <w:sz w:val="18"/>
                <w:szCs w:val="18"/>
                <w:b w:val="1"/>
                <w:bCs w:val="1"/>
                <w:color w:val="auto"/>
              </w:rPr>
              <w:t>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920" w:type="dxa"/>
            <w:vAlign w:val="bottom"/>
            <w:tcBorders>
              <w:top w:val="single" w:sz="8" w:color="auto"/>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EYLEA</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4,076.7</w:t>
            </w:r>
          </w:p>
        </w:tc>
      </w:tr>
      <w:tr>
        <w:trPr>
          <w:trHeight w:val="229"/>
        </w:trPr>
        <w:tc>
          <w:tcPr>
            <w:tcW w:w="2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Libtayo</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30"/>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Praluent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REGEN-COV</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ARCALYST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23"/>
        </w:trPr>
        <w:tc>
          <w:tcPr>
            <w:tcW w:w="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5,567.6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4,834.4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4,106.2</w:t>
            </w: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1840" w:right="1720" w:hanging="5"/>
        <w:spacing w:after="0" w:line="219" w:lineRule="auto"/>
        <w:tabs>
          <w:tab w:leader="none" w:pos="1933" w:val="left"/>
        </w:tabs>
        <w:numPr>
          <w:ilvl w:val="0"/>
          <w:numId w:val="56"/>
        </w:numPr>
        <w:rPr>
          <w:rFonts w:ascii="Arial" w:cs="Arial" w:eastAsia="Arial" w:hAnsi="Arial"/>
          <w:sz w:val="20"/>
          <w:szCs w:val="20"/>
          <w:color w:val="auto"/>
          <w:vertAlign w:val="superscript"/>
        </w:rPr>
      </w:pPr>
      <w:r>
        <w:rPr>
          <w:rFonts w:ascii="Arial" w:cs="Arial" w:eastAsia="Arial" w:hAnsi="Arial"/>
          <w:sz w:val="15"/>
          <w:szCs w:val="15"/>
          <w:color w:val="auto"/>
        </w:rPr>
        <w:t>Effective April 1, 2020, the Company is solely responsible for the development and commercialization of Praluent in the United States and records net product sales of Praluent in the United States. See Note 3 for further details.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The Company had product sales to certain customers that accounted for more than 10% of total gross product revenue for each of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2019, and 2018. Sales to each of these customers as a percentage of the Company's total gross product revenue are as follows:</w:t>
      </w:r>
    </w:p>
    <w:p>
      <w:pPr>
        <w:spacing w:after="0" w:line="284"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780" w:type="dxa"/>
        <w:tblCellMar>
          <w:top w:w="0" w:type="dxa"/>
          <w:left w:w="0" w:type="dxa"/>
          <w:bottom w:w="0" w:type="dxa"/>
          <w:right w:w="0" w:type="dxa"/>
        </w:tblCellMar>
      </w:tblPr>
      <w:tr>
        <w:trPr>
          <w:trHeight w:val="223"/>
        </w:trPr>
        <w:tc>
          <w:tcPr>
            <w:tcW w:w="564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CCEEFF"/>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23"/>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Besse Medical, a subsidiary of AmerisourceBergen Corporation</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30"/>
        </w:trPr>
        <w:tc>
          <w:tcPr>
            <w:tcW w:w="6480" w:type="dxa"/>
            <w:vAlign w:val="bottom"/>
            <w:gridSpan w:val="2"/>
          </w:tcPr>
          <w:p>
            <w:pPr>
              <w:ind w:left="20"/>
              <w:spacing w:after="0"/>
              <w:rPr>
                <w:sz w:val="20"/>
                <w:szCs w:val="20"/>
                <w:color w:val="auto"/>
              </w:rPr>
            </w:pPr>
            <w:r>
              <w:rPr>
                <w:rFonts w:ascii="Arial" w:cs="Arial" w:eastAsia="Arial" w:hAnsi="Arial"/>
                <w:sz w:val="18"/>
                <w:szCs w:val="18"/>
                <w:color w:val="auto"/>
              </w:rPr>
              <w:t>McKesson Corporation</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32 %</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36 %</w:t>
            </w:r>
          </w:p>
        </w:tc>
      </w:tr>
    </w:tbl>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from product sales is recorded net of applicable provisions for rebates, chargebacks, and discounts, distribution-related fees, and other sales-related deductions. Accruals for chargebacks and discounts are recorded as a direct reduction to accounts receivable. Accruals for rebates, distribution-related fees, and other sales-related deductions are recorded within accrued liabilities.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provisions, and credits/payments, for sales-related deductions for the years ended December 31, 2020, 2019, and 2018.</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7" w:name="page118"/>
    <w:bookmarkEnd w:id="1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ind w:left="3100"/>
        <w:spacing w:after="0" w:line="266" w:lineRule="auto"/>
        <w:rPr>
          <w:sz w:val="20"/>
          <w:szCs w:val="20"/>
          <w:color w:val="auto"/>
        </w:rPr>
      </w:pPr>
      <w:r>
        <w:rPr>
          <w:rFonts w:ascii="Arial" w:cs="Arial" w:eastAsia="Arial" w:hAnsi="Arial"/>
          <w:sz w:val="18"/>
          <w:szCs w:val="18"/>
          <w:b w:val="1"/>
          <w:bCs w:val="1"/>
          <w:color w:val="auto"/>
        </w:rPr>
        <w:t xml:space="preserve">REGENERON PHARMACEUTICALS, INC. NOTES TO CONSOLIDATED FINANCIAL STATEMENTS (Continued) </w:t>
      </w:r>
      <w:r>
        <w:rPr>
          <w:rFonts w:ascii="Arial" w:cs="Arial" w:eastAsia="Arial" w:hAnsi="Arial"/>
          <w:sz w:val="18"/>
          <w:szCs w:val="18"/>
          <w:b w:val="1"/>
          <w:bCs w:val="1"/>
          <w:i w:val="1"/>
          <w:iCs w:val="1"/>
          <w:color w:val="auto"/>
        </w:rPr>
        <w:t>(Unless otherwise noted, dollars in millions, except per share data)</w:t>
      </w:r>
    </w:p>
    <w:p>
      <w:pPr>
        <w:sectPr>
          <w:pgSz w:w="11900" w:h="16838" w:orient="portrait"/>
          <w:cols w:equalWidth="0" w:num="1">
            <w:col w:w="10800"/>
          </w:cols>
          <w:pgMar w:left="320" w:top="130"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Balance as of December 31, 2017</w:t>
      </w:r>
    </w:p>
    <w:p>
      <w:pPr>
        <w:spacing w:after="0" w:line="4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Provisions</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Credits/payments</w:t>
      </w:r>
    </w:p>
    <w:p>
      <w:pPr>
        <w:spacing w:after="0" w:line="3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Balance as of December 31, 2018</w:t>
      </w:r>
    </w:p>
    <w:p>
      <w:pPr>
        <w:spacing w:after="0" w:line="4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Provisions</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Credits/payments</w:t>
      </w:r>
    </w:p>
    <w:p>
      <w:pPr>
        <w:spacing w:after="0" w:line="3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Balance as of December 31, 2019</w:t>
      </w:r>
    </w:p>
    <w:p>
      <w:pPr>
        <w:spacing w:after="0" w:line="4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Provisions</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Credits/payments</w:t>
      </w:r>
    </w:p>
    <w:p>
      <w:pPr>
        <w:spacing w:after="0" w:line="6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Balance as of December 31,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Rebates,</w:t>
            </w:r>
          </w:p>
        </w:tc>
        <w:tc>
          <w:tcPr>
            <w:tcW w:w="180" w:type="dxa"/>
            <w:vAlign w:val="bottom"/>
          </w:tcPr>
          <w:p>
            <w:pPr>
              <w:spacing w:after="0"/>
              <w:rPr>
                <w:sz w:val="17"/>
                <w:szCs w:val="17"/>
                <w:color w:val="auto"/>
              </w:rPr>
            </w:pPr>
          </w:p>
        </w:tc>
        <w:tc>
          <w:tcPr>
            <w:tcW w:w="146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Distribution-</w:t>
            </w:r>
          </w:p>
        </w:tc>
        <w:tc>
          <w:tcPr>
            <w:tcW w:w="20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Other Sales-</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640" w:type="dxa"/>
            <w:vAlign w:val="bottom"/>
            <w:gridSpan w:val="3"/>
          </w:tcPr>
          <w:p>
            <w:pPr>
              <w:jc w:val="center"/>
              <w:ind w:right="120"/>
              <w:spacing w:after="0" w:line="176" w:lineRule="exact"/>
              <w:rPr>
                <w:sz w:val="20"/>
                <w:szCs w:val="20"/>
                <w:color w:val="auto"/>
              </w:rPr>
            </w:pPr>
            <w:r>
              <w:rPr>
                <w:rFonts w:ascii="Arial" w:cs="Arial" w:eastAsia="Arial" w:hAnsi="Arial"/>
                <w:sz w:val="18"/>
                <w:szCs w:val="18"/>
                <w:b w:val="1"/>
                <w:bCs w:val="1"/>
                <w:color w:val="auto"/>
                <w:w w:val="90"/>
              </w:rPr>
              <w:t>Chargebacks, and</w:t>
            </w:r>
          </w:p>
        </w:tc>
        <w:tc>
          <w:tcPr>
            <w:tcW w:w="18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2"/>
              </w:rPr>
              <w:t>Related</w:t>
            </w:r>
          </w:p>
        </w:tc>
        <w:tc>
          <w:tcPr>
            <w:tcW w:w="340" w:type="dxa"/>
            <w:vAlign w:val="bottom"/>
          </w:tcPr>
          <w:p>
            <w:pPr>
              <w:spacing w:after="0"/>
              <w:rPr>
                <w:sz w:val="15"/>
                <w:szCs w:val="15"/>
                <w:color w:val="auto"/>
              </w:rPr>
            </w:pPr>
          </w:p>
        </w:tc>
        <w:tc>
          <w:tcPr>
            <w:tcW w:w="120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Discounts</w:t>
            </w:r>
          </w:p>
        </w:tc>
        <w:tc>
          <w:tcPr>
            <w:tcW w:w="180" w:type="dxa"/>
            <w:vAlign w:val="bottom"/>
          </w:tcPr>
          <w:p>
            <w:pPr>
              <w:spacing w:after="0"/>
              <w:rPr>
                <w:sz w:val="19"/>
                <w:szCs w:val="19"/>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b w:val="1"/>
                <w:bCs w:val="1"/>
                <w:color w:val="auto"/>
              </w:rPr>
              <w:t>Related Fees</w:t>
            </w:r>
          </w:p>
        </w:tc>
        <w:tc>
          <w:tcPr>
            <w:tcW w:w="200" w:type="dxa"/>
            <w:vAlign w:val="bottom"/>
          </w:tcPr>
          <w:p>
            <w:pPr>
              <w:spacing w:after="0"/>
              <w:rPr>
                <w:sz w:val="19"/>
                <w:szCs w:val="19"/>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Deductions</w:t>
            </w:r>
          </w:p>
        </w:tc>
        <w:tc>
          <w:tcPr>
            <w:tcW w:w="3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478.9</w:t>
            </w:r>
          </w:p>
        </w:tc>
        <w:tc>
          <w:tcPr>
            <w:tcW w:w="0" w:type="dxa"/>
            <w:vAlign w:val="bottom"/>
          </w:tcPr>
          <w:p>
            <w:pPr>
              <w:spacing w:after="0"/>
              <w:rPr>
                <w:sz w:val="1"/>
                <w:szCs w:val="1"/>
                <w:color w:val="auto"/>
              </w:rPr>
            </w:pPr>
          </w:p>
        </w:tc>
      </w:tr>
      <w:tr>
        <w:trPr>
          <w:trHeight w:val="230"/>
        </w:trPr>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(203.1)</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(472.8)</w:t>
            </w: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727.9</w:t>
            </w:r>
          </w:p>
        </w:tc>
        <w:tc>
          <w:tcPr>
            <w:tcW w:w="0" w:type="dxa"/>
            <w:vAlign w:val="bottom"/>
          </w:tcPr>
          <w:p>
            <w:pPr>
              <w:spacing w:after="0"/>
              <w:rPr>
                <w:sz w:val="1"/>
                <w:szCs w:val="1"/>
                <w:color w:val="auto"/>
              </w:rPr>
            </w:pPr>
          </w:p>
        </w:tc>
      </w:tr>
      <w:tr>
        <w:trPr>
          <w:trHeight w:val="230"/>
        </w:trPr>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(384.0)</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(238.5)</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(663.2)</w:t>
            </w: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156.1</w:t>
            </w: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279.9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1,136.9</w:t>
            </w:r>
          </w:p>
        </w:tc>
        <w:tc>
          <w:tcPr>
            <w:tcW w:w="0" w:type="dxa"/>
            <w:vAlign w:val="bottom"/>
          </w:tcPr>
          <w:p>
            <w:pPr>
              <w:spacing w:after="0"/>
              <w:rPr>
                <w:sz w:val="1"/>
                <w:szCs w:val="1"/>
                <w:color w:val="auto"/>
              </w:rPr>
            </w:pPr>
          </w:p>
        </w:tc>
      </w:tr>
      <w:tr>
        <w:trPr>
          <w:trHeight w:val="230"/>
        </w:trPr>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(641.0)</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(249.1)</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(968.8)</w:t>
            </w:r>
          </w:p>
        </w:tc>
        <w:tc>
          <w:tcPr>
            <w:tcW w:w="0" w:type="dxa"/>
            <w:vAlign w:val="bottom"/>
          </w:tcPr>
          <w:p>
            <w:pPr>
              <w:spacing w:after="0"/>
              <w:rPr>
                <w:sz w:val="1"/>
                <w:szCs w:val="1"/>
                <w:color w:val="auto"/>
              </w:rPr>
            </w:pPr>
          </w:p>
        </w:tc>
      </w:tr>
      <w:tr>
        <w:trPr>
          <w:trHeight w:val="223"/>
        </w:trPr>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324.2</w:t>
            </w:r>
          </w:p>
        </w:tc>
        <w:tc>
          <w:tcPr>
            <w:tcW w:w="0" w:type="dxa"/>
            <w:vAlign w:val="bottom"/>
          </w:tcPr>
          <w:p>
            <w:pPr>
              <w:spacing w:after="0"/>
              <w:rPr>
                <w:sz w:val="1"/>
                <w:szCs w:val="1"/>
                <w:color w:val="auto"/>
              </w:rPr>
            </w:pP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-2480310</wp:posOffset>
            </wp:positionH>
            <wp:positionV relativeFrom="paragraph">
              <wp:posOffset>-1525270</wp:posOffset>
            </wp:positionV>
            <wp:extent cx="6566535" cy="1543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43">
                      <a:extLst>
                        <a:ext uri="{28A0092B-C50C-407E-A947-70E740481C1C}"/>
                      </a:extLst>
                    </a:blip>
                    <a:srcRect/>
                    <a:stretch>
                      <a:fillRect/>
                    </a:stretch>
                  </pic:blipFill>
                  <pic:spPr bwMode="auto">
                    <a:xfrm>
                      <a:off x="0" y="0"/>
                      <a:ext cx="6566535" cy="154305"/>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-1224915</wp:posOffset>
            </wp:positionV>
            <wp:extent cx="6566535" cy="1454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44">
                      <a:extLst>
                        <a:ext uri="{28A0092B-C50C-407E-A947-70E740481C1C}"/>
                      </a:extLst>
                    </a:blip>
                    <a:srcRect/>
                    <a:stretch>
                      <a:fillRect/>
                    </a:stretch>
                  </pic:blipFill>
                  <pic:spPr bwMode="auto">
                    <a:xfrm>
                      <a:off x="0" y="0"/>
                      <a:ext cx="6566535" cy="145415"/>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-925195</wp:posOffset>
            </wp:positionV>
            <wp:extent cx="6566535" cy="1454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45">
                      <a:extLst>
                        <a:ext uri="{28A0092B-C50C-407E-A947-70E740481C1C}"/>
                      </a:extLst>
                    </a:blip>
                    <a:srcRect/>
                    <a:stretch>
                      <a:fillRect/>
                    </a:stretch>
                  </pic:blipFill>
                  <pic:spPr bwMode="auto">
                    <a:xfrm>
                      <a:off x="0" y="0"/>
                      <a:ext cx="6566535" cy="145415"/>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-633730</wp:posOffset>
            </wp:positionV>
            <wp:extent cx="6566535" cy="154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46">
                      <a:extLst>
                        <a:ext uri="{28A0092B-C50C-407E-A947-70E740481C1C}"/>
                      </a:extLst>
                    </a:blip>
                    <a:srcRect/>
                    <a:stretch>
                      <a:fillRect/>
                    </a:stretch>
                  </pic:blipFill>
                  <pic:spPr bwMode="auto">
                    <a:xfrm>
                      <a:off x="0" y="0"/>
                      <a:ext cx="6566535" cy="154305"/>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-334010</wp:posOffset>
            </wp:positionV>
            <wp:extent cx="6566535" cy="146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47">
                      <a:extLst>
                        <a:ext uri="{28A0092B-C50C-407E-A947-70E740481C1C}"/>
                      </a:extLst>
                    </a:blip>
                    <a:srcRect/>
                    <a:stretch>
                      <a:fillRect/>
                    </a:stretch>
                  </pic:blipFill>
                  <pic:spPr bwMode="auto">
                    <a:xfrm>
                      <a:off x="0" y="0"/>
                      <a:ext cx="656653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40" w:space="720"/>
            <w:col w:w="6440"/>
          </w:cols>
          <w:pgMar w:left="320" w:top="130" w:right="779" w:bottom="1440" w:gutter="0" w:footer="0" w:header="0"/>
          <w:type w:val="continuous"/>
        </w:sectPr>
      </w:pPr>
    </w:p>
    <w:p>
      <w:pPr>
        <w:spacing w:after="0" w:line="380"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320" w:top="130" w:right="779" w:bottom="1440" w:gutter="0" w:footer="0" w:header="0"/>
          <w:type w:val="continuous"/>
        </w:sectPr>
      </w:pPr>
    </w:p>
    <w:bookmarkStart w:id="118" w:name="page119"/>
    <w:bookmarkEnd w:id="1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REGENERON PHARMACEUTICALS, INC. NOTES TO CONSOLIDATED FINANCIAL STATEMENTS (Continued) </w:t>
      </w: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Collaboration, License, and Other Agreements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Sanofi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our Statements of Operations in connection with our collaborations with Sanofi are detailed below:</w:t>
      </w:r>
    </w:p>
    <w:p>
      <w:pPr>
        <w:spacing w:after="0" w:line="221"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2840" w:type="dxa"/>
            <w:vAlign w:val="bottom"/>
            <w:gridSpan w:val="2"/>
          </w:tcPr>
          <w:p>
            <w:pPr>
              <w:ind w:left="420"/>
              <w:spacing w:after="0"/>
              <w:rPr>
                <w:sz w:val="20"/>
                <w:szCs w:val="20"/>
                <w:color w:val="auto"/>
              </w:rPr>
            </w:pPr>
            <w:r>
              <w:rPr>
                <w:rFonts w:ascii="Arial" w:cs="Arial" w:eastAsia="Arial" w:hAnsi="Arial"/>
                <w:sz w:val="18"/>
                <w:szCs w:val="18"/>
                <w:b w:val="1"/>
                <w:bCs w:val="1"/>
                <w:color w:val="auto"/>
              </w:rPr>
              <w:t>Statement of Operations</w:t>
            </w:r>
          </w:p>
        </w:tc>
        <w:tc>
          <w:tcPr>
            <w:tcW w:w="2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760" w:type="dxa"/>
            <w:vAlign w:val="bottom"/>
          </w:tcPr>
          <w:p>
            <w:pPr>
              <w:spacing w:after="0"/>
              <w:rPr>
                <w:sz w:val="20"/>
                <w:szCs w:val="20"/>
                <w:color w:val="auto"/>
              </w:rPr>
            </w:pPr>
          </w:p>
        </w:tc>
        <w:tc>
          <w:tcPr>
            <w:tcW w:w="2840" w:type="dxa"/>
            <w:vAlign w:val="bottom"/>
            <w:gridSpan w:val="2"/>
          </w:tcPr>
          <w:p>
            <w:pPr>
              <w:ind w:left="840"/>
              <w:spacing w:after="0"/>
              <w:rPr>
                <w:sz w:val="20"/>
                <w:szCs w:val="20"/>
                <w:color w:val="auto"/>
              </w:rPr>
            </w:pPr>
            <w:r>
              <w:rPr>
                <w:rFonts w:ascii="Arial" w:cs="Arial" w:eastAsia="Arial" w:hAnsi="Arial"/>
                <w:sz w:val="18"/>
                <w:szCs w:val="18"/>
                <w:b w:val="1"/>
                <w:bCs w:val="1"/>
                <w:color w:val="auto"/>
              </w:rPr>
              <w:t>Classification</w:t>
            </w: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Antibody:</w:t>
            </w:r>
          </w:p>
        </w:tc>
        <w:tc>
          <w:tcPr>
            <w:tcW w:w="2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760" w:type="dxa"/>
            <w:vAlign w:val="bottom"/>
          </w:tcPr>
          <w:p>
            <w:pPr>
              <w:ind w:left="220"/>
              <w:spacing w:after="0" w:line="176" w:lineRule="exact"/>
              <w:rPr>
                <w:sz w:val="20"/>
                <w:szCs w:val="20"/>
                <w:color w:val="auto"/>
              </w:rPr>
            </w:pPr>
            <w:r>
              <w:rPr>
                <w:rFonts w:ascii="Arial" w:cs="Arial" w:eastAsia="Arial" w:hAnsi="Arial"/>
                <w:sz w:val="18"/>
                <w:szCs w:val="18"/>
                <w:color w:val="auto"/>
              </w:rPr>
              <w:t>Regeneron's share of profits (losses) in</w:t>
            </w:r>
          </w:p>
        </w:tc>
        <w:tc>
          <w:tcPr>
            <w:tcW w:w="28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Sanofi collaboration revenue</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60" w:type="dxa"/>
            <w:vAlign w:val="bottom"/>
          </w:tcPr>
          <w:p>
            <w:pPr>
              <w:ind w:left="380"/>
              <w:spacing w:after="0" w:line="176" w:lineRule="exact"/>
              <w:rPr>
                <w:sz w:val="20"/>
                <w:szCs w:val="20"/>
                <w:color w:val="auto"/>
              </w:rPr>
            </w:pPr>
            <w:r>
              <w:rPr>
                <w:rFonts w:ascii="Arial" w:cs="Arial" w:eastAsia="Arial" w:hAnsi="Arial"/>
                <w:sz w:val="18"/>
                <w:szCs w:val="18"/>
                <w:color w:val="auto"/>
              </w:rPr>
              <w:t>connection with commercialization of</w:t>
            </w:r>
          </w:p>
        </w:tc>
        <w:tc>
          <w:tcPr>
            <w:tcW w:w="2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785.2</w:t>
            </w:r>
          </w:p>
        </w:tc>
        <w:tc>
          <w:tcPr>
            <w:tcW w:w="10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209.3</w:t>
            </w:r>
          </w:p>
        </w:tc>
        <w:tc>
          <w:tcPr>
            <w:tcW w:w="120" w:type="dxa"/>
            <w:vAlign w:val="bottom"/>
          </w:tcPr>
          <w:p>
            <w:pPr>
              <w:spacing w:after="0"/>
              <w:rPr>
                <w:sz w:val="15"/>
                <w:szCs w:val="15"/>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29"/>
        </w:trPr>
        <w:tc>
          <w:tcPr>
            <w:tcW w:w="3760" w:type="dxa"/>
            <w:vAlign w:val="bottom"/>
          </w:tcPr>
          <w:p>
            <w:pPr>
              <w:ind w:left="380"/>
              <w:spacing w:after="0"/>
              <w:rPr>
                <w:sz w:val="20"/>
                <w:szCs w:val="20"/>
                <w:color w:val="auto"/>
              </w:rPr>
            </w:pPr>
            <w:r>
              <w:rPr>
                <w:rFonts w:ascii="Arial" w:cs="Arial" w:eastAsia="Arial" w:hAnsi="Arial"/>
                <w:sz w:val="18"/>
                <w:szCs w:val="18"/>
                <w:color w:val="auto"/>
              </w:rPr>
              <w:t>antibodies</w:t>
            </w:r>
          </w:p>
        </w:tc>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Sales-based milestone earned</w:t>
            </w:r>
          </w:p>
        </w:tc>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Sanofi collaboration 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760" w:type="dxa"/>
            <w:vAlign w:val="bottom"/>
          </w:tcPr>
          <w:p>
            <w:pPr>
              <w:ind w:left="220"/>
              <w:spacing w:after="0" w:line="176" w:lineRule="exact"/>
              <w:rPr>
                <w:sz w:val="20"/>
                <w:szCs w:val="20"/>
                <w:color w:val="auto"/>
              </w:rPr>
            </w:pPr>
            <w:r>
              <w:rPr>
                <w:rFonts w:ascii="Arial" w:cs="Arial" w:eastAsia="Arial" w:hAnsi="Arial"/>
                <w:sz w:val="18"/>
                <w:szCs w:val="18"/>
                <w:color w:val="auto"/>
              </w:rPr>
              <w:t>Reimbursement for manufacturing of</w:t>
            </w:r>
          </w:p>
        </w:tc>
        <w:tc>
          <w:tcPr>
            <w:tcW w:w="28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Sanofi collaboration revenue</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368.0</w:t>
            </w:r>
          </w:p>
        </w:tc>
        <w:tc>
          <w:tcPr>
            <w:tcW w:w="10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216.0</w:t>
            </w:r>
          </w:p>
        </w:tc>
        <w:tc>
          <w:tcPr>
            <w:tcW w:w="120" w:type="dxa"/>
            <w:vAlign w:val="bottom"/>
          </w:tcPr>
          <w:p>
            <w:pPr>
              <w:spacing w:after="0"/>
              <w:rPr>
                <w:sz w:val="15"/>
                <w:szCs w:val="15"/>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30"/>
        </w:trPr>
        <w:tc>
          <w:tcPr>
            <w:tcW w:w="3760" w:type="dxa"/>
            <w:vAlign w:val="bottom"/>
          </w:tcPr>
          <w:p>
            <w:pPr>
              <w:ind w:left="380"/>
              <w:spacing w:after="0"/>
              <w:rPr>
                <w:sz w:val="20"/>
                <w:szCs w:val="20"/>
                <w:color w:val="auto"/>
              </w:rPr>
            </w:pPr>
            <w:r>
              <w:rPr>
                <w:rFonts w:ascii="Arial" w:cs="Arial" w:eastAsia="Arial" w:hAnsi="Arial"/>
                <w:sz w:val="18"/>
                <w:szCs w:val="18"/>
                <w:color w:val="auto"/>
              </w:rPr>
              <w:t>commercial supplies</w:t>
            </w:r>
          </w:p>
        </w:tc>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6"/>
              </w:rPr>
              <w:t>Reimbursement of research and development</w:t>
            </w:r>
          </w:p>
        </w:tc>
        <w:tc>
          <w:tcPr>
            <w:tcW w:w="28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Reduction of Research and</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expenses</w:t>
            </w:r>
          </w:p>
        </w:tc>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development expense</w:t>
            </w:r>
          </w:p>
        </w:tc>
        <w:tc>
          <w:tcPr>
            <w:tcW w:w="2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60" w:type="dxa"/>
            <w:vAlign w:val="bottom"/>
          </w:tcPr>
          <w:p>
            <w:pPr>
              <w:ind w:left="220"/>
              <w:spacing w:after="0" w:line="176" w:lineRule="exact"/>
              <w:rPr>
                <w:sz w:val="20"/>
                <w:szCs w:val="20"/>
                <w:color w:val="auto"/>
              </w:rPr>
            </w:pPr>
            <w:r>
              <w:rPr>
                <w:rFonts w:ascii="Arial" w:cs="Arial" w:eastAsia="Arial" w:hAnsi="Arial"/>
                <w:sz w:val="18"/>
                <w:szCs w:val="18"/>
                <w:color w:val="auto"/>
                <w:w w:val="98"/>
              </w:rPr>
              <w:t>Regeneron's obligation for its share of Sanofi</w:t>
            </w:r>
          </w:p>
        </w:tc>
        <w:tc>
          <w:tcPr>
            <w:tcW w:w="284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5"/>
              </w:rPr>
              <w:t>Research and development expense</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15"/>
                <w:szCs w:val="15"/>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30"/>
        </w:trPr>
        <w:tc>
          <w:tcPr>
            <w:tcW w:w="3760" w:type="dxa"/>
            <w:vAlign w:val="bottom"/>
          </w:tcPr>
          <w:p>
            <w:pPr>
              <w:ind w:left="380"/>
              <w:spacing w:after="0"/>
              <w:rPr>
                <w:sz w:val="20"/>
                <w:szCs w:val="20"/>
                <w:color w:val="auto"/>
              </w:rPr>
            </w:pPr>
            <w:r>
              <w:rPr>
                <w:rFonts w:ascii="Arial" w:cs="Arial" w:eastAsia="Arial" w:hAnsi="Arial"/>
                <w:sz w:val="18"/>
                <w:szCs w:val="18"/>
                <w:color w:val="auto"/>
              </w:rPr>
              <w:t>research and development expenses</w:t>
            </w:r>
          </w:p>
        </w:tc>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8"/>
              </w:rPr>
              <w:t>Reimbursement of commercialization-related</w:t>
            </w:r>
          </w:p>
        </w:tc>
        <w:tc>
          <w:tcPr>
            <w:tcW w:w="28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Reduction of Selling, general, and</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359.4</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479.9</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417.2</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expenses</w:t>
            </w:r>
          </w:p>
        </w:tc>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administrative expense</w:t>
            </w:r>
          </w:p>
        </w:tc>
        <w:tc>
          <w:tcPr>
            <w:tcW w:w="2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760" w:type="dxa"/>
            <w:vAlign w:val="bottom"/>
          </w:tcPr>
          <w:p>
            <w:pPr>
              <w:ind w:left="220"/>
              <w:spacing w:after="0" w:line="176" w:lineRule="exact"/>
              <w:rPr>
                <w:sz w:val="20"/>
                <w:szCs w:val="20"/>
                <w:color w:val="auto"/>
              </w:rPr>
            </w:pPr>
            <w:r>
              <w:rPr>
                <w:rFonts w:ascii="Arial" w:cs="Arial" w:eastAsia="Arial" w:hAnsi="Arial"/>
                <w:sz w:val="18"/>
                <w:szCs w:val="18"/>
                <w:color w:val="auto"/>
                <w:w w:val="98"/>
              </w:rPr>
              <w:t>Regeneron's obligation for its share of Sanofi</w:t>
            </w:r>
          </w:p>
        </w:tc>
        <w:tc>
          <w:tcPr>
            <w:tcW w:w="28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Cost of collaboration and contract</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5"/>
                <w:szCs w:val="15"/>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9"/>
        </w:trPr>
        <w:tc>
          <w:tcPr>
            <w:tcW w:w="3760" w:type="dxa"/>
            <w:vAlign w:val="bottom"/>
          </w:tcPr>
          <w:p>
            <w:pPr>
              <w:ind w:left="380"/>
              <w:spacing w:after="0"/>
              <w:rPr>
                <w:sz w:val="20"/>
                <w:szCs w:val="20"/>
                <w:color w:val="auto"/>
              </w:rPr>
            </w:pPr>
            <w:r>
              <w:rPr>
                <w:rFonts w:ascii="Arial" w:cs="Arial" w:eastAsia="Arial" w:hAnsi="Arial"/>
                <w:sz w:val="18"/>
                <w:szCs w:val="18"/>
                <w:color w:val="auto"/>
              </w:rPr>
              <w:t>other expenses</w:t>
            </w:r>
          </w:p>
        </w:tc>
        <w:tc>
          <w:tcPr>
            <w:tcW w:w="2840" w:type="dxa"/>
            <w:vAlign w:val="bottom"/>
            <w:gridSpan w:val="2"/>
          </w:tcPr>
          <w:p>
            <w:pPr>
              <w:ind w:left="180"/>
              <w:spacing w:after="0"/>
              <w:rPr>
                <w:sz w:val="20"/>
                <w:szCs w:val="20"/>
                <w:color w:val="auto"/>
              </w:rPr>
            </w:pPr>
            <w:r>
              <w:rPr>
                <w:rFonts w:ascii="Arial" w:cs="Arial" w:eastAsia="Arial" w:hAnsi="Arial"/>
                <w:sz w:val="18"/>
                <w:szCs w:val="18"/>
                <w:color w:val="auto"/>
              </w:rPr>
              <w:t>manufacturing</w:t>
            </w:r>
          </w:p>
        </w:tc>
        <w:tc>
          <w:tcPr>
            <w:tcW w:w="26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760" w:type="dxa"/>
            <w:vAlign w:val="bottom"/>
            <w:shd w:val="clear" w:color="auto" w:fill="CCEEFF"/>
          </w:tcPr>
          <w:p>
            <w:pPr>
              <w:spacing w:after="0"/>
              <w:rPr>
                <w:sz w:val="23"/>
                <w:szCs w:val="23"/>
                <w:color w:val="auto"/>
              </w:rPr>
            </w:pPr>
          </w:p>
        </w:tc>
        <w:tc>
          <w:tcPr>
            <w:tcW w:w="2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Immuno-oncology:</w:t>
            </w:r>
          </w:p>
        </w:tc>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3"/>
              </w:rPr>
              <w:t>Regeneron's share of losses in connection with</w:t>
            </w:r>
          </w:p>
        </w:tc>
        <w:tc>
          <w:tcPr>
            <w:tcW w:w="28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Sanofi collaboration revenue</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6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rPr>
              <w:t>commercialization of Libtayo outside the</w:t>
            </w:r>
          </w:p>
        </w:tc>
        <w:tc>
          <w:tcPr>
            <w:tcW w:w="2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United States</w:t>
            </w:r>
          </w:p>
        </w:tc>
        <w:tc>
          <w:tcPr>
            <w:tcW w:w="2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60" w:type="dxa"/>
            <w:vAlign w:val="bottom"/>
          </w:tcPr>
          <w:p>
            <w:pPr>
              <w:ind w:left="220"/>
              <w:spacing w:after="0" w:line="176" w:lineRule="exact"/>
              <w:rPr>
                <w:sz w:val="20"/>
                <w:szCs w:val="20"/>
                <w:color w:val="auto"/>
              </w:rPr>
            </w:pPr>
            <w:r>
              <w:rPr>
                <w:rFonts w:ascii="Arial" w:cs="Arial" w:eastAsia="Arial" w:hAnsi="Arial"/>
                <w:sz w:val="18"/>
                <w:szCs w:val="18"/>
                <w:color w:val="auto"/>
              </w:rPr>
              <w:t>Reimbursement for manufacturing of</w:t>
            </w:r>
          </w:p>
        </w:tc>
        <w:tc>
          <w:tcPr>
            <w:tcW w:w="28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Sanofi collaboration revenue</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60" w:type="dxa"/>
            <w:vAlign w:val="bottom"/>
          </w:tcPr>
          <w:p>
            <w:pPr>
              <w:ind w:left="380"/>
              <w:spacing w:after="0"/>
              <w:rPr>
                <w:sz w:val="20"/>
                <w:szCs w:val="20"/>
                <w:color w:val="auto"/>
              </w:rPr>
            </w:pPr>
            <w:r>
              <w:rPr>
                <w:rFonts w:ascii="Arial" w:cs="Arial" w:eastAsia="Arial" w:hAnsi="Arial"/>
                <w:sz w:val="18"/>
                <w:szCs w:val="18"/>
                <w:color w:val="auto"/>
              </w:rPr>
              <w:t>commercial supplies</w:t>
            </w:r>
          </w:p>
        </w:tc>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6"/>
              </w:rPr>
              <w:t>Reimbursement of research and development</w:t>
            </w:r>
          </w:p>
        </w:tc>
        <w:tc>
          <w:tcPr>
            <w:tcW w:w="28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Reduction of Research and</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expenses</w:t>
            </w:r>
          </w:p>
        </w:tc>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development expense</w:t>
            </w:r>
          </w:p>
        </w:tc>
        <w:tc>
          <w:tcPr>
            <w:tcW w:w="2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60" w:type="dxa"/>
            <w:vAlign w:val="bottom"/>
          </w:tcPr>
          <w:p>
            <w:pPr>
              <w:ind w:left="220"/>
              <w:spacing w:after="0" w:line="176" w:lineRule="exact"/>
              <w:rPr>
                <w:sz w:val="20"/>
                <w:szCs w:val="20"/>
                <w:color w:val="auto"/>
              </w:rPr>
            </w:pPr>
            <w:r>
              <w:rPr>
                <w:rFonts w:ascii="Arial" w:cs="Arial" w:eastAsia="Arial" w:hAnsi="Arial"/>
                <w:sz w:val="18"/>
                <w:szCs w:val="18"/>
                <w:color w:val="auto"/>
                <w:w w:val="98"/>
              </w:rPr>
              <w:t>Reimbursement of commercialization-related</w:t>
            </w:r>
          </w:p>
        </w:tc>
        <w:tc>
          <w:tcPr>
            <w:tcW w:w="28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Reduction of Selling, general, and</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5"/>
                <w:szCs w:val="15"/>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9"/>
        </w:trPr>
        <w:tc>
          <w:tcPr>
            <w:tcW w:w="3760" w:type="dxa"/>
            <w:vAlign w:val="bottom"/>
          </w:tcPr>
          <w:p>
            <w:pPr>
              <w:ind w:left="380"/>
              <w:spacing w:after="0"/>
              <w:rPr>
                <w:sz w:val="20"/>
                <w:szCs w:val="20"/>
                <w:color w:val="auto"/>
              </w:rPr>
            </w:pPr>
            <w:r>
              <w:rPr>
                <w:rFonts w:ascii="Arial" w:cs="Arial" w:eastAsia="Arial" w:hAnsi="Arial"/>
                <w:sz w:val="18"/>
                <w:szCs w:val="18"/>
                <w:color w:val="auto"/>
              </w:rPr>
              <w:t>expenses</w:t>
            </w:r>
          </w:p>
        </w:tc>
        <w:tc>
          <w:tcPr>
            <w:tcW w:w="2840" w:type="dxa"/>
            <w:vAlign w:val="bottom"/>
            <w:gridSpan w:val="2"/>
          </w:tcPr>
          <w:p>
            <w:pPr>
              <w:ind w:left="180"/>
              <w:spacing w:after="0"/>
              <w:rPr>
                <w:sz w:val="20"/>
                <w:szCs w:val="20"/>
                <w:color w:val="auto"/>
              </w:rPr>
            </w:pPr>
            <w:r>
              <w:rPr>
                <w:rFonts w:ascii="Arial" w:cs="Arial" w:eastAsia="Arial" w:hAnsi="Arial"/>
                <w:sz w:val="18"/>
                <w:szCs w:val="18"/>
                <w:color w:val="auto"/>
              </w:rPr>
              <w:t>administrative expense</w:t>
            </w:r>
          </w:p>
        </w:tc>
        <w:tc>
          <w:tcPr>
            <w:tcW w:w="26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7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Regeneron's obligation for Sanofi's share of</w:t>
            </w:r>
          </w:p>
        </w:tc>
        <w:tc>
          <w:tcPr>
            <w:tcW w:w="28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Cost of goods sold</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Libtayo U.S. gross profits</w:t>
            </w:r>
          </w:p>
        </w:tc>
        <w:tc>
          <w:tcPr>
            <w:tcW w:w="2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760" w:type="dxa"/>
            <w:vAlign w:val="bottom"/>
          </w:tcPr>
          <w:p>
            <w:pPr>
              <w:ind w:left="220"/>
              <w:spacing w:after="0" w:line="176" w:lineRule="exact"/>
              <w:rPr>
                <w:sz w:val="20"/>
                <w:szCs w:val="20"/>
                <w:color w:val="auto"/>
              </w:rPr>
            </w:pPr>
            <w:r>
              <w:rPr>
                <w:rFonts w:ascii="Arial" w:cs="Arial" w:eastAsia="Arial" w:hAnsi="Arial"/>
                <w:sz w:val="18"/>
                <w:szCs w:val="18"/>
                <w:color w:val="auto"/>
              </w:rPr>
              <w:t>Amounts recognized in connection with up-</w:t>
            </w:r>
          </w:p>
        </w:tc>
        <w:tc>
          <w:tcPr>
            <w:tcW w:w="28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Other operating income</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210.6</w:t>
            </w:r>
          </w:p>
        </w:tc>
        <w:tc>
          <w:tcPr>
            <w:tcW w:w="10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92.7</w:t>
            </w:r>
          </w:p>
        </w:tc>
        <w:tc>
          <w:tcPr>
            <w:tcW w:w="120" w:type="dxa"/>
            <w:vAlign w:val="bottom"/>
          </w:tcPr>
          <w:p>
            <w:pPr>
              <w:spacing w:after="0"/>
              <w:rPr>
                <w:sz w:val="15"/>
                <w:szCs w:val="15"/>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243.8</w:t>
            </w:r>
          </w:p>
        </w:tc>
        <w:tc>
          <w:tcPr>
            <w:tcW w:w="0" w:type="dxa"/>
            <w:vAlign w:val="bottom"/>
          </w:tcPr>
          <w:p>
            <w:pPr>
              <w:spacing w:after="0"/>
              <w:rPr>
                <w:sz w:val="1"/>
                <w:szCs w:val="1"/>
                <w:color w:val="auto"/>
              </w:rPr>
            </w:pPr>
          </w:p>
        </w:tc>
      </w:tr>
      <w:tr>
        <w:trPr>
          <w:trHeight w:val="230"/>
        </w:trPr>
        <w:tc>
          <w:tcPr>
            <w:tcW w:w="3760" w:type="dxa"/>
            <w:vAlign w:val="bottom"/>
          </w:tcPr>
          <w:p>
            <w:pPr>
              <w:ind w:left="380"/>
              <w:spacing w:after="0"/>
              <w:rPr>
                <w:sz w:val="20"/>
                <w:szCs w:val="20"/>
                <w:color w:val="auto"/>
              </w:rPr>
            </w:pPr>
            <w:r>
              <w:rPr>
                <w:rFonts w:ascii="Arial" w:cs="Arial" w:eastAsia="Arial" w:hAnsi="Arial"/>
                <w:sz w:val="18"/>
                <w:szCs w:val="18"/>
                <w:color w:val="auto"/>
              </w:rPr>
              <w:t>front payments received</w:t>
            </w:r>
          </w:p>
        </w:tc>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See Note 9 and Note 11 for information regarding Sanofi's sale of our Common Stock during the second quarter of 2020.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Antibody</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Company is party to a global, strategic collaboration with Sanofi to research, develop, and commercialize fully human monoclonal antibodies (the "Antibody Collaboration"), which currently consists of Dupixent, Kevzara, and itepekimab</w:t>
      </w:r>
      <w:r>
        <w:rPr>
          <w:rFonts w:ascii="Arial" w:cs="Arial" w:eastAsia="Arial" w:hAnsi="Arial"/>
          <w:sz w:val="20"/>
          <w:szCs w:val="20"/>
          <w:i w:val="1"/>
          <w:iCs w:val="1"/>
          <w:color w:val="auto"/>
        </w:rPr>
        <w:t>.</w:t>
      </w:r>
      <w:r>
        <w:rPr>
          <w:rFonts w:ascii="Arial" w:cs="Arial" w:eastAsia="Arial" w:hAnsi="Arial"/>
          <w:sz w:val="17"/>
          <w:szCs w:val="17"/>
          <w:color w:val="auto"/>
        </w:rPr>
        <w:t xml:space="preserve"> Under the terms of the Antibody License and Collaboration Agreement ("LCA"), Sanofi is generally responsible for funding 80%–100% of agreed-upon development costs. We are obligated to reimburse Sanofi for 30%–50% of worldwide development expenses that were funded by Sanofi (collectively, the "development balance") based on our share of collaboration profits from commercialization of collaboration products. However, we are only required to apply 10% of our share of the profits from the Antibody Collaboration in any calendar quarter to reimburse Sanofi for these development costs. The Company's contingent reimbursement obligation to Sanofi under the Antibody Collaboration was approximately $3.103 billion as of December 31, 2020.</w:t>
      </w: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January 2018, the Company and Sanofi entered into a letter agreement (the "Letter Agreement") in connection with, among other matters, the allocation of additional funds to certain activities relating to dupilumab and itepekimab (collectively,</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9" w:name="page120"/>
    <w:bookmarkEnd w:id="1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REGENERON PHARMACEUTICALS, INC. NOTES TO CONSOLIDATED FINANCIAL STATEMENTS (Continued) </w:t>
      </w: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"Dupilumab/Itepekimab Eligible Investments"). Refer to the "</w:t>
      </w:r>
      <w:r>
        <w:rPr>
          <w:rFonts w:ascii="Arial" w:cs="Arial" w:eastAsia="Arial" w:hAnsi="Arial"/>
          <w:sz w:val="18"/>
          <w:szCs w:val="18"/>
          <w:i w:val="1"/>
          <w:iCs w:val="1"/>
          <w:color w:val="auto"/>
        </w:rPr>
        <w:t>Immuno-Oncology</w:t>
      </w:r>
      <w:r>
        <w:rPr>
          <w:rFonts w:ascii="Arial" w:cs="Arial" w:eastAsia="Arial" w:hAnsi="Arial"/>
          <w:sz w:val="18"/>
          <w:szCs w:val="18"/>
          <w:color w:val="auto"/>
        </w:rPr>
        <w:t>" section below for further details regarding the Letter Agreement and Note 11 for additional information regarding shares purchased by us from Sanofi.</w:t>
      </w:r>
    </w:p>
    <w:p>
      <w:pPr>
        <w:spacing w:after="0" w:line="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Regeneron is obligated to use commercially reasonable efforts to supply clinical requirements of each drug candidate under the Antibody Collaboration until commercial supplies of that drug candidate are being manufactured. Sanofi leads commercialization activities for products under the Antibody Collaboration, subject to the Company's right to co-commercialize such products. The Company co-commercializes Dupixent in the United States and exercised its option to co-commercialize Dupixent in certain countries outside the United States. We currently anticipate commencing co-commercialization of Dupixent in such countries outside the United States in 2021. The parties equally share profits and losses from sales within the United States. The parties share profits outside the United States on a sliding scale based on sales starting at 65% (Sanofi)/35% (Regeneron) and ending at 55% (Sanofi)/45% (Regeneron), and losses outside the United States at 55% (Sanofi)/45% (Regeneron).</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profit and loss sharing, we are entitled to receive sales milestone payments from Sanofi. In the third quarter of 2020, the Company earned, and recognized as revenue, the first $50.0 million sales-based milestone from Sanofi, upon aggregate annual sales of Dupixent, Kevzara, and Praluent outside the United States exceeding $1.0 billion on a rolling twelve-month basis. We are entitled to receive up to an aggregate of $200.0 million in additional milestone payments from Sanofi, including the second sales milestone in the amount of $50.0 million, when such sales outside the United States exceed $1.5 billion on a rolling twelve-month basis.</w:t>
      </w:r>
    </w:p>
    <w:p>
      <w:pPr>
        <w:spacing w:after="0" w:line="12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April 2020, the Company and Sanofi entered into an amendment to the LCA in connection with, among other things, the removal of Praluent from the LCA such that (i) effective April 1, 2020, the LCA no longer governs the development, manufacture, or commercialization of Praluent and (ii) the quarterly period ended March 31, 2020 was the last quarter for which Sanofi and the Company shared profits and losses for Praluent under the LCA. The parties also entered into a Praluent Cross License &amp; Commercialization Agreement (the "Praluent Agreement") pursuant to which, effective April 1, 2020, the Company, at its sole cost, is solely responsible for the development and commercialization of Praluent in the United States, and Sanofi, at its sole cost, is solely responsible for the development and commercialization of Praluent outside of the United States. Under the Praluent Agreement, Sanofi will pay the Company a 5% royalty on Sanofi’s net product sales of Praluent outside the United States until March 31, 2032. The Company will not owe Sanofi royalties on the Company’s net product sales of Praluent in the United States. Although each party will be responsible for manufacturing Praluent for its respective territory, the parties have entered into definitive supply agreements under which, for a certain transitional period, the Company will continue to supply drug substance to Sanofi and Sanofi will continue to supply finished product to Regeneron. With respect to any intellectual property or product liability litigation relating to Praluent, the parties have agreed that, effective April 1, 2020, Regeneron and Sanofi each will be solely responsible for any such litigation (including damages and other costs and expenses thereof) in the United States and outside the United States, respectively, arising out of Praluent sales or other activities on or after April 1, 2020 (subject to Sanofi's right to set off a portion of any third-party royalty payments resulting from certain patent litigation proceedings against up to 50% of any Praluent royalty payment owed to Regeneron). The parties will each bear 50% of any damages arising out of Praluent sales or other activities prior to April 1, 2020. See Note 15 for discussion of legal proceedings related to Praluent.</w:t>
      </w:r>
    </w:p>
    <w:p>
      <w:pPr>
        <w:spacing w:after="0" w:line="8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significant promised goods and services in connection with the Antibody Collaboration consist of providing research and development services, including the manufacturing of clinical supplies, and providing commercial-related services, including the manufacturing of commercial supplies. We recognize amounts in connection with the Antibody Collaboration based on the amount we have the right to invoice and such amount corresponds directly with our performance to date; therefore, we do not disclose the value of the transaction price (</w:t>
      </w:r>
      <w:r>
        <w:rPr>
          <w:rFonts w:ascii="Arial" w:cs="Arial" w:eastAsia="Arial" w:hAnsi="Arial"/>
          <w:sz w:val="18"/>
          <w:szCs w:val="18"/>
          <w:i w:val="1"/>
          <w:iCs w:val="1"/>
          <w:color w:val="auto"/>
        </w:rPr>
        <w:t>i.e.</w:t>
      </w:r>
      <w:r>
        <w:rPr>
          <w:rFonts w:ascii="Arial" w:cs="Arial" w:eastAsia="Arial" w:hAnsi="Arial"/>
          <w:sz w:val="18"/>
          <w:szCs w:val="18"/>
          <w:color w:val="auto"/>
        </w:rPr>
        <w:t>, the amount of consideration we expect to be entitled to) allocated to our remaining unsatisfied obligations.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balances in connection with the Company's Antibody Collaboration with Sanofi:</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40" w:type="dxa"/>
            <w:vAlign w:val="bottom"/>
            <w:gridSpan w:val="5"/>
          </w:tcPr>
          <w:p>
            <w:pPr>
              <w:ind w:left="54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1920" w:type="dxa"/>
            <w:vAlign w:val="bottom"/>
          </w:tcPr>
          <w:p>
            <w:pPr>
              <w:spacing w:after="0"/>
              <w:rPr>
                <w:sz w:val="19"/>
                <w:szCs w:val="19"/>
                <w:color w:val="auto"/>
              </w:rPr>
            </w:pPr>
          </w:p>
        </w:tc>
        <w:tc>
          <w:tcPr>
            <w:tcW w:w="25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920" w:type="dxa"/>
            <w:vAlign w:val="bottom"/>
          </w:tcPr>
          <w:p>
            <w:pPr>
              <w:spacing w:after="0"/>
              <w:rPr>
                <w:sz w:val="19"/>
                <w:szCs w:val="19"/>
                <w:color w:val="auto"/>
              </w:rPr>
            </w:pPr>
          </w:p>
        </w:tc>
      </w:tr>
      <w:tr>
        <w:trPr>
          <w:trHeight w:val="223"/>
        </w:trPr>
        <w:tc>
          <w:tcPr>
            <w:tcW w:w="1920" w:type="dxa"/>
            <w:vAlign w:val="bottom"/>
          </w:tcPr>
          <w:p>
            <w:pPr>
              <w:spacing w:after="0"/>
              <w:rPr>
                <w:sz w:val="19"/>
                <w:szCs w:val="19"/>
                <w:color w:val="auto"/>
              </w:rPr>
            </w:pPr>
          </w:p>
        </w:tc>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5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1920" w:type="dxa"/>
            <w:vAlign w:val="bottom"/>
          </w:tcPr>
          <w:p>
            <w:pPr>
              <w:spacing w:after="0"/>
              <w:rPr>
                <w:sz w:val="19"/>
                <w:szCs w:val="19"/>
                <w:color w:val="auto"/>
              </w:rPr>
            </w:pPr>
          </w:p>
        </w:tc>
      </w:tr>
      <w:tr>
        <w:trPr>
          <w:trHeight w:val="230"/>
        </w:trPr>
        <w:tc>
          <w:tcPr>
            <w:tcW w:w="1920" w:type="dxa"/>
            <w:vAlign w:val="bottom"/>
          </w:tcPr>
          <w:p>
            <w:pPr>
              <w:spacing w:after="0"/>
              <w:rPr>
                <w:sz w:val="20"/>
                <w:szCs w:val="20"/>
                <w:color w:val="auto"/>
              </w:rPr>
            </w:pPr>
          </w:p>
        </w:tc>
        <w:tc>
          <w:tcPr>
            <w:tcW w:w="252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9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347.7</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328.8</w:t>
            </w:r>
          </w:p>
        </w:tc>
        <w:tc>
          <w:tcPr>
            <w:tcW w:w="1920" w:type="dxa"/>
            <w:vAlign w:val="bottom"/>
          </w:tcPr>
          <w:p>
            <w:pPr>
              <w:spacing w:after="0"/>
              <w:rPr>
                <w:sz w:val="20"/>
                <w:szCs w:val="20"/>
                <w:color w:val="auto"/>
              </w:rPr>
            </w:pPr>
          </w:p>
        </w:tc>
      </w:tr>
      <w:tr>
        <w:trPr>
          <w:trHeight w:val="647"/>
        </w:trPr>
        <w:tc>
          <w:tcPr>
            <w:tcW w:w="19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960" w:type="dxa"/>
            <w:vAlign w:val="bottom"/>
            <w:gridSpan w:val="2"/>
          </w:tcPr>
          <w:p>
            <w:pPr>
              <w:jc w:val="right"/>
              <w:ind w:right="510"/>
              <w:spacing w:after="0"/>
              <w:rPr>
                <w:sz w:val="20"/>
                <w:szCs w:val="20"/>
                <w:color w:val="auto"/>
              </w:rPr>
            </w:pPr>
            <w:r>
              <w:rPr>
                <w:rFonts w:ascii="Arial" w:cs="Arial" w:eastAsia="Arial" w:hAnsi="Arial"/>
                <w:sz w:val="18"/>
                <w:szCs w:val="18"/>
                <w:color w:val="auto"/>
              </w:rPr>
              <w:t>F-18</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58"/>
        </w:trPr>
        <w:tc>
          <w:tcPr>
            <w:tcW w:w="19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5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0" w:name="page121"/>
    <w:bookmarkEnd w:id="1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REGENERON PHARMACEUTICALS, INC. NOTES TO CONSOLIDATED FINANCIAL STATEMENTS (Continued) </w:t>
      </w: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Immuno-Oncology</w:t>
      </w:r>
    </w:p>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is party to a collaboration with Sanofi to research, develop, and commercialize antibody-based cancer treatments in the field of immuno-oncology (the "IO Collaboration"). The IO Collaboration is governed by an Amended and Restated Immuno-oncology Discovery and Development Agreement ("Amended IO Discovery Agreement"), and an Immuno-oncology License and Collaboration Agreement ("IO License and Collaboration Agreement"). In connection with the execution of the original Immuno-oncology Discovery and Development Agreement in 2015 ("2015 IO Discovery Agreement"), which has been replaced by the Amended IO Discovery Agreement (as discussed below), Sanofi made a $265.0 million non-refundable up-front payment to the Company. Pursuant to the 2015 IO Discovery Agreement, the Company was to spend up to $1.090 billion to identify and validate potential immuno-oncology targets and develop therapeutic antibodies against such targets through clinical proof-of-concept, and Sanofi was to reimburse the Company for up to $825.0 million of these costs, subject to certain annual limits.</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obligated to reimburse Sanofi for half of the development costs they funded that are attributable to clinical development of antibody product candidates from our share of future profits from commercialized IO Collaboration products. However, the Company is only required to apply 10% of its share of the profits from IO Collaboration products in any calendar quarter towards reimbursing Sanofi for these development costs. The Company's contingent reimbursement obligation to Sanofi under the IO Collaboration was approximately $107 million as of December 31, 2020.</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Effective December 31, 2018, the Company and Sanofi entered into the Amended IO Discovery Agreement, which narrowed the scope of the existing discovery and development activities conducted by the Company ("IO Development Activities") under the 2015 IO Discovery Agreement to developing therapeutic bispecific antibodies targeting (i) BCMA and CD3 (the "BCMAxCD3 Program") and (ii) MUC16 and CD3 (the "MUC16xCD3 Program") through clinical proof-of-concept. The Amended IO Discovery Agreement provided for Sanofi’s payment of $461.9 million to the Company as consideration for (x) the termination of the 2015 IO Discovery Agreement, (y) the prepayment for certain IO Development Activities regarding the BCMAxCD3 Program and the MUC16xCD3 Program, and (z) the reimbursement of costs incurred by the Company under the 2015 IO Discovery Agreement during the fourth quarter of 2018.</w:t>
      </w:r>
    </w:p>
    <w:p>
      <w:pPr>
        <w:spacing w:after="0" w:line="11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Under the terms of the Amended IO Discovery Agreement, the Company is required to conduct development activities with respect to (i) the BCMAxCD3 Program through the earlier of clinical proof-of-concept or the expenditure of $70.0 million (the "BCMAxCD3 Program Costs Cap") and (ii) the MUC16xCD3 Program through the earlier of clinical proof-of-concept or the expenditure of $50.0 million (the "MUC16xCD3 Program Costs Cap").</w:t>
      </w:r>
    </w:p>
    <w:p>
      <w:pPr>
        <w:spacing w:after="0" w:line="8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With regard to the BCMAxCD3 Program and the MUC16xCD3 Program, when (i) clinical proof-of-concept is established, (ii) the applicable Program Costs Cap is reached, or (iii) in certain other limited circumstances, Sanofi will have the option to license rights to the product candidate and other antibodies targeting the same targets for, with regard to BCMAxCD3, immuno-oncology indications, and with regard to MUC16xCD3, all indications, pursuant to the IO License and Collaboration Agreement, as amended. Given the applicable Program Costs Cap for the BCMAxCD3 Program and MUC16xCD3 Program has been reached, we expect Sanofi to provide its decision on whether it will exercise its option to license rights to these product candidates in early 2021. If Sanofi does not exercise its option to license rights to a product candidate, we will retain the exclusive right to develop and commercialize such product candidate and Sanofi will receive a royalty on sales. Pursuant to the Amended IO Discovery Agreement, the parties agreed that</w:t>
      </w:r>
    </w:p>
    <w:p>
      <w:pPr>
        <w:spacing w:after="0" w:line="2" w:lineRule="exact"/>
        <w:rPr>
          <w:sz w:val="20"/>
          <w:szCs w:val="20"/>
          <w:color w:val="auto"/>
        </w:rPr>
      </w:pPr>
    </w:p>
    <w:p>
      <w:pPr>
        <w:jc w:val="both"/>
        <w:ind w:firstLine="8"/>
        <w:spacing w:after="0" w:line="273" w:lineRule="auto"/>
        <w:tabs>
          <w:tab w:leader="none" w:pos="223" w:val="left"/>
        </w:tabs>
        <w:numPr>
          <w:ilvl w:val="0"/>
          <w:numId w:val="57"/>
        </w:numPr>
        <w:rPr>
          <w:rFonts w:ascii="Arial" w:cs="Arial" w:eastAsia="Arial" w:hAnsi="Arial"/>
          <w:sz w:val="17"/>
          <w:szCs w:val="17"/>
          <w:color w:val="auto"/>
        </w:rPr>
      </w:pPr>
      <w:r>
        <w:rPr>
          <w:rFonts w:ascii="Arial" w:cs="Arial" w:eastAsia="Arial" w:hAnsi="Arial"/>
          <w:sz w:val="17"/>
          <w:szCs w:val="17"/>
          <w:color w:val="auto"/>
        </w:rPr>
        <w:t>if Sanofi exercises its option with respect to a BCMAxCD3 Program antibody, Sanofi will lead the development and global commercialization of such BCMAxCD3 Program antibody; and (ii) if Sanofi exercises its option with respect to a MUC16xCD3 Program antibody, (x) we will lead the development of such MUC16xCD3 Program antibody and commercialization of such MUC16xCD3 Program antibody within the United States and (y) Sanofi will lead the commercialization of such MUC16xCD3 Program antibody outside of the United States.</w:t>
      </w:r>
    </w:p>
    <w:p>
      <w:pPr>
        <w:spacing w:after="0" w:line="1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Sanofi exercises its option to license rights to a BCMAxCD3 Program antibody or MUC16xCD3 Program antibody thereunder, it will co-develop these drug candidates with the Company through product approval. Sanofi will fund development costs up front for a BCMAxCD3 Program antibody and we will reimburse half of the total development costs for such antibody from our share of future IO Collaboration profits to the extent they are sufficient for this purpose, subject to the same 10% reimbursement provision described above. In addition, we and Sanofi will share equally, on an ongoing basis, the development costs for a MUC16xCD3 Program antibody.</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execution of the IO License and Collaboration Agreement in 2015, Sanofi made a $375.0 million non-refundable up-front payment to the Company. Under the terms of the IO License and Collaboration Agreement, the parties are co-developing and co-commercializing Libtayo (cemiplimab), an antibody targeting the receptor known as programmed cell death protein 1 (PD-1). The parties share equally, on an ongoing basis, agreed-upon development and commercialization</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1" w:name="page122"/>
    <w:bookmarkEnd w:id="1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REGENERON PHARMACEUTICALS, INC. NOTES TO CONSOLIDATED FINANCIAL STATEMENTS (Continued) </w:t>
      </w: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expenses for Libtayo. Pursuant to the Letter Agreement, the Libtayo development budget was increased and the Company allowed Sanofi to satisfy in whole or in part its funding obligations with respect to the Libtayo development and Dupilumab/Itepekimab Eligible Investments incurred in periods through September 30, 2020 by selling certain shares of our Common Stock directly or indirectly owned by Sanofi; if Sanofi desired to sell such shares, we were able to elect to purchase, in whole or in part, such shares from Sanofi. See Note 11 for additional information regarding shares purchased by us from Sanofi.</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principal control over the development of Libtayo and leads commercialization activities in the United States (see Note 2 for related product sales information), while Sanofi leads commercialization activities outside of the United States. Sanofi has exercised its option to co-commercialize Libtayo in the United States.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will be entitled to a milestone payment of $375.0 million in the event that global sales of certain licensed products targeting PD-1 (including Libtayo), together with sales of any other products licensed under the IO License and Collaboration Agreement and sold for use in combination with any of such licensed products targeting PD-1, equal or exceed $2.0 billion in any consecutive twelve-month period.</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2018, we and Sanofi entered into a license agreement with Bristol-Myers Squibb Company, E. R. Squibb &amp; Sons, L.L.C., and Ono Pharmaceutical Co., Ltd. to obtain a license under certain patents owned and/or exclusively licensed by one or more of those parties that includes the right to develop and sell Libtayo. Under the agreement, we and Sanofi made an up-front payment of $20.0 million and are obligated to pay royalties of 8.0% on worldwide sales of Libtayo through December 31, 2023, and royalties of 2.5% from January 1, 2024 through December 31, 2026. The up-front payment was shared, and the royalties are shared, equally by us and Sanofi.</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party will have the right to co-commercialize licensed products in countries where it is not the lead commercialization party. The parties share equally in profits and losses in connection with the commercialization of collaboration products. The Company is obligated to use commercially reasonable efforts to supply clinical requirements of each drug candidate under the IO License and Collaboration Agreement until commercial supplies of that IO drug candidate are being manufactured.</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the inception of the IO Collaboration, the Company's significant promised goods and services consisted of a license to certain rights and intellectual property and providing research and development services, including the manufacturing of clinical supplies. The Company concluded that the license was not distinct, primarily as a result of (i) Sanofi being unable to benefit on its own or together with other resources that are readily available as the license provides access to Regeneron's complex and specialized know-how and (ii) the research and development services, including manufacturing in support of such services, were expected to significantly modify the initial license. Therefore, the promised goods and services were considered a combined unit of account. Consequently, the $640.0 million in aggregate up-front payments made by Sanofi during 2015 in connection with the execution of the IO Collaboration was recorded within other liabilities and has been included in the transaction price.</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2020, we updated our estimate of the total research and development costs expected to be incurred (which resulted in a change to the estimate of the stage of completion) in connection with the Sanofi IO Collaboration, and, as a result, recorded a cumulative catch-up adjustment of $135.4 million to other operating income. During 2018, we updated our estimate of the total research and development costs expected to be incurred for this arrangement, including in connection with the termination of the 2015 IO Discovery Agreement, and, as result, a cumulative catch-up adjustment of $135.0 million was recorded to other operating income.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balances in connection with the Company's IO Collaboration with Sanofi:</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40" w:type="dxa"/>
            <w:vAlign w:val="bottom"/>
            <w:gridSpan w:val="5"/>
          </w:tcPr>
          <w:p>
            <w:pPr>
              <w:ind w:left="54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1920" w:type="dxa"/>
            <w:vAlign w:val="bottom"/>
          </w:tcPr>
          <w:p>
            <w:pPr>
              <w:spacing w:after="0"/>
              <w:rPr>
                <w:sz w:val="19"/>
                <w:szCs w:val="19"/>
                <w:color w:val="auto"/>
              </w:rPr>
            </w:pPr>
          </w:p>
        </w:tc>
        <w:tc>
          <w:tcPr>
            <w:tcW w:w="266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920" w:type="dxa"/>
            <w:vAlign w:val="bottom"/>
          </w:tcPr>
          <w:p>
            <w:pPr>
              <w:spacing w:after="0"/>
              <w:rPr>
                <w:sz w:val="19"/>
                <w:szCs w:val="19"/>
                <w:color w:val="auto"/>
              </w:rPr>
            </w:pPr>
          </w:p>
        </w:tc>
      </w:tr>
      <w:tr>
        <w:trPr>
          <w:trHeight w:val="223"/>
        </w:trPr>
        <w:tc>
          <w:tcPr>
            <w:tcW w:w="1920" w:type="dxa"/>
            <w:vAlign w:val="bottom"/>
          </w:tcPr>
          <w:p>
            <w:pPr>
              <w:spacing w:after="0"/>
              <w:rPr>
                <w:sz w:val="19"/>
                <w:szCs w:val="19"/>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4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920" w:type="dxa"/>
            <w:vAlign w:val="bottom"/>
          </w:tcPr>
          <w:p>
            <w:pPr>
              <w:spacing w:after="0"/>
              <w:rPr>
                <w:sz w:val="19"/>
                <w:szCs w:val="19"/>
                <w:color w:val="auto"/>
              </w:rPr>
            </w:pPr>
          </w:p>
        </w:tc>
      </w:tr>
      <w:tr>
        <w:trPr>
          <w:trHeight w:val="229"/>
        </w:trPr>
        <w:tc>
          <w:tcPr>
            <w:tcW w:w="1920" w:type="dxa"/>
            <w:vAlign w:val="bottom"/>
          </w:tcPr>
          <w:p>
            <w:pPr>
              <w:spacing w:after="0"/>
              <w:rPr>
                <w:sz w:val="19"/>
                <w:szCs w:val="19"/>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8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9.4</w:t>
            </w:r>
          </w:p>
        </w:tc>
        <w:tc>
          <w:tcPr>
            <w:tcW w:w="1920" w:type="dxa"/>
            <w:vAlign w:val="bottom"/>
          </w:tcPr>
          <w:p>
            <w:pPr>
              <w:spacing w:after="0"/>
              <w:rPr>
                <w:sz w:val="19"/>
                <w:szCs w:val="19"/>
                <w:color w:val="auto"/>
              </w:rPr>
            </w:pPr>
          </w:p>
        </w:tc>
      </w:tr>
      <w:tr>
        <w:trPr>
          <w:trHeight w:val="230"/>
        </w:trPr>
        <w:tc>
          <w:tcPr>
            <w:tcW w:w="1920" w:type="dxa"/>
            <w:vAlign w:val="bottom"/>
          </w:tcPr>
          <w:p>
            <w:pPr>
              <w:spacing w:after="0"/>
              <w:rPr>
                <w:sz w:val="19"/>
                <w:szCs w:val="19"/>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8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558.6</w:t>
            </w:r>
          </w:p>
        </w:tc>
        <w:tc>
          <w:tcPr>
            <w:tcW w:w="1920" w:type="dxa"/>
            <w:vAlign w:val="bottom"/>
          </w:tcPr>
          <w:p>
            <w:pPr>
              <w:spacing w:after="0"/>
              <w:rPr>
                <w:sz w:val="19"/>
                <w:szCs w:val="19"/>
                <w:color w:val="auto"/>
              </w:rPr>
            </w:pPr>
          </w:p>
        </w:tc>
      </w:tr>
      <w:tr>
        <w:trPr>
          <w:trHeight w:val="661"/>
        </w:trPr>
        <w:tc>
          <w:tcPr>
            <w:tcW w:w="19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820" w:type="dxa"/>
            <w:vAlign w:val="bottom"/>
            <w:gridSpan w:val="2"/>
          </w:tcPr>
          <w:p>
            <w:pPr>
              <w:jc w:val="right"/>
              <w:ind w:right="510"/>
              <w:spacing w:after="0"/>
              <w:rPr>
                <w:sz w:val="20"/>
                <w:szCs w:val="20"/>
                <w:color w:val="auto"/>
              </w:rPr>
            </w:pPr>
            <w:r>
              <w:rPr>
                <w:rFonts w:ascii="Arial" w:cs="Arial" w:eastAsia="Arial" w:hAnsi="Arial"/>
                <w:sz w:val="18"/>
                <w:szCs w:val="18"/>
                <w:color w:val="auto"/>
              </w:rPr>
              <w:t>F-20</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58"/>
        </w:trPr>
        <w:tc>
          <w:tcPr>
            <w:tcW w:w="192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5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2" w:name="page123"/>
    <w:bookmarkEnd w:id="1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REGENERON PHARMACEUTICALS, INC. NOTES TO CONSOLIDATED FINANCIAL STATEMENTS (Continued) </w:t>
      </w: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 include up-front payments received from Sanofi for which recognition has been deferred.</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 amount of the estimated consideration under the IO Collaboration related to the Company's obligation that was unsatisfied (or partially unsatisfied) as of December 31, 2020 was $557.5 million. This amount is expected to be recognized over the remaining period in which the Company is obligated to satisfy its obligation in connection with performing development activities.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Bayer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our Statements of Operations in connection with our Bayer EYLEA collaboration are as follows:</w:t>
      </w:r>
    </w:p>
    <w:p>
      <w:pPr>
        <w:spacing w:after="0" w:line="208"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2600" w:type="dxa"/>
            <w:vAlign w:val="bottom"/>
            <w:gridSpan w:val="2"/>
          </w:tcPr>
          <w:p>
            <w:pPr>
              <w:ind w:left="300"/>
              <w:spacing w:after="0"/>
              <w:rPr>
                <w:sz w:val="20"/>
                <w:szCs w:val="20"/>
                <w:color w:val="auto"/>
              </w:rPr>
            </w:pPr>
            <w:r>
              <w:rPr>
                <w:rFonts w:ascii="Arial" w:cs="Arial" w:eastAsia="Arial" w:hAnsi="Arial"/>
                <w:sz w:val="18"/>
                <w:szCs w:val="18"/>
                <w:b w:val="1"/>
                <w:bCs w:val="1"/>
                <w:color w:val="auto"/>
              </w:rPr>
              <w:t>Statement of Operations</w:t>
            </w:r>
          </w:p>
        </w:tc>
        <w:tc>
          <w:tcPr>
            <w:tcW w:w="2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p>
        </w:tc>
        <w:tc>
          <w:tcPr>
            <w:tcW w:w="2600" w:type="dxa"/>
            <w:vAlign w:val="bottom"/>
            <w:gridSpan w:val="2"/>
          </w:tcPr>
          <w:p>
            <w:pPr>
              <w:ind w:left="720"/>
              <w:spacing w:after="0"/>
              <w:rPr>
                <w:sz w:val="20"/>
                <w:szCs w:val="20"/>
                <w:color w:val="auto"/>
              </w:rPr>
            </w:pPr>
            <w:r>
              <w:rPr>
                <w:rFonts w:ascii="Arial" w:cs="Arial" w:eastAsia="Arial" w:hAnsi="Arial"/>
                <w:sz w:val="18"/>
                <w:szCs w:val="18"/>
                <w:b w:val="1"/>
                <w:bCs w:val="1"/>
                <w:color w:val="auto"/>
              </w:rPr>
              <w:t>Classification</w:t>
            </w:r>
          </w:p>
        </w:tc>
        <w:tc>
          <w:tcPr>
            <w:tcW w:w="26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2018</w:t>
            </w:r>
          </w:p>
        </w:tc>
        <w:tc>
          <w:tcPr>
            <w:tcW w:w="0" w:type="dxa"/>
            <w:vAlign w:val="bottom"/>
          </w:tcPr>
          <w:p>
            <w:pPr>
              <w:spacing w:after="0"/>
              <w:rPr>
                <w:sz w:val="1"/>
                <w:szCs w:val="1"/>
                <w:color w:val="auto"/>
              </w:rPr>
            </w:pPr>
          </w:p>
        </w:tc>
      </w:tr>
      <w:tr>
        <w:trPr>
          <w:trHeight w:val="169"/>
        </w:trPr>
        <w:tc>
          <w:tcPr>
            <w:tcW w:w="4080" w:type="dxa"/>
            <w:vAlign w:val="bottom"/>
            <w:tcBorders>
              <w:top w:val="single" w:sz="8" w:color="CCEEFF"/>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Regeneron's net profit in connection with</w:t>
            </w:r>
          </w:p>
        </w:tc>
        <w:tc>
          <w:tcPr>
            <w:tcW w:w="248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Bayer collaboration revenue</w:t>
            </w: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shd w:val="clear" w:color="auto" w:fill="CCEEFF"/>
          </w:tcPr>
          <w:p>
            <w:pPr>
              <w:ind w:left="180"/>
              <w:spacing w:after="0" w:line="162" w:lineRule="exact"/>
              <w:rPr>
                <w:sz w:val="20"/>
                <w:szCs w:val="20"/>
                <w:color w:val="auto"/>
              </w:rPr>
            </w:pPr>
            <w:r>
              <w:rPr>
                <w:rFonts w:ascii="Arial" w:cs="Arial" w:eastAsia="Arial" w:hAnsi="Arial"/>
                <w:sz w:val="18"/>
                <w:szCs w:val="18"/>
                <w:color w:val="auto"/>
              </w:rPr>
              <w:t>commercialization of EYLEA outside the United</w:t>
            </w:r>
          </w:p>
        </w:tc>
        <w:tc>
          <w:tcPr>
            <w:tcW w:w="2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1,107.9</w:t>
            </w: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1,091.4</w:t>
            </w:r>
          </w:p>
        </w:tc>
        <w:tc>
          <w:tcPr>
            <w:tcW w:w="12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992.3</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States</w:t>
            </w:r>
          </w:p>
        </w:tc>
        <w:tc>
          <w:tcPr>
            <w:tcW w:w="2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80" w:type="dxa"/>
            <w:vAlign w:val="bottom"/>
          </w:tcPr>
          <w:p>
            <w:pPr>
              <w:ind w:left="20"/>
              <w:spacing w:after="0" w:line="176" w:lineRule="exact"/>
              <w:rPr>
                <w:sz w:val="20"/>
                <w:szCs w:val="20"/>
                <w:color w:val="auto"/>
              </w:rPr>
            </w:pPr>
            <w:r>
              <w:rPr>
                <w:rFonts w:ascii="Arial" w:cs="Arial" w:eastAsia="Arial" w:hAnsi="Arial"/>
                <w:sz w:val="18"/>
                <w:szCs w:val="18"/>
                <w:color w:val="auto"/>
              </w:rPr>
              <w:t>Reimbursement for manufacturing of commercial</w:t>
            </w:r>
          </w:p>
        </w:tc>
        <w:tc>
          <w:tcPr>
            <w:tcW w:w="26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Bayer collaboration revenue</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15"/>
                <w:szCs w:val="15"/>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30"/>
        </w:trPr>
        <w:tc>
          <w:tcPr>
            <w:tcW w:w="4080" w:type="dxa"/>
            <w:vAlign w:val="bottom"/>
          </w:tcPr>
          <w:p>
            <w:pPr>
              <w:ind w:left="180"/>
              <w:spacing w:after="0"/>
              <w:rPr>
                <w:sz w:val="20"/>
                <w:szCs w:val="20"/>
                <w:color w:val="auto"/>
              </w:rPr>
            </w:pPr>
            <w:r>
              <w:rPr>
                <w:rFonts w:ascii="Arial" w:cs="Arial" w:eastAsia="Arial" w:hAnsi="Arial"/>
                <w:sz w:val="18"/>
                <w:szCs w:val="18"/>
                <w:color w:val="auto"/>
              </w:rPr>
              <w:t>supplies</w:t>
            </w: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Reimbursement of development expenses</w:t>
            </w:r>
          </w:p>
        </w:tc>
        <w:tc>
          <w:tcPr>
            <w:tcW w:w="26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Reduction of Research and</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development expense</w:t>
            </w:r>
          </w:p>
        </w:tc>
        <w:tc>
          <w:tcPr>
            <w:tcW w:w="2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80" w:type="dxa"/>
            <w:vAlign w:val="bottom"/>
          </w:tcPr>
          <w:p>
            <w:pPr>
              <w:ind w:left="20"/>
              <w:spacing w:after="0" w:line="176" w:lineRule="exact"/>
              <w:rPr>
                <w:sz w:val="20"/>
                <w:szCs w:val="20"/>
                <w:color w:val="auto"/>
              </w:rPr>
            </w:pPr>
            <w:r>
              <w:rPr>
                <w:rFonts w:ascii="Arial" w:cs="Arial" w:eastAsia="Arial" w:hAnsi="Arial"/>
                <w:sz w:val="18"/>
                <w:szCs w:val="18"/>
                <w:color w:val="auto"/>
                <w:w w:val="94"/>
              </w:rPr>
              <w:t>Regeneron's obligation for its share of Bayer research</w:t>
            </w:r>
          </w:p>
        </w:tc>
        <w:tc>
          <w:tcPr>
            <w:tcW w:w="26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Research and development</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5"/>
                <w:szCs w:val="15"/>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4080" w:type="dxa"/>
            <w:vAlign w:val="bottom"/>
          </w:tcPr>
          <w:p>
            <w:pPr>
              <w:ind w:left="180"/>
              <w:spacing w:after="0"/>
              <w:rPr>
                <w:sz w:val="20"/>
                <w:szCs w:val="20"/>
                <w:color w:val="auto"/>
              </w:rPr>
            </w:pPr>
            <w:r>
              <w:rPr>
                <w:rFonts w:ascii="Arial" w:cs="Arial" w:eastAsia="Arial" w:hAnsi="Arial"/>
                <w:sz w:val="18"/>
                <w:szCs w:val="18"/>
                <w:color w:val="auto"/>
              </w:rPr>
              <w:t>and development expenses</w:t>
            </w:r>
          </w:p>
        </w:tc>
        <w:tc>
          <w:tcPr>
            <w:tcW w:w="2600" w:type="dxa"/>
            <w:vAlign w:val="bottom"/>
            <w:gridSpan w:val="2"/>
          </w:tcPr>
          <w:p>
            <w:pPr>
              <w:ind w:left="180"/>
              <w:spacing w:after="0"/>
              <w:rPr>
                <w:sz w:val="20"/>
                <w:szCs w:val="20"/>
                <w:color w:val="auto"/>
              </w:rPr>
            </w:pPr>
            <w:r>
              <w:rPr>
                <w:rFonts w:ascii="Arial" w:cs="Arial" w:eastAsia="Arial" w:hAnsi="Arial"/>
                <w:sz w:val="18"/>
                <w:szCs w:val="18"/>
                <w:color w:val="auto"/>
              </w:rPr>
              <w:t>expense</w:t>
            </w:r>
          </w:p>
        </w:tc>
        <w:tc>
          <w:tcPr>
            <w:tcW w:w="26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Reimbursement of other expenses</w:t>
            </w:r>
          </w:p>
        </w:tc>
        <w:tc>
          <w:tcPr>
            <w:tcW w:w="26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Cost of collaboration and contract</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manufacturing</w:t>
            </w:r>
          </w:p>
        </w:tc>
        <w:tc>
          <w:tcPr>
            <w:tcW w:w="2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party to a license and collaboration agreement with Bayer for the global development and commercialization of EYLEA outside the United States. All agreed-upon EYLEA development expenses incurred by the Company and Bayer are shared equally. The Company is also obligated to use commercially reasonable efforts to supply clinical and commercial bulk product of EYLEA.</w:t>
      </w:r>
    </w:p>
    <w:p>
      <w:pPr>
        <w:spacing w:after="0" w:line="10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Bayer markets EYLEA outside the United States, where, for countries other than Japan, the companies share equally in profits and losses from sales of EYLEA. In Japan, the Company is currently entitled to receive a tiered percentage of between 33.5% and 40.0% of EYLEA net product sales through 2021, and thereafter, the companies will share equally in profits and losses from the sales of EYLEA. Within the United States, the Company is responsible for commercialization of EYLEA and retains exclusive rights to all profits from such commercialization in the United States. The Company is obligated to reimburse Bayer out of its share of the collaboration profits (including the Company's percentage of sales of EYLEA in Japan) for 50% of the agreed-upon development expenses that Bayer has incurred in accordance with a formula based on the amount of development expenses that Bayer has incurred and the Company's share of the collaboration profits, or at a faster rate at the Company's option. The Company's contingent reimbursement obligation to Bayer was approximately $276 million as of December 31, 2020.</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balances in connection with our Bayer EYLEA collaboration:</w:t>
      </w:r>
    </w:p>
    <w:p>
      <w:pPr>
        <w:spacing w:after="0" w:line="194" w:lineRule="exact"/>
        <w:rPr>
          <w:sz w:val="20"/>
          <w:szCs w:val="20"/>
          <w:color w:val="auto"/>
        </w:rPr>
      </w:pPr>
    </w:p>
    <w:p>
      <w:pPr>
        <w:jc w:val="center"/>
        <w:ind w:left="322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209994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55">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16" w:lineRule="exact"/>
        <w:rPr>
          <w:sz w:val="20"/>
          <w:szCs w:val="20"/>
          <w:color w:val="auto"/>
        </w:rPr>
      </w:pPr>
    </w:p>
    <w:p>
      <w:pPr>
        <w:ind w:left="6200"/>
        <w:spacing w:after="0"/>
        <w:tabs>
          <w:tab w:leader="none" w:pos="790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7" w:lineRule="exact"/>
        <w:rPr>
          <w:sz w:val="20"/>
          <w:szCs w:val="20"/>
          <w:color w:val="auto"/>
        </w:rPr>
      </w:pPr>
    </w:p>
    <w:tbl>
      <w:tblPr>
        <w:tblLayout w:type="fixed"/>
        <w:tblInd w:w="2360" w:type="dxa"/>
        <w:tblCellMar>
          <w:top w:w="0" w:type="dxa"/>
          <w:left w:w="0" w:type="dxa"/>
          <w:bottom w:w="0" w:type="dxa"/>
          <w:right w:w="0" w:type="dxa"/>
        </w:tblCellMar>
      </w:tblPr>
      <w:tr>
        <w:trPr>
          <w:trHeight w:val="223"/>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 - other</w:t>
            </w: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14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311.6</w:t>
            </w: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Deferred revenue</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99.7</w:t>
            </w:r>
          </w:p>
        </w:tc>
        <w:tc>
          <w:tcPr>
            <w:tcW w:w="140" w:type="dxa"/>
            <w:vAlign w:val="bottom"/>
          </w:tcPr>
          <w:p>
            <w:pPr>
              <w:spacing w:after="0"/>
              <w:rPr>
                <w:sz w:val="20"/>
                <w:szCs w:val="20"/>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123.0</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Teva</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and Teva are parties to a collaboration agreement (the "Teva Collaboration Agreement") to develop and commercialize fasinumab globally, excluding certain Asian countries that are subject to our collaboration agreement with Mitsubishi Tanabe Pharma Corporation. In connection with the Teva Collaboration Agreement, Teva made a $250.0 million non-refundable up-front payment. The Company leads global development activities, and the parties share development costs equally, on an ongoing basis, under a global development plan. The Company is also responsible for the manufacture and supply of fasinumab globally.</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3" w:name="page124"/>
    <w:bookmarkEnd w:id="1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REGENERON PHARMACEUTICALS, INC. NOTES TO CONSOLIDATED FINANCIAL STATEMENTS (Continued) </w:t>
      </w: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9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Within the United States, the Company will lead commercialization activities, and the parties will share equally in any profits and losses in connection with commercialization of fasinumab. In the territory outside the United States, Teva will lead commercialization activities and the Company will supply product to Teva at a tiered purchase price, which is calculated as a percentage of net sales of the product (subject to adjustment in certain circumstances).</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2018, the Company achieved a development milestone of $60.0 million. The Company is entitled to receive up to an aggregate of $340.0 million in additional development milestones and up to an aggregate of $1.890 billion in contingent payments upon achievement of specified annual net sales amounts.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the inception of the Teva Collaboration Agreement, the Company's significant promised goods and services consisted of a license to certain rights and intellectual property and providing research and development services, including the manufacturing of clinical supplies. The Company concluded that the license was not distinct, primarily as a result of (i) Teva being unable to benefit from the license on its own or together with other resources that are readily available as the license provides access to Regeneron's complex and specialized know-how and (ii) the research and development services, including manufacturing in support of such services, were expected to significantly modify the initial license. Therefore, the promised goods and services were considered a combined unit of account. Consequently, the $250.0 million up-front payment and development milestones received from Teva, as described above, have been recorded within other liabilities and included in the transaction price.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our Statements of Operations in connection with the Teva Collaboration Agreement are as follows: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880" w:right="280" w:hanging="161"/>
        <w:spacing w:after="0" w:line="235" w:lineRule="auto"/>
        <w:rPr>
          <w:sz w:val="20"/>
          <w:szCs w:val="20"/>
          <w:color w:val="auto"/>
        </w:rPr>
      </w:pPr>
      <w:r>
        <w:rPr>
          <w:rFonts w:ascii="Arial" w:cs="Arial" w:eastAsia="Arial" w:hAnsi="Arial"/>
          <w:sz w:val="18"/>
          <w:szCs w:val="18"/>
          <w:color w:val="auto"/>
        </w:rPr>
        <w:t>Reimbursement of research and development expenses</w:t>
      </w:r>
    </w:p>
    <w:p>
      <w:pPr>
        <w:spacing w:after="0" w:line="13" w:lineRule="exact"/>
        <w:rPr>
          <w:sz w:val="20"/>
          <w:szCs w:val="20"/>
          <w:color w:val="auto"/>
        </w:rPr>
      </w:pPr>
    </w:p>
    <w:p>
      <w:pPr>
        <w:jc w:val="right"/>
        <w:ind w:left="720"/>
        <w:spacing w:after="0" w:line="289" w:lineRule="auto"/>
        <w:rPr>
          <w:sz w:val="20"/>
          <w:szCs w:val="20"/>
          <w:color w:val="auto"/>
        </w:rPr>
      </w:pPr>
      <w:r>
        <w:rPr>
          <w:rFonts w:ascii="Arial" w:cs="Arial" w:eastAsia="Arial" w:hAnsi="Arial"/>
          <w:sz w:val="16"/>
          <w:szCs w:val="16"/>
          <w:color w:val="auto"/>
        </w:rPr>
        <w:t>Amounts recognized in connection with up-front and development milestone payments received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Statement of Operations</w:t>
            </w:r>
          </w:p>
        </w:tc>
        <w:tc>
          <w:tcPr>
            <w:tcW w:w="22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7"/>
          </w:tcPr>
          <w:p>
            <w:pPr>
              <w:jc w:val="right"/>
              <w:ind w:right="65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36"/>
        </w:trPr>
        <w:tc>
          <w:tcPr>
            <w:tcW w:w="2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Classification</w:t>
            </w: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169"/>
        </w:trPr>
        <w:tc>
          <w:tcPr>
            <w:tcW w:w="2480" w:type="dxa"/>
            <w:vAlign w:val="bottom"/>
            <w:tcBorders>
              <w:top w:val="single" w:sz="8" w:color="auto"/>
            </w:tcBorders>
          </w:tcPr>
          <w:p>
            <w:pPr>
              <w:jc w:val="right"/>
              <w:ind w:right="430"/>
              <w:spacing w:after="0" w:line="169" w:lineRule="exact"/>
              <w:rPr>
                <w:sz w:val="20"/>
                <w:szCs w:val="20"/>
                <w:color w:val="auto"/>
              </w:rPr>
            </w:pPr>
            <w:r>
              <w:rPr>
                <w:rFonts w:ascii="Arial" w:cs="Arial" w:eastAsia="Arial" w:hAnsi="Arial"/>
                <w:sz w:val="18"/>
                <w:szCs w:val="18"/>
                <w:color w:val="auto"/>
                <w:w w:val="88"/>
              </w:rPr>
              <w:t>Reduction of Research and</w:t>
            </w:r>
          </w:p>
        </w:tc>
        <w:tc>
          <w:tcPr>
            <w:tcW w:w="100" w:type="dxa"/>
            <w:vAlign w:val="bottom"/>
          </w:tcPr>
          <w:p>
            <w:pPr>
              <w:spacing w:after="0"/>
              <w:rPr>
                <w:sz w:val="14"/>
                <w:szCs w:val="14"/>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109.4</w:t>
            </w:r>
          </w:p>
        </w:tc>
        <w:tc>
          <w:tcPr>
            <w:tcW w:w="120" w:type="dxa"/>
            <w:vAlign w:val="bottom"/>
          </w:tcPr>
          <w:p>
            <w:pPr>
              <w:spacing w:after="0"/>
              <w:rPr>
                <w:sz w:val="14"/>
                <w:szCs w:val="14"/>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122.9</w:t>
            </w:r>
          </w:p>
        </w:tc>
        <w:tc>
          <w:tcPr>
            <w:tcW w:w="120" w:type="dxa"/>
            <w:vAlign w:val="bottom"/>
          </w:tcPr>
          <w:p>
            <w:pPr>
              <w:spacing w:after="0"/>
              <w:rPr>
                <w:sz w:val="14"/>
                <w:szCs w:val="14"/>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29"/>
        </w:trPr>
        <w:tc>
          <w:tcPr>
            <w:tcW w:w="2580" w:type="dxa"/>
            <w:vAlign w:val="bottom"/>
            <w:gridSpan w:val="2"/>
          </w:tcPr>
          <w:p>
            <w:pPr>
              <w:jc w:val="right"/>
              <w:ind w:right="840"/>
              <w:spacing w:after="0"/>
              <w:rPr>
                <w:sz w:val="20"/>
                <w:szCs w:val="20"/>
                <w:color w:val="auto"/>
              </w:rPr>
            </w:pPr>
            <w:r>
              <w:rPr>
                <w:rFonts w:ascii="Arial" w:cs="Arial" w:eastAsia="Arial" w:hAnsi="Arial"/>
                <w:sz w:val="18"/>
                <w:szCs w:val="18"/>
                <w:color w:val="auto"/>
                <w:w w:val="97"/>
              </w:rPr>
              <w:t>development expense</w:t>
            </w:r>
          </w:p>
        </w:tc>
        <w:tc>
          <w:tcPr>
            <w:tcW w:w="22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80" w:type="dxa"/>
            <w:vAlign w:val="bottom"/>
            <w:gridSpan w:val="2"/>
          </w:tcPr>
          <w:p>
            <w:pPr>
              <w:jc w:val="right"/>
              <w:ind w:right="860"/>
              <w:spacing w:after="0"/>
              <w:rPr>
                <w:sz w:val="20"/>
                <w:szCs w:val="20"/>
                <w:color w:val="auto"/>
              </w:rPr>
            </w:pPr>
            <w:r>
              <w:rPr>
                <w:rFonts w:ascii="Arial" w:cs="Arial" w:eastAsia="Arial" w:hAnsi="Arial"/>
                <w:sz w:val="18"/>
                <w:szCs w:val="18"/>
                <w:color w:val="auto"/>
                <w:w w:val="90"/>
              </w:rPr>
              <w:t>Other operating income</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20"/>
                <w:szCs w:val="20"/>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82.2</w:t>
            </w:r>
          </w:p>
        </w:tc>
        <w:tc>
          <w:tcPr>
            <w:tcW w:w="120" w:type="dxa"/>
            <w:vAlign w:val="bottom"/>
          </w:tcPr>
          <w:p>
            <w:pPr>
              <w:spacing w:after="0"/>
              <w:rPr>
                <w:sz w:val="20"/>
                <w:szCs w:val="20"/>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176"/>
        </w:trPr>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-522605</wp:posOffset>
            </wp:positionV>
            <wp:extent cx="6249035" cy="2660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57">
                      <a:extLst>
                        <a:ext uri="{28A0092B-C50C-407E-A947-70E740481C1C}"/>
                      </a:extLst>
                    </a:blip>
                    <a:srcRect/>
                    <a:stretch>
                      <a:fillRect/>
                    </a:stretch>
                  </pic:blipFill>
                  <pic:spPr bwMode="auto">
                    <a:xfrm>
                      <a:off x="0" y="0"/>
                      <a:ext cx="6249035" cy="266065"/>
                    </a:xfrm>
                    <a:prstGeom prst="rect">
                      <a:avLst/>
                    </a:prstGeom>
                    <a:noFill/>
                  </pic:spPr>
                </pic:pic>
              </a:graphicData>
            </a:graphic>
          </wp:anchor>
        </w:drawing>
      </w:r>
    </w:p>
    <w:p>
      <w:pPr>
        <w:spacing w:after="0" w:line="228" w:lineRule="exact"/>
        <w:rPr>
          <w:sz w:val="20"/>
          <w:szCs w:val="20"/>
          <w:color w:val="auto"/>
        </w:rPr>
      </w:pPr>
    </w:p>
    <w:p>
      <w:pPr>
        <w:sectPr>
          <w:pgSz w:w="11900" w:h="16838" w:orient="portrait"/>
          <w:cols w:equalWidth="0" w:num="2">
            <w:col w:w="4260" w:space="280"/>
            <w:col w:w="6700"/>
          </w:cols>
          <w:pgMar w:left="320" w:top="130" w:right="339" w:bottom="1440" w:gutter="0" w:footer="0" w:header="0"/>
          <w:type w:val="continuous"/>
        </w:sectPr>
      </w:pPr>
    </w:p>
    <w:p>
      <w:pPr>
        <w:jc w:val="both"/>
        <w:spacing w:after="0" w:line="263" w:lineRule="auto"/>
        <w:rPr>
          <w:sz w:val="20"/>
          <w:szCs w:val="20"/>
          <w:color w:val="auto"/>
        </w:rPr>
      </w:pPr>
      <w:r>
        <w:rPr>
          <w:rFonts w:ascii="Arial" w:cs="Arial" w:eastAsia="Arial" w:hAnsi="Arial"/>
          <w:sz w:val="18"/>
          <w:szCs w:val="18"/>
          <w:color w:val="auto"/>
        </w:rPr>
        <w:t>During 2020, we updated our estimate of the total research and development costs expected to be incurred (which resulted in a change to the estimate of the stage of completion) in connection with the Teva Collaboration Agreement, and, as a result, recognized a cumulative catch-up adjustment of $25.6 million as a reduction to other operating income.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balances in connection with the Teva Collaboration Agreement:</w:t>
      </w:r>
    </w:p>
    <w:p>
      <w:pPr>
        <w:spacing w:after="0" w:line="194" w:lineRule="exact"/>
        <w:rPr>
          <w:sz w:val="20"/>
          <w:szCs w:val="20"/>
          <w:color w:val="auto"/>
        </w:rPr>
      </w:pPr>
    </w:p>
    <w:p>
      <w:pPr>
        <w:jc w:val="center"/>
        <w:ind w:left="410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20916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58">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16" w:lineRule="exact"/>
        <w:rPr>
          <w:sz w:val="20"/>
          <w:szCs w:val="20"/>
          <w:color w:val="auto"/>
        </w:rPr>
      </w:pPr>
    </w:p>
    <w:p>
      <w:pPr>
        <w:ind w:left="6640"/>
        <w:spacing w:after="0"/>
        <w:tabs>
          <w:tab w:leader="none" w:pos="832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7" w:lineRule="exact"/>
        <w:rPr>
          <w:sz w:val="20"/>
          <w:szCs w:val="20"/>
          <w:color w:val="auto"/>
        </w:rPr>
      </w:pPr>
    </w:p>
    <w:tbl>
      <w:tblPr>
        <w:tblLayout w:type="fixed"/>
        <w:tblInd w:w="1920" w:type="dxa"/>
        <w:tblCellMar>
          <w:top w:w="0" w:type="dxa"/>
          <w:left w:w="0" w:type="dxa"/>
          <w:bottom w:w="0" w:type="dxa"/>
          <w:right w:w="0" w:type="dxa"/>
        </w:tblCellMar>
      </w:tblPr>
      <w:tr>
        <w:trPr>
          <w:trHeight w:val="223"/>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 other</w:t>
            </w:r>
          </w:p>
        </w:tc>
        <w:tc>
          <w:tcPr>
            <w:tcW w:w="66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114.4</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 include up-front and development milestone payments received from Teva for which recognition has been deferred.</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 amount of the estimated consideration under the Teva Collaboration Agreement related to the Company's obligation that was unsatisfied (or partially unsatisfied) as of December 31, 2020 was $155.9 million. This amount is expected to be recognized over the remaining period in which the Company is obligated to satisfy its obligation in connection with performing development activities.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Intellia</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2016, we entered into a license and collaboration agreement with Intellia Therapeutics, Inc. to advance CRISPR/Cas9 gene-editing technology for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therapeutic development. The parties collaborate to conduct research for the discovery, development, and commercialization of new therapies,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to the research and technology development of the CRISPR/Cas9 platform.</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Under the terms of the 2016 agreement, the parties agreed to a target selection process, whereby the Company may obtain exclusive rights in up to 10 targets to be chosen by the Company during the collaboration term, subject to various adjustments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24" w:name="page125"/>
    <w:bookmarkEnd w:id="1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REGENERON PHARMACEUTICALS, INC. NOTES TO CONSOLIDATED FINANCIAL STATEMENTS (Continued) </w:t>
      </w: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and limitations set forth in the agreement. Certain targets that either we or Intellia select pursuant to the target selection process may be subject to a co-development and co-commercialization arrangement at our option or Intellia’s option, as applicable.</w:t>
      </w:r>
    </w:p>
    <w:p>
      <w:pPr>
        <w:spacing w:after="0" w:line="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May 2020, we expanded our existing collaboration with Intellia to provide us with rights to develop products for additional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CRISPR/Cas9-based therapeutic targets and for the parties to jointly develop potential products for the treatment of hemophilia A and B. In addition, we also received non-exclusive rights to independently develop and commercialize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gene edited products. In connection with the agreement, we made a $70.0 million up-front payment, which was recorded to Research and development expense in 2020, and purchased 925,218 shares of Intellia common stock for an aggregate purchase price of $30.0 million. The amount paid in excess of the fair market value of the shares purchased, or $15.0 million, was also recorded to Research and development expense in 2020.</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U.S. Government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REGEN-COV</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first quarter of 2020, we announced an expansion of our Other Transaction Agreement ("OTA") with the Biomedical Advanced Research Development Authority ("BARDA"), pursuant to which the U.S. Department of Health and Human Services ("HHS") was obligated to fund certain of our costs incurred for research and development activities related to COVID-19 treatments. In July 2020, we entered into an agreement with entities acting at the direction of BARDA and the U.S. Department of Defense to manufacture and deliver filled and finished drug product of REGEN-COV to the U.S. government. The agreement, as subsequently amended, could result in payments to the Company of up to $465.9 million in the aggregate for bulk manufacturing of the drug substance, as well as fill/finish, storage, and other activities. See Note 2 for REGEN-COV net product sales recognized in connection with this agreement during 2020.</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January 2021, the Company announced an agreement with an entity acting on behalf of the U.S. Department of Defense and HHS to manufacture and deliver additional filled and finished drug product of REGEN-COV to the U.S. government. Pursuant to the agreement, the U.S. government is obligated to purchase all filled and finished doses of drug product delivered by June 30, 2021, and may accept doses during the period from July 1, 2021 through September 30, 2021 at its discretion. The U.S. government will acquire doses at the lowest treatment dose authorized or approved by the FDA for the indication authorized under the EUA, resulting in payments to the Company of up to $2.625 billion in the aggregate. A number of factors may impact available filled and finished supply by June 30, 2021, including manufacturing considerations and authorized dose level.</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Roche</w:t>
      </w:r>
    </w:p>
    <w:p>
      <w:pPr>
        <w:spacing w:after="0" w:line="14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August 2020, we entered into a collaboration agreement with Roche to develop, manufacture, and distribute REGEN-COV. We will continue to lead global development activities for REGEN-COV, and the parties will jointly fund certain ongoing studies, as well as any mutually agreed additional new global studies to evaluate further the potential of REGEN-COV in treating or preventing COVID-19. Roche will be responsible for securing regulatory approvals outside the United States, following the initial European Medicines Agency ("EMA") approval (if any), and conducting any additional studies specifically required for approval by regulators outside the United States.</w:t>
      </w:r>
    </w:p>
    <w:p>
      <w:pPr>
        <w:spacing w:after="0" w:line="12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Under the terms of the agreement, each party is obligated to dedicate a certain amount of manufacturing capacity to REGEN-COV each year. We will distribute the product in the United States and Roche will distribute the product outside of the United States. The parties will share gross profits from worldwide sales based on a pre-specified formula, depending on the amount of manufactured product supplied by each party to the market. Any profit sharing will commence after product manufactured by Roche receives regulatory authorization.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During 2020, we recorded $78.5 million of reimbursements received from Roche as a reduction of Research and development expense.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5" w:name="page126"/>
    <w:bookmarkEnd w:id="1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REGENERON PHARMACEUTICALS, INC. NOTES TO CONSOLIDATED FINANCIAL STATEMENTS (Continued) </w:t>
      </w: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Alnylam</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April 2019, the Company and Alnylam Pharmaceuticals, Inc. entered into a global, strategic collaboration to discover, develop, and commercialize RNA interference ("RNAi") therapeutics for a broad range of diseases by addressing therapeutic disease targets expressed in the eye and central nervous system ("CNS"), in addition to a select number of targets expressed in the liver. The collaboration is governed by a Master Collaboration Agreement (the "Master Agreement") (including the form of a License Agreement and a Co-Commercialization Collaboration Agreement). Under the terms of the Master Agreement, we made an up-front payment of $400.0 million to Alnylam, which was recorded in Research and development expense during 2019. For each program, we will provide Alnylam with a specified amount of funding at program initiation and at lead candidate designation, and Alnylam is eligible to receive up to an aggregate of $200.0 million in clinical proof-of-principle milestones for eye or CNS programs.</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collaboration, the parties plan to perform discovery research until designation of lead candidates. Following designation of a lead candidate, the parties may further advance such lead candidate under either a License Agreement or a Co-Commercialization Collaboration Agreement structure. The initial target nomination and discovery period is five years (which may under certain situations automatically be extended for up to seven years in the aggregate) (the "Research Term"). In addition, we have an option to extend the Research Term for an additional five-year period for a research extension fee ranging from $200.0 million to $400.0 million; the actual amount of the fee will be determined based on the acceptance of one or more INDs (or their equivalent in certain other countries) for programs in the eye and CNS.</w:t>
      </w:r>
    </w:p>
    <w:p>
      <w:pPr>
        <w:spacing w:after="0" w:line="1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connection with the collaboration, we and Alnylam also entered into a Stock Purchase Agreement. Pursuant to the terms of the Stock Purchase Agreement, we purchased shares of Alnylam common stock for aggregate cash consideration of $400.0 million.</w:t>
      </w:r>
    </w:p>
    <w:p>
      <w:pPr>
        <w:spacing w:after="0" w:line="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August 2019, the parties entered into a Co-Commercialization Collaboration Agreement for a silencing RNA ("siRNA") therapeutic targeting the C5 component of the human complement pathway being developed by Alnylam, with Alnylam as the lead party, and a License Agreement for a combination product consisting of such siRNA therapeutic (cemdisiran) and a fully human monoclonal antibody targeting C5 being developed by us (pozelimab), with us as the licensee. The C5 siRNA Co-Commercialization Collaboration Agreement is consistent with the financial terms contained in the form of the existing Co-Commercialization Collaboration Agreement with Alnylam and the parties will share in development expenses equally. The C5 siRNA License Agreement contains a flat low double-digit royalty payable to Alnylam on our potential future net sales of the combination product only subject to customary reductions, as well as up to $325.0 million in commercial milestones.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Other</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to the collaboration agreements discussed above, the Company has various other collaboration agreements that are not individually significant to its operating results or financial condition at this time. Pursuant to the terms of those agreements, the Company may be required to pay, or it may receive, additional amounts upon the achievement of various development and commercial milestones which in the aggregate could be significant. The Company may also incur, or get reimbursed for, significant research and development costs if the related product candidate(s) were to advance to late stage clinical trials. In addition, if any products related to these collaborations are approved for sale, the Company may be required to pay, or it may receive, royalties on future sales. The payment or receipt of these amounts, however, is contingent upon the occurrence of various future events.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1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Marketable securities as of December 31, 2020 and 2019 consist of both available-for-sale debt securities of investment grade issuers (see below and Note 5) as well as equity securities of publicly traded companies (see Note 5).</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investments in available-for-sale debt securities: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6" w:name="page127"/>
    <w:bookmarkEnd w:id="1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REGENERON PHARMACEUTICALS, INC. NOTES TO CONSOLIDATED FINANCIAL STATEMENTS (Continued) </w:t>
      </w: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Amortized</w:t>
            </w:r>
          </w:p>
        </w:tc>
        <w:tc>
          <w:tcPr>
            <w:tcW w:w="240" w:type="dxa"/>
            <w:vAlign w:val="bottom"/>
          </w:tcPr>
          <w:p>
            <w:pPr>
              <w:spacing w:after="0"/>
              <w:rPr>
                <w:sz w:val="20"/>
                <w:szCs w:val="20"/>
                <w:color w:val="auto"/>
              </w:rPr>
            </w:pPr>
          </w:p>
        </w:tc>
        <w:tc>
          <w:tcPr>
            <w:tcW w:w="2380" w:type="dxa"/>
            <w:vAlign w:val="bottom"/>
            <w:gridSpan w:val="5"/>
          </w:tcPr>
          <w:p>
            <w:pPr>
              <w:ind w:left="600"/>
              <w:spacing w:after="0"/>
              <w:rPr>
                <w:sz w:val="20"/>
                <w:szCs w:val="20"/>
                <w:color w:val="auto"/>
              </w:rPr>
            </w:pPr>
            <w:r>
              <w:rPr>
                <w:rFonts w:ascii="Arial" w:cs="Arial" w:eastAsia="Arial" w:hAnsi="Arial"/>
                <w:sz w:val="18"/>
                <w:szCs w:val="18"/>
                <w:b w:val="1"/>
                <w:bCs w:val="1"/>
                <w:color w:val="auto"/>
              </w:rPr>
              <w:t>Unrealized</w:t>
            </w:r>
          </w:p>
        </w:tc>
        <w:tc>
          <w:tcPr>
            <w:tcW w:w="24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Fair</w:t>
            </w:r>
          </w:p>
        </w:tc>
      </w:tr>
      <w:tr>
        <w:trPr>
          <w:trHeight w:val="183"/>
        </w:trPr>
        <w:tc>
          <w:tcPr>
            <w:tcW w:w="6060" w:type="dxa"/>
            <w:vAlign w:val="bottom"/>
            <w:gridSpan w:val="3"/>
          </w:tcPr>
          <w:p>
            <w:pPr>
              <w:ind w:left="20"/>
              <w:spacing w:after="0" w:line="182" w:lineRule="exact"/>
              <w:rPr>
                <w:sz w:val="20"/>
                <w:szCs w:val="20"/>
                <w:color w:val="auto"/>
              </w:rPr>
            </w:pPr>
            <w:r>
              <w:rPr>
                <w:rFonts w:ascii="Arial" w:cs="Arial" w:eastAsia="Arial" w:hAnsi="Arial"/>
                <w:sz w:val="18"/>
                <w:szCs w:val="18"/>
                <w:b w:val="1"/>
                <w:bCs w:val="1"/>
                <w:color w:val="auto"/>
              </w:rPr>
              <w:t>As of December 31, 2020</w:t>
            </w:r>
          </w:p>
        </w:tc>
        <w:tc>
          <w:tcPr>
            <w:tcW w:w="140" w:type="dxa"/>
            <w:vAlign w:val="bottom"/>
          </w:tcPr>
          <w:p>
            <w:pPr>
              <w:spacing w:after="0"/>
              <w:rPr>
                <w:sz w:val="15"/>
                <w:szCs w:val="15"/>
                <w:color w:val="auto"/>
              </w:rPr>
            </w:pPr>
          </w:p>
        </w:tc>
        <w:tc>
          <w:tcPr>
            <w:tcW w:w="1160" w:type="dxa"/>
            <w:vAlign w:val="bottom"/>
            <w:gridSpan w:val="2"/>
          </w:tcPr>
          <w:p>
            <w:pPr>
              <w:ind w:left="60"/>
              <w:spacing w:after="0" w:line="182" w:lineRule="exact"/>
              <w:rPr>
                <w:sz w:val="20"/>
                <w:szCs w:val="20"/>
                <w:color w:val="auto"/>
              </w:rPr>
            </w:pPr>
            <w:r>
              <w:rPr>
                <w:rFonts w:ascii="Arial" w:cs="Arial" w:eastAsia="Arial" w:hAnsi="Arial"/>
                <w:sz w:val="18"/>
                <w:szCs w:val="18"/>
                <w:b w:val="1"/>
                <w:bCs w:val="1"/>
                <w:color w:val="auto"/>
              </w:rPr>
              <w:t>Cost Basis</w:t>
            </w:r>
          </w:p>
        </w:tc>
        <w:tc>
          <w:tcPr>
            <w:tcW w:w="2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tcPr>
          <w:p>
            <w:pPr>
              <w:ind w:left="120"/>
              <w:spacing w:after="0" w:line="182" w:lineRule="exact"/>
              <w:rPr>
                <w:sz w:val="20"/>
                <w:szCs w:val="20"/>
                <w:color w:val="auto"/>
              </w:rPr>
            </w:pPr>
            <w:r>
              <w:rPr>
                <w:rFonts w:ascii="Arial" w:cs="Arial" w:eastAsia="Arial" w:hAnsi="Arial"/>
                <w:sz w:val="18"/>
                <w:szCs w:val="18"/>
                <w:b w:val="1"/>
                <w:bCs w:val="1"/>
                <w:color w:val="auto"/>
              </w:rPr>
              <w:t>Gains</w:t>
            </w:r>
          </w:p>
        </w:tc>
        <w:tc>
          <w:tcPr>
            <w:tcW w:w="2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ind w:left="120"/>
              <w:spacing w:after="0" w:line="182" w:lineRule="exact"/>
              <w:rPr>
                <w:sz w:val="20"/>
                <w:szCs w:val="20"/>
                <w:color w:val="auto"/>
              </w:rPr>
            </w:pPr>
            <w:r>
              <w:rPr>
                <w:rFonts w:ascii="Arial" w:cs="Arial" w:eastAsia="Arial" w:hAnsi="Arial"/>
                <w:sz w:val="18"/>
                <w:szCs w:val="18"/>
                <w:b w:val="1"/>
                <w:bCs w:val="1"/>
                <w:color w:val="auto"/>
              </w:rPr>
              <w:t>Losses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310"/>
              <w:spacing w:after="0" w:line="182" w:lineRule="exact"/>
              <w:rPr>
                <w:sz w:val="20"/>
                <w:szCs w:val="20"/>
                <w:color w:val="auto"/>
              </w:rPr>
            </w:pPr>
            <w:r>
              <w:rPr>
                <w:rFonts w:ascii="Arial" w:cs="Arial" w:eastAsia="Arial" w:hAnsi="Arial"/>
                <w:sz w:val="18"/>
                <w:szCs w:val="18"/>
                <w:b w:val="1"/>
                <w:bCs w:val="1"/>
                <w:color w:val="auto"/>
              </w:rPr>
              <w:t>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3"/>
        </w:trPr>
        <w:tc>
          <w:tcPr>
            <w:tcW w:w="6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7"/>
              </w:rPr>
              <w:t>(0.2)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3,090.3</w:t>
            </w:r>
          </w:p>
        </w:tc>
      </w:tr>
      <w:tr>
        <w:trPr>
          <w:trHeight w:val="229"/>
        </w:trPr>
        <w:tc>
          <w:tcPr>
            <w:tcW w:w="6060" w:type="dxa"/>
            <w:vAlign w:val="bottom"/>
            <w:gridSpan w:val="3"/>
          </w:tcPr>
          <w:p>
            <w:pPr>
              <w:ind w:left="20"/>
              <w:spacing w:after="0"/>
              <w:rPr>
                <w:sz w:val="20"/>
                <w:szCs w:val="20"/>
                <w:color w:val="auto"/>
              </w:rPr>
            </w:pPr>
            <w:r>
              <w:rPr>
                <w:rFonts w:ascii="Arial" w:cs="Arial" w:eastAsia="Arial" w:hAnsi="Arial"/>
                <w:sz w:val="18"/>
                <w:szCs w:val="18"/>
                <w:color w:val="auto"/>
              </w:rPr>
              <w:t>U.S. government and government agency obligations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128.9</w:t>
            </w:r>
          </w:p>
        </w:tc>
      </w:tr>
      <w:tr>
        <w:trPr>
          <w:trHeight w:val="230"/>
        </w:trPr>
        <w:tc>
          <w:tcPr>
            <w:tcW w:w="6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Sovereign bonds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29"/>
        </w:trPr>
        <w:tc>
          <w:tcPr>
            <w:tcW w:w="6060" w:type="dxa"/>
            <w:vAlign w:val="bottom"/>
            <w:gridSpan w:val="3"/>
          </w:tcPr>
          <w:p>
            <w:pPr>
              <w:ind w:left="20"/>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276.1</w:t>
            </w:r>
          </w:p>
        </w:tc>
      </w:tr>
      <w:tr>
        <w:trPr>
          <w:trHeight w:val="229"/>
        </w:trPr>
        <w:tc>
          <w:tcPr>
            <w:tcW w:w="6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r>
      <w:tr>
        <w:trPr>
          <w:trHeight w:val="223"/>
        </w:trPr>
        <w:tc>
          <w:tcPr>
            <w:tcW w:w="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3,649.2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w w:val="97"/>
              </w:rPr>
              <w:t>(0.2)</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3,689.1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4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189"/>
        </w:trPr>
        <w:tc>
          <w:tcPr>
            <w:tcW w:w="6060" w:type="dxa"/>
            <w:vAlign w:val="bottom"/>
            <w:gridSpan w:val="3"/>
          </w:tcPr>
          <w:p>
            <w:pPr>
              <w:ind w:left="20"/>
              <w:spacing w:after="0" w:line="189" w:lineRule="exact"/>
              <w:rPr>
                <w:sz w:val="20"/>
                <w:szCs w:val="20"/>
                <w:color w:val="auto"/>
              </w:rPr>
            </w:pPr>
            <w:r>
              <w:rPr>
                <w:rFonts w:ascii="Arial" w:cs="Arial" w:eastAsia="Arial" w:hAnsi="Arial"/>
                <w:sz w:val="18"/>
                <w:szCs w:val="18"/>
                <w:b w:val="1"/>
                <w:bCs w:val="1"/>
                <w:color w:val="auto"/>
              </w:rPr>
              <w:t>As of December 31, 2019</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900" w:type="dxa"/>
            <w:vAlign w:val="bottom"/>
            <w:tcBorders>
              <w:top w:val="single" w:sz="8" w:color="auto"/>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9"/>
        </w:trPr>
        <w:tc>
          <w:tcPr>
            <w:tcW w:w="6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7"/>
              </w:rPr>
              <w:t>(0.2)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3,988.1</w:t>
            </w:r>
          </w:p>
        </w:tc>
      </w:tr>
      <w:tr>
        <w:trPr>
          <w:trHeight w:val="229"/>
        </w:trPr>
        <w:tc>
          <w:tcPr>
            <w:tcW w:w="6060" w:type="dxa"/>
            <w:vAlign w:val="bottom"/>
            <w:gridSpan w:val="3"/>
          </w:tcPr>
          <w:p>
            <w:pPr>
              <w:ind w:left="20"/>
              <w:spacing w:after="0"/>
              <w:rPr>
                <w:sz w:val="20"/>
                <w:szCs w:val="20"/>
                <w:color w:val="auto"/>
              </w:rPr>
            </w:pPr>
            <w:r>
              <w:rPr>
                <w:rFonts w:ascii="Arial" w:cs="Arial" w:eastAsia="Arial" w:hAnsi="Arial"/>
                <w:sz w:val="18"/>
                <w:szCs w:val="18"/>
                <w:color w:val="auto"/>
              </w:rPr>
              <w:t>U.S. government and government agency obligations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ind w:left="600"/>
              <w:spacing w:after="0"/>
              <w:rPr>
                <w:sz w:val="20"/>
                <w:szCs w:val="20"/>
                <w:color w:val="auto"/>
              </w:rPr>
            </w:pPr>
            <w:r>
              <w:rPr>
                <w:rFonts w:ascii="Arial" w:cs="Arial" w:eastAsia="Arial" w:hAnsi="Arial"/>
                <w:sz w:val="18"/>
                <w:szCs w:val="18"/>
                <w:color w:val="auto"/>
                <w:w w:val="97"/>
              </w:rPr>
              <w:t>(0.1)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54.4</w:t>
            </w:r>
          </w:p>
        </w:tc>
      </w:tr>
      <w:tr>
        <w:trPr>
          <w:trHeight w:val="230"/>
        </w:trPr>
        <w:tc>
          <w:tcPr>
            <w:tcW w:w="6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Sovereign bonds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29"/>
        </w:trPr>
        <w:tc>
          <w:tcPr>
            <w:tcW w:w="6060" w:type="dxa"/>
            <w:vAlign w:val="bottom"/>
            <w:gridSpan w:val="3"/>
          </w:tcPr>
          <w:p>
            <w:pPr>
              <w:ind w:left="20"/>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92.3</w:t>
            </w:r>
          </w:p>
        </w:tc>
      </w:tr>
      <w:tr>
        <w:trPr>
          <w:trHeight w:val="230"/>
        </w:trPr>
        <w:tc>
          <w:tcPr>
            <w:tcW w:w="6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r>
      <w:tr>
        <w:trPr>
          <w:trHeight w:val="223"/>
        </w:trPr>
        <w:tc>
          <w:tcPr>
            <w:tcW w:w="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4,206.3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w w:val="97"/>
              </w:rPr>
              <w:t>(0.3)</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4,234.5</w:t>
            </w:r>
          </w:p>
        </w:tc>
      </w:tr>
      <w:tr>
        <w:trPr>
          <w:trHeight w:val="21"/>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classifies its investments in available-for-sale debt securities based on their contractual maturity dates. The available-for-sale debt securities listed as of December 31, 2020 mature at various dates through October 2025. The fair values of available-for-sale debt security investments by contractual maturity consist of the following:</w:t>
      </w:r>
    </w:p>
    <w:p>
      <w:pPr>
        <w:spacing w:after="0" w:line="153" w:lineRule="exact"/>
        <w:rPr>
          <w:sz w:val="20"/>
          <w:szCs w:val="20"/>
          <w:color w:val="auto"/>
        </w:rPr>
      </w:pPr>
    </w:p>
    <w:tbl>
      <w:tblPr>
        <w:tblLayout w:type="fixed"/>
        <w:tblInd w:w="184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50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22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Maturities within one year</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1,596.5</w:t>
            </w:r>
          </w:p>
        </w:tc>
      </w:tr>
      <w:tr>
        <w:trPr>
          <w:trHeight w:val="230"/>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Maturities after one year through five years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2,638.0</w:t>
            </w:r>
          </w:p>
        </w:tc>
      </w:tr>
      <w:tr>
        <w:trPr>
          <w:trHeight w:val="248"/>
        </w:trPr>
        <w:tc>
          <w:tcPr>
            <w:tcW w:w="50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4,234.5</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Unrealized losses of our available-for-sale debt securities that had been in a continuous loss position, for both less than and greater than 12 months, were not material for the years ended December 31, 2020 and 2019.</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Realized gains on sales of marketable securities for the year ended December 31, 2020 were $29.0 million and realized gains were not material for the years ended December 31, 2019 and 2018. Realized losses on sales of marketable securities were not material for the years ended December 31, 2020 and 2018 and there were no realized losses for the year ended December 31, 2019.</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respect to marketable securities, for the years ended December 31, 2020, 2019, and 2018, amounts reclassified from Accumulated other comprehensive income (loss) into Other income (expense), net were related to realized gains and losses on sales of available-for-sale debt securities (as described above).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7" w:name="page128"/>
    <w:bookmarkEnd w:id="1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REGENERON PHARMACEUTICALS, INC. NOTES TO CONSOLIDATED FINANCIAL STATEMENTS (Continued) </w:t>
      </w: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summarizes the Company's assets which are measured at fair value on a recurring basis. The following fair value hierarchy is used to classify assets, based on inputs to valuation techniques utilized to measure fair value:</w:t>
      </w:r>
    </w:p>
    <w:p>
      <w:pPr>
        <w:spacing w:after="0" w:line="103"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w:t>
      </w:r>
    </w:p>
    <w:p>
      <w:pPr>
        <w:spacing w:after="0" w:line="23" w:lineRule="exact"/>
        <w:rPr>
          <w:rFonts w:ascii="Arial" w:cs="Arial" w:eastAsia="Arial" w:hAnsi="Arial"/>
          <w:sz w:val="18"/>
          <w:szCs w:val="18"/>
          <w:color w:val="auto"/>
        </w:rPr>
      </w:pPr>
    </w:p>
    <w:p>
      <w:pPr>
        <w:ind w:left="660" w:hanging="328"/>
        <w:spacing w:after="0" w:line="265" w:lineRule="auto"/>
        <w:tabs>
          <w:tab w:leader="none" w:pos="655" w:val="left"/>
        </w:tabs>
        <w:numPr>
          <w:ilvl w:val="0"/>
          <w:numId w:val="58"/>
        </w:numPr>
        <w:rPr>
          <w:rFonts w:ascii="Arial" w:cs="Arial" w:eastAsia="Arial" w:hAnsi="Arial"/>
          <w:sz w:val="17"/>
          <w:szCs w:val="17"/>
          <w:color w:val="auto"/>
        </w:rPr>
      </w:pPr>
      <w:r>
        <w:rPr>
          <w:rFonts w:ascii="Arial" w:cs="Arial" w:eastAsia="Arial" w:hAnsi="Arial"/>
          <w:sz w:val="17"/>
          <w:szCs w:val="17"/>
          <w:color w:val="auto"/>
        </w:rPr>
        <w:t>Level 2 - Significant other observable inputs, such as quoted market prices for similar instruments in active markets, quoted prices for identical or similar instruments in markets that are not active, or model-based valuations in which significant inputs used are observable</w:t>
      </w: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Level 3 - Significant other unobservable inputs</w:t>
      </w:r>
    </w:p>
    <w:p>
      <w:pPr>
        <w:spacing w:after="0" w:line="126"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2"/>
              </w:rPr>
              <w:t>Fair Value Measurements at Reporting Date</w:t>
            </w:r>
          </w:p>
        </w:tc>
      </w:tr>
      <w:tr>
        <w:trPr>
          <w:trHeight w:val="183"/>
        </w:trPr>
        <w:tc>
          <w:tcPr>
            <w:tcW w:w="5380" w:type="dxa"/>
            <w:vAlign w:val="bottom"/>
            <w:gridSpan w:val="3"/>
          </w:tcPr>
          <w:p>
            <w:pPr>
              <w:ind w:left="20"/>
              <w:spacing w:after="0" w:line="182" w:lineRule="exact"/>
              <w:rPr>
                <w:sz w:val="20"/>
                <w:szCs w:val="20"/>
                <w:color w:val="auto"/>
              </w:rPr>
            </w:pPr>
            <w:r>
              <w:rPr>
                <w:rFonts w:ascii="Arial" w:cs="Arial" w:eastAsia="Arial" w:hAnsi="Arial"/>
                <w:sz w:val="18"/>
                <w:szCs w:val="18"/>
                <w:b w:val="1"/>
                <w:bCs w:val="1"/>
                <w:color w:val="auto"/>
              </w:rPr>
              <w:t>As of December 31, 2020</w:t>
            </w:r>
          </w:p>
        </w:tc>
        <w:tc>
          <w:tcPr>
            <w:tcW w:w="280" w:type="dxa"/>
            <w:vAlign w:val="bottom"/>
          </w:tcPr>
          <w:p>
            <w:pPr>
              <w:spacing w:after="0"/>
              <w:rPr>
                <w:sz w:val="15"/>
                <w:szCs w:val="15"/>
                <w:color w:val="auto"/>
              </w:rPr>
            </w:pPr>
          </w:p>
        </w:tc>
        <w:tc>
          <w:tcPr>
            <w:tcW w:w="1540" w:type="dxa"/>
            <w:vAlign w:val="bottom"/>
            <w:gridSpan w:val="2"/>
          </w:tcPr>
          <w:p>
            <w:pPr>
              <w:ind w:left="160"/>
              <w:spacing w:after="0" w:line="182" w:lineRule="exact"/>
              <w:rPr>
                <w:sz w:val="20"/>
                <w:szCs w:val="20"/>
                <w:color w:val="auto"/>
              </w:rPr>
            </w:pPr>
            <w:r>
              <w:rPr>
                <w:rFonts w:ascii="Arial" w:cs="Arial" w:eastAsia="Arial" w:hAnsi="Arial"/>
                <w:sz w:val="18"/>
                <w:szCs w:val="18"/>
                <w:b w:val="1"/>
                <w:bCs w:val="1"/>
                <w:color w:val="auto"/>
              </w:rPr>
              <w:t>Fair Value</w:t>
            </w:r>
          </w:p>
        </w:tc>
        <w:tc>
          <w:tcPr>
            <w:tcW w:w="340" w:type="dxa"/>
            <w:vAlign w:val="bottom"/>
          </w:tcPr>
          <w:p>
            <w:pPr>
              <w:spacing w:after="0"/>
              <w:rPr>
                <w:sz w:val="15"/>
                <w:szCs w:val="15"/>
                <w:color w:val="auto"/>
              </w:rPr>
            </w:pPr>
          </w:p>
        </w:tc>
        <w:tc>
          <w:tcPr>
            <w:tcW w:w="1480" w:type="dxa"/>
            <w:vAlign w:val="bottom"/>
            <w:gridSpan w:val="2"/>
          </w:tcPr>
          <w:p>
            <w:pPr>
              <w:ind w:left="240"/>
              <w:spacing w:after="0" w:line="182" w:lineRule="exact"/>
              <w:rPr>
                <w:sz w:val="20"/>
                <w:szCs w:val="20"/>
                <w:color w:val="auto"/>
              </w:rPr>
            </w:pPr>
            <w:r>
              <w:rPr>
                <w:rFonts w:ascii="Arial" w:cs="Arial" w:eastAsia="Arial" w:hAnsi="Arial"/>
                <w:sz w:val="18"/>
                <w:szCs w:val="18"/>
                <w:b w:val="1"/>
                <w:bCs w:val="1"/>
                <w:color w:val="auto"/>
              </w:rPr>
              <w:t>Level 1</w:t>
            </w:r>
          </w:p>
        </w:tc>
        <w:tc>
          <w:tcPr>
            <w:tcW w:w="340" w:type="dxa"/>
            <w:vAlign w:val="bottom"/>
          </w:tcPr>
          <w:p>
            <w:pPr>
              <w:spacing w:after="0"/>
              <w:rPr>
                <w:sz w:val="15"/>
                <w:szCs w:val="15"/>
                <w:color w:val="auto"/>
              </w:rPr>
            </w:pPr>
          </w:p>
        </w:tc>
        <w:tc>
          <w:tcPr>
            <w:tcW w:w="1380" w:type="dxa"/>
            <w:vAlign w:val="bottom"/>
          </w:tcPr>
          <w:p>
            <w:pPr>
              <w:jc w:val="right"/>
              <w:ind w:right="490"/>
              <w:spacing w:after="0" w:line="182" w:lineRule="exact"/>
              <w:rPr>
                <w:sz w:val="20"/>
                <w:szCs w:val="20"/>
                <w:color w:val="auto"/>
              </w:rPr>
            </w:pPr>
            <w:r>
              <w:rPr>
                <w:rFonts w:ascii="Arial" w:cs="Arial" w:eastAsia="Arial" w:hAnsi="Arial"/>
                <w:sz w:val="18"/>
                <w:szCs w:val="18"/>
                <w:b w:val="1"/>
                <w:bCs w:val="1"/>
                <w:color w:val="auto"/>
              </w:rPr>
              <w:t>Level 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880" w:type="dxa"/>
            <w:vAlign w:val="bottom"/>
            <w:tcBorders>
              <w:top w:val="single" w:sz="8" w:color="auto"/>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09"/>
        </w:trPr>
        <w:tc>
          <w:tcPr>
            <w:tcW w:w="5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Available-for-sale debt securities:</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Corporate bonds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3,090.3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3,090.3</w:t>
            </w:r>
          </w:p>
        </w:tc>
      </w:tr>
      <w:tr>
        <w:trPr>
          <w:trHeight w:val="229"/>
        </w:trPr>
        <w:tc>
          <w:tcPr>
            <w:tcW w:w="20" w:type="dxa"/>
            <w:vAlign w:val="bottom"/>
            <w:shd w:val="clear" w:color="auto" w:fill="CCEEFF"/>
          </w:tcPr>
          <w:p>
            <w:pPr>
              <w:spacing w:after="0"/>
              <w:rPr>
                <w:sz w:val="19"/>
                <w:szCs w:val="19"/>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U.S. government and government agency obligations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r>
      <w:tr>
        <w:trPr>
          <w:trHeight w:val="229"/>
        </w:trPr>
        <w:tc>
          <w:tcPr>
            <w:tcW w:w="20" w:type="dxa"/>
            <w:vAlign w:val="bottom"/>
          </w:tcPr>
          <w:p>
            <w:pPr>
              <w:spacing w:after="0"/>
              <w:rPr>
                <w:sz w:val="19"/>
                <w:szCs w:val="19"/>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Sovereign bonds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66.3</w:t>
            </w:r>
          </w:p>
        </w:tc>
      </w:tr>
      <w:tr>
        <w:trPr>
          <w:trHeight w:val="230"/>
        </w:trPr>
        <w:tc>
          <w:tcPr>
            <w:tcW w:w="20" w:type="dxa"/>
            <w:vAlign w:val="bottom"/>
            <w:shd w:val="clear" w:color="auto" w:fill="CCEEFF"/>
          </w:tcPr>
          <w:p>
            <w:pPr>
              <w:spacing w:after="0"/>
              <w:rPr>
                <w:sz w:val="19"/>
                <w:szCs w:val="19"/>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Commercial paper</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w:t>
            </w:r>
          </w:p>
        </w:tc>
      </w:tr>
      <w:tr>
        <w:trPr>
          <w:trHeight w:val="229"/>
        </w:trPr>
        <w:tc>
          <w:tcPr>
            <w:tcW w:w="20" w:type="dxa"/>
            <w:vAlign w:val="bottom"/>
          </w:tcPr>
          <w:p>
            <w:pPr>
              <w:spacing w:after="0"/>
              <w:rPr>
                <w:sz w:val="19"/>
                <w:szCs w:val="19"/>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127.5</w:t>
            </w:r>
          </w:p>
        </w:tc>
      </w:tr>
      <w:tr>
        <w:trPr>
          <w:trHeight w:val="230"/>
        </w:trPr>
        <w:tc>
          <w:tcPr>
            <w:tcW w:w="5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Equity securities (unrestricted)</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Equity securities (restricted)</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3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189"/>
        </w:trPr>
        <w:tc>
          <w:tcPr>
            <w:tcW w:w="538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As of December 31, 2019</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auto"/>
            </w:tcBorders>
            <w:shd w:val="clear" w:color="auto" w:fill="CCEEFF"/>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5380" w:type="dxa"/>
            <w:vAlign w:val="bottom"/>
            <w:gridSpan w:val="3"/>
          </w:tcPr>
          <w:p>
            <w:pPr>
              <w:ind w:left="20"/>
              <w:spacing w:after="0"/>
              <w:rPr>
                <w:sz w:val="20"/>
                <w:szCs w:val="20"/>
                <w:color w:val="auto"/>
              </w:rPr>
            </w:pPr>
            <w:r>
              <w:rPr>
                <w:rFonts w:ascii="Arial" w:cs="Arial" w:eastAsia="Arial" w:hAnsi="Arial"/>
                <w:sz w:val="18"/>
                <w:szCs w:val="18"/>
                <w:color w:val="auto"/>
              </w:rPr>
              <w:t>Available-for-sale debt securities:</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Corporate bonds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3,988.1</w:t>
            </w:r>
          </w:p>
        </w:tc>
      </w:tr>
      <w:tr>
        <w:trPr>
          <w:trHeight w:val="230"/>
        </w:trPr>
        <w:tc>
          <w:tcPr>
            <w:tcW w:w="20" w:type="dxa"/>
            <w:vAlign w:val="bottom"/>
          </w:tcPr>
          <w:p>
            <w:pPr>
              <w:spacing w:after="0"/>
              <w:rPr>
                <w:sz w:val="19"/>
                <w:szCs w:val="19"/>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U.S. government and government agency obligations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54.4</w:t>
            </w:r>
          </w:p>
        </w:tc>
      </w:tr>
      <w:tr>
        <w:trPr>
          <w:trHeight w:val="230"/>
        </w:trPr>
        <w:tc>
          <w:tcPr>
            <w:tcW w:w="20" w:type="dxa"/>
            <w:vAlign w:val="bottom"/>
            <w:shd w:val="clear" w:color="auto" w:fill="CCEEFF"/>
          </w:tcPr>
          <w:p>
            <w:pPr>
              <w:spacing w:after="0"/>
              <w:rPr>
                <w:sz w:val="19"/>
                <w:szCs w:val="19"/>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Sovereign bonds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29"/>
        </w:trPr>
        <w:tc>
          <w:tcPr>
            <w:tcW w:w="20" w:type="dxa"/>
            <w:vAlign w:val="bottom"/>
          </w:tcPr>
          <w:p>
            <w:pPr>
              <w:spacing w:after="0"/>
              <w:rPr>
                <w:sz w:val="19"/>
                <w:szCs w:val="19"/>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Commercial paper</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92.3</w:t>
            </w:r>
          </w:p>
        </w:tc>
      </w:tr>
      <w:tr>
        <w:trPr>
          <w:trHeight w:val="230"/>
        </w:trPr>
        <w:tc>
          <w:tcPr>
            <w:tcW w:w="20" w:type="dxa"/>
            <w:vAlign w:val="bottom"/>
            <w:shd w:val="clear" w:color="auto" w:fill="CCEEFF"/>
          </w:tcPr>
          <w:p>
            <w:pPr>
              <w:spacing w:after="0"/>
              <w:rPr>
                <w:sz w:val="19"/>
                <w:szCs w:val="19"/>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Certificates of deposit</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r>
      <w:tr>
        <w:trPr>
          <w:trHeight w:val="230"/>
        </w:trPr>
        <w:tc>
          <w:tcPr>
            <w:tcW w:w="5380" w:type="dxa"/>
            <w:vAlign w:val="bottom"/>
            <w:gridSpan w:val="3"/>
          </w:tcPr>
          <w:p>
            <w:pPr>
              <w:ind w:left="20"/>
              <w:spacing w:after="0"/>
              <w:rPr>
                <w:sz w:val="20"/>
                <w:szCs w:val="20"/>
                <w:color w:val="auto"/>
              </w:rPr>
            </w:pPr>
            <w:r>
              <w:rPr>
                <w:rFonts w:ascii="Arial" w:cs="Arial" w:eastAsia="Arial" w:hAnsi="Arial"/>
                <w:sz w:val="18"/>
                <w:szCs w:val="18"/>
                <w:color w:val="auto"/>
              </w:rPr>
              <w:t>Equity securities (unrestricted)</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Equity securities (restricted)</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4,853.3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4,234.5</w:t>
            </w: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held certain restricted equity securities as of December 31, 2020 which are subject to transfer restrictions that expire at various dates through 2024.</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years ended December 31, 2020 and 2019, we recorded $196.0 million and $118.3 million of net unrealized gains, respectively, on equity securities in Other income (expense). During the year ended December 31, 2018, we recorded net unrealized losses on equity securities of $41.9 million in Other income (expense).</w:t>
      </w:r>
    </w:p>
    <w:p>
      <w:pPr>
        <w:spacing w:after="0" w:line="10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addition to the investments summarized in the table above, as of December 31, 2020 and 2019, the Company had $59.2 million and $55.6 million, respectively, in equity investments that do not have a readily determinable fair value. These investments are recorded within Other noncurrent assets.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our long-term debt (see Note 9) was estimated to be $1.958 billion as of December 31, 2020, and was determined based on Level 2 inputs.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8" w:name="page129"/>
    <w:bookmarkEnd w:id="1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REGENERON PHARMACEUTICALS, INC. NOTES TO CONSOLIDATED FINANCIAL STATEMENTS (Continued) </w:t>
      </w: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w:t>
      </w:r>
    </w:p>
    <w:p>
      <w:pPr>
        <w:spacing w:after="0" w:line="248" w:lineRule="exact"/>
        <w:rPr>
          <w:sz w:val="20"/>
          <w:szCs w:val="20"/>
          <w:color w:val="auto"/>
        </w:rPr>
      </w:pPr>
    </w:p>
    <w:tbl>
      <w:tblPr>
        <w:tblLayout w:type="fixed"/>
        <w:tblInd w:w="228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December 31,</w:t>
            </w:r>
          </w:p>
        </w:tc>
        <w:tc>
          <w:tcPr>
            <w:tcW w:w="1000" w:type="dxa"/>
            <w:vAlign w:val="bottom"/>
            <w:tcBorders>
              <w:bottom w:val="single" w:sz="8" w:color="auto"/>
            </w:tcBorders>
          </w:tcPr>
          <w:p>
            <w:pPr>
              <w:spacing w:after="0"/>
              <w:rPr>
                <w:sz w:val="20"/>
                <w:szCs w:val="20"/>
                <w:color w:val="auto"/>
              </w:rPr>
            </w:pPr>
          </w:p>
        </w:tc>
      </w:tr>
      <w:tr>
        <w:trPr>
          <w:trHeight w:val="223"/>
        </w:trPr>
        <w:tc>
          <w:tcPr>
            <w:tcW w:w="3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84"/>
              </w:rPr>
              <w:t>2019</w:t>
            </w: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459.4</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r>
      <w:tr>
        <w:trPr>
          <w:trHeight w:val="229"/>
        </w:trPr>
        <w:tc>
          <w:tcPr>
            <w:tcW w:w="320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904.6</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727.7</w:t>
            </w:r>
          </w:p>
        </w:tc>
      </w:tr>
      <w:tr>
        <w:trPr>
          <w:trHeight w:val="230"/>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r>
      <w:tr>
        <w:trPr>
          <w:trHeight w:val="229"/>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costs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430.9</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400.9</w:t>
            </w:r>
          </w:p>
        </w:tc>
      </w:tr>
      <w:tr>
        <w:trPr>
          <w:trHeight w:val="248"/>
        </w:trPr>
        <w:tc>
          <w:tcPr>
            <w:tcW w:w="3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1,415.5</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Deferred costs represent the costs of product manufactured and shipped to the Company's collaborators for which recognition of revenue has been deferred. For the years ended December 31, 2020, 2019, and 2018, Cost of goods sold included inventory write-downs and reserves of $39.2 million, $73.8 million, and $12.5 million, respectively.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7. Property, Plant, and Equipment</w:t>
            </w: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5400" w:type="dxa"/>
            <w:vAlign w:val="bottom"/>
            <w:gridSpan w:val="2"/>
          </w:tcPr>
          <w:p>
            <w:pPr>
              <w:spacing w:after="0"/>
              <w:rPr>
                <w:sz w:val="20"/>
                <w:szCs w:val="20"/>
                <w:color w:val="auto"/>
              </w:rPr>
            </w:pPr>
            <w:r>
              <w:rPr>
                <w:rFonts w:ascii="Arial" w:cs="Arial" w:eastAsia="Arial" w:hAnsi="Arial"/>
                <w:sz w:val="18"/>
                <w:szCs w:val="18"/>
                <w:color w:val="auto"/>
              </w:rPr>
              <w:t>Property, plant, and equipment consists of the following:</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2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December 31,</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200" w:type="dxa"/>
            <w:vAlign w:val="bottom"/>
          </w:tcPr>
          <w:p>
            <w:pPr>
              <w:spacing w:after="0"/>
              <w:rPr>
                <w:sz w:val="19"/>
                <w:szCs w:val="19"/>
                <w:color w:val="auto"/>
              </w:rPr>
            </w:pPr>
          </w:p>
        </w:tc>
        <w:tc>
          <w:tcPr>
            <w:tcW w:w="3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84"/>
              </w:rPr>
              <w:t>2019</w:t>
            </w:r>
          </w:p>
        </w:tc>
        <w:tc>
          <w:tcPr>
            <w:tcW w:w="0" w:type="dxa"/>
            <w:vAlign w:val="bottom"/>
          </w:tcPr>
          <w:p>
            <w:pPr>
              <w:spacing w:after="0"/>
              <w:rPr>
                <w:sz w:val="1"/>
                <w:szCs w:val="1"/>
                <w:color w:val="auto"/>
              </w:rPr>
            </w:pPr>
          </w:p>
        </w:tc>
      </w:tr>
      <w:tr>
        <w:trPr>
          <w:trHeight w:val="223"/>
        </w:trPr>
        <w:tc>
          <w:tcPr>
            <w:tcW w:w="2200" w:type="dxa"/>
            <w:vAlign w:val="bottom"/>
          </w:tcPr>
          <w:p>
            <w:pPr>
              <w:spacing w:after="0"/>
              <w:rPr>
                <w:sz w:val="19"/>
                <w:szCs w:val="19"/>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1,891.1</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1,683.4</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19"/>
                <w:szCs w:val="19"/>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724.5</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644.8</w:t>
            </w:r>
          </w:p>
        </w:tc>
        <w:tc>
          <w:tcPr>
            <w:tcW w:w="0" w:type="dxa"/>
            <w:vAlign w:val="bottom"/>
          </w:tcPr>
          <w:p>
            <w:pPr>
              <w:spacing w:after="0"/>
              <w:rPr>
                <w:sz w:val="1"/>
                <w:szCs w:val="1"/>
                <w:color w:val="auto"/>
              </w:rPr>
            </w:pPr>
          </w:p>
        </w:tc>
      </w:tr>
      <w:tr>
        <w:trPr>
          <w:trHeight w:val="229"/>
        </w:trPr>
        <w:tc>
          <w:tcPr>
            <w:tcW w:w="2200" w:type="dxa"/>
            <w:vAlign w:val="bottom"/>
          </w:tcPr>
          <w:p>
            <w:pPr>
              <w:spacing w:after="0"/>
              <w:rPr>
                <w:sz w:val="19"/>
                <w:szCs w:val="19"/>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1,038.6</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850.7</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226.3</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183.7</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19"/>
                <w:szCs w:val="19"/>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Furniture, office equipment, and other</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23"/>
        </w:trPr>
        <w:tc>
          <w:tcPr>
            <w:tcW w:w="220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4,352.7</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3,812.8</w:t>
            </w:r>
          </w:p>
        </w:tc>
        <w:tc>
          <w:tcPr>
            <w:tcW w:w="0" w:type="dxa"/>
            <w:vAlign w:val="bottom"/>
          </w:tcPr>
          <w:p>
            <w:pPr>
              <w:spacing w:after="0"/>
              <w:rPr>
                <w:sz w:val="1"/>
                <w:szCs w:val="1"/>
                <w:color w:val="auto"/>
              </w:rPr>
            </w:pPr>
          </w:p>
        </w:tc>
      </w:tr>
      <w:tr>
        <w:trPr>
          <w:trHeight w:val="175"/>
        </w:trPr>
        <w:tc>
          <w:tcPr>
            <w:tcW w:w="2200" w:type="dxa"/>
            <w:vAlign w:val="bottom"/>
          </w:tcPr>
          <w:p>
            <w:pPr>
              <w:spacing w:after="0"/>
              <w:rPr>
                <w:sz w:val="15"/>
                <w:szCs w:val="15"/>
                <w:color w:val="auto"/>
              </w:rPr>
            </w:pPr>
          </w:p>
        </w:tc>
        <w:tc>
          <w:tcPr>
            <w:tcW w:w="32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Less, accumulated depreciation and</w:t>
            </w:r>
          </w:p>
        </w:tc>
        <w:tc>
          <w:tcPr>
            <w:tcW w:w="4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(1,131.1)</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(922.4)</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19"/>
                <w:szCs w:val="19"/>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3,221.6</w:t>
            </w:r>
          </w:p>
        </w:tc>
        <w:tc>
          <w:tcPr>
            <w:tcW w:w="120" w:type="dxa"/>
            <w:vAlign w:val="bottom"/>
          </w:tcPr>
          <w:p>
            <w:pPr>
              <w:spacing w:after="0"/>
              <w:rPr>
                <w:sz w:val="19"/>
                <w:szCs w:val="19"/>
                <w:color w:val="auto"/>
              </w:rPr>
            </w:pP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2,890.4</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Property, plant, and equipment in the table above includes leased property under the Company's finance lease at its Tarrytown, New York facility. See Note 10.</w:t>
      </w:r>
    </w:p>
    <w:p>
      <w:pPr>
        <w:spacing w:after="0" w:line="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Depreciation and amortization expense (including as it relates to the Company's finance lease) on property, plant, and equipment amounted to $230.8 million, $205.2 million, and $144.1 million for the years ended December 31, 2020, 2019, and 2018, respectively.</w:t>
      </w:r>
    </w:p>
    <w:p>
      <w:pPr>
        <w:spacing w:after="0" w:line="10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December 31, 2020 and 2019, $2.398 billion and $2.118 billion, respectively, of the Company's net property, plant, and equipment was located in the United States and $823.8 million and $772.8 million, respectively, was located in Europe (primarily in Ireland).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9" w:name="page130"/>
    <w:bookmarkEnd w:id="1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REGENERON PHARMACEUTICALS, INC. NOTES TO CONSOLIDATED FINANCIAL STATEMENTS (Continued) </w:t>
      </w: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Expenses and Other Current Liabilities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89" w:lineRule="exact"/>
        <w:rPr>
          <w:sz w:val="20"/>
          <w:szCs w:val="20"/>
          <w:color w:val="auto"/>
        </w:rPr>
      </w:pPr>
    </w:p>
    <w:tbl>
      <w:tblPr>
        <w:tblLayout w:type="fixed"/>
        <w:tblInd w:w="238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272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As of December 31,</w:t>
            </w:r>
          </w:p>
        </w:tc>
        <w:tc>
          <w:tcPr>
            <w:tcW w:w="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6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related costs</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w:t>
            </w: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Arial" w:cs="Arial" w:eastAsia="Arial" w:hAnsi="Arial"/>
                <w:sz w:val="18"/>
                <w:szCs w:val="18"/>
                <w:color w:val="auto"/>
              </w:rPr>
              <w:t>Accrued clinical expenses</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283.0</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0"/>
              </w:rPr>
              <w:t>Accrued sales-related charges, deductions,</w:t>
            </w:r>
          </w:p>
        </w:tc>
        <w:tc>
          <w:tcPr>
            <w:tcW w:w="10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423.9</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royalties</w:t>
            </w:r>
          </w:p>
        </w:tc>
        <w:tc>
          <w:tcPr>
            <w:tcW w:w="100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Arial" w:cs="Arial" w:eastAsia="Arial" w:hAnsi="Arial"/>
                <w:sz w:val="18"/>
                <w:szCs w:val="18"/>
                <w:color w:val="auto"/>
              </w:rPr>
              <w:t>Income taxes payable</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Other accrued expenses and liabilities</w:t>
            </w:r>
          </w:p>
        </w:tc>
        <w:tc>
          <w:tcPr>
            <w:tcW w:w="10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329.6</w:t>
            </w:r>
          </w:p>
        </w:tc>
        <w:tc>
          <w:tcPr>
            <w:tcW w:w="14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1,521.8</w:t>
            </w:r>
          </w:p>
        </w:tc>
        <w:tc>
          <w:tcPr>
            <w:tcW w:w="14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1,211.4</w:t>
            </w: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December 2018, we entered into an agreement with a syndicate of lenders (the "Credit Agreement") which provides for a $750.0 million senior unsecured five-year revolving credit facility (the "Credit Facility"). The Credit Agreement includes an option for us to elect to increase the commitments under the Credit Facility and/or to enter into one or more tranches of term loans in the aggregate principal amount of up to $250.0 million, subject to the consent of the lenders providing the additional commitments or term loans, as applicable, and certain other conditions. Proceeds of the loans under the Credit Facility may be used to finance working capital needs, and for general corporate or other lawful purposes, of Regeneron and its subsidiaries. The Credit Agreement also provides a $50.0 million sublimit for letters of credit. The Credit Agreement includes an option for us to elect to extend the maturity date of the Credit Facility beyond December 2023, subject to the consent of the extending lenders and certain other conditions. Amounts borrowed under the Credit Facility may be prepaid, and the commitments under the Credit Facility may be terminated, at any time without premium or penalty. We had no borrowings outstanding under the Credit Facility as of December 31, 2020.</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Credit Agreement contains financial and operating covenants. The Company was in compliance with all covenants of the Credit Facility as of December 31, 2020.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Bridge Loan Facility</w:t>
      </w:r>
    </w:p>
    <w:p>
      <w:pPr>
        <w:spacing w:after="0" w:line="14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described in Note 11, in May 2020, we purchased shares of our Common Stock from Sanofi, in connection with Sanofi's secondary offering of our Common Stock held by Sanofi, with a combination of cash on hand, proceeds from the sale of marketable securities, and proceeds from loans under a $1.5 billion senior unsecured 364-day bridge loan facility (the "Bridge Facility"). The loans under the Bridge Facility bore interest at a variable interest rate based on either the London Interbank Offered Rate or the alternate base rate, plus an applicable margin that varied with our debt rating and total leverage ratio. The Bridge Facility was repaid in full during 2020 following the closing of the issuance and sale of the Company's senior notes (as described below).</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August 2020, we issued and sold $1.250 billion aggregate principal amount of senior unsecured notes due 2030 (the "2030 Notes") and $750 million aggregate principal amount of senior unsecured notes due 2050 (the "2050 Notes" and, together with the 2030 Notes, the "Notes"). Net proceeds from the issuance and sale of the Notes (after deducting underwriting discounts and offering expenses) were used in part to repay in full the Bridge Facility described above, including accrued interest and related fees and expenses in connection therewith. The underwriting discounts and offering expenses are being amortized as additional interest expense over the period from issuance through maturity.</w:t>
      </w:r>
    </w:p>
    <w:p>
      <w:pPr>
        <w:spacing w:after="0" w:line="9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2030 Notes accrue interest at the rate of 1.750% per year and will mature on September 15, 2030. The 2050 Notes accrue interest at the rate of 2.800% per year and will mature on September 15, 2050. Interest on each series of Notes is payable semi-annually in arrears on March 15 and September 15 of each year until their respective maturity dates. Interest expense related to the Notes for the year ended December 31, 2020 was $17.6 million.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0" w:name="page131"/>
    <w:bookmarkEnd w:id="13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REGENERON PHARMACEUTICALS, INC. NOTES TO CONSOLIDATED FINANCIAL STATEMENTS (Continued) </w:t>
      </w: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Notes may be redeemed at the Company’s option at any time at 100% of the principal amount plus accrued and unpaid interest, and, until a specified period before maturity, a specified make-whole amount. The Notes contain a change-of-control provision that, under certain circumstances, may require the Company to offer to repurchase the Notes at a price equal to 101% of the principal amount plus accrued and unpaid interest.</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Notes also contain certain limitations on the Company’s ability to incur liens and enter into sale and leaseback transactions, as well as customary events of default.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See Note 15 for disclosures related to legal contingencies.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Leases</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We conduct certain of our research, development, and administrative activities at leased facilities. We also lease certain warehouses and vehicles. As described in Note 1, during the first quarter of 2019, we adopted ASC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Amounts recognized in our Consolidated Balance Sheets and Statements of Operations included in this report associated with operating leases were not material. Operating lease right-of-use assets are included within Other noncurrent assets, and lease liabilities are included in Accrued expenses and other current liabilities and Other noncurrent liabilities.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leases</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March 2017, we entered into a Participation Agreement with BA Leasing BSC, LLC, an affiliate of Banc of America Leasing &amp; Capital LLC ("BAL"), as lessor, and a syndicate of lenders (collectively, the "Lease Participants"). In March 2017, we also entered into a Lease and Remedies Agreement with BAL, pursuant to which we have leased laboratory and office facilities in Tarrytown, New York (the "Facility") for a five-year term ending in March 2022. The Participation Agreement, the Lease and Remedies Agreement, and certain other related agreements were amended and restated in May 2019, among other things, to revise certain covenants, representations and warranties, and events of default to be substantially similar to those set forth in the agreement governing the Company's revolving credit facility (as so amended and restated, the "Participation Agreement" and the "Lease," respectively). The Lease requires us to pay all maintenance, insurance, taxes, and other costs arising out of the use of the Facility. We are also required to make monthly payments of basic rent during the term of the Lease in an amount equal to a variable rate per annum based on the one-month LIBOR, plus an applicable margin that varies with our debt rating and total leverage ratio. The Participation Agreement and the Lease include an option for us to elect to extend the maturity date of the Participation Agreement and the term of the Lease for an additional five-year period, subject to the consent of all the Lease Participants and certain other conditions. We also have the option prior to the end of the term of the Lease to (a) purchase the Facility by paying an amount equal to the outstanding principal amount of the Lease Participants' advances under the Participation Agreement, all accrued and unpaid interest and yield thereon, and all other outstanding amounts under the Participation Agreement, the Lease, and certain related documents or (b) sell the Facility to a third party on behalf of BAL. The advances under the Participation Agreement mature, and all amounts outstanding thereunder will become due and payable in full, at the end of the term of the Lease.</w:t>
      </w:r>
    </w:p>
    <w:p>
      <w:pPr>
        <w:spacing w:after="0" w:line="10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Prior to January 1, 2019, for certain of the premises under the Lease we were deemed, in substance, to be the owner of the buildings (collectively, the "Build-to-Suit Buildings"). Upon the adoption of ASC 842, the classification of the Build-to-Suit Buildings, for which the construction period had been completed, was reassessed and, consequently, they were derecognized and recognized as a finance lease. These premises, along with the other premises under the Lease, are classified as a finance lease as we have the option to purchase the Facility under terms that make it reasonably certain to be exercised.</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agreements governing the Lease financing contain financial and operating covenants. The Company was in compliance with all such covenants as of December 31, 2020.</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1" w:name="page132"/>
    <w:bookmarkEnd w:id="13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REGENERON PHARMACEUTICALS, INC. NOTES TO CONSOLIDATED FINANCIAL STATEMENTS (Continued) </w:t>
      </w: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Amounts recognized in the Consolidated Balance Sheet related to the Lease are included in the table below. Other than the Lease described above, we had no leases accounted for as finance leases as of December 31, 2020 and 2019.</w:t>
      </w:r>
    </w:p>
    <w:p>
      <w:pPr>
        <w:spacing w:after="0" w:line="220"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jc w:val="right"/>
              <w:ind w:right="87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3320" w:type="dxa"/>
            <w:vAlign w:val="bottom"/>
          </w:tcPr>
          <w:p>
            <w:pPr>
              <w:spacing w:after="0"/>
              <w:rPr>
                <w:sz w:val="19"/>
                <w:szCs w:val="19"/>
                <w:color w:val="auto"/>
              </w:rPr>
            </w:pPr>
          </w:p>
        </w:tc>
        <w:tc>
          <w:tcPr>
            <w:tcW w:w="3540" w:type="dxa"/>
            <w:vAlign w:val="bottom"/>
            <w:gridSpan w:val="2"/>
          </w:tcPr>
          <w:p>
            <w:pPr>
              <w:ind w:left="1180"/>
              <w:spacing w:after="0"/>
              <w:rPr>
                <w:sz w:val="20"/>
                <w:szCs w:val="20"/>
                <w:color w:val="auto"/>
              </w:rPr>
            </w:pPr>
            <w:r>
              <w:rPr>
                <w:rFonts w:ascii="Arial" w:cs="Arial" w:eastAsia="Arial" w:hAnsi="Arial"/>
                <w:sz w:val="18"/>
                <w:szCs w:val="18"/>
                <w:b w:val="1"/>
                <w:bCs w:val="1"/>
                <w:color w:val="auto"/>
              </w:rPr>
              <w:t>Classification</w:t>
            </w:r>
          </w:p>
        </w:tc>
        <w:tc>
          <w:tcPr>
            <w:tcW w:w="360" w:type="dxa"/>
            <w:vAlign w:val="bottom"/>
          </w:tcPr>
          <w:p>
            <w:pPr>
              <w:spacing w:after="0"/>
              <w:rPr>
                <w:sz w:val="19"/>
                <w:szCs w:val="19"/>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r>
      <w:tr>
        <w:trPr>
          <w:trHeight w:val="223"/>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 right-of-use assets</w:t>
            </w:r>
          </w:p>
        </w:tc>
        <w:tc>
          <w:tcPr>
            <w:tcW w:w="3400" w:type="dxa"/>
            <w:vAlign w:val="bottom"/>
            <w:tcBorders>
              <w:top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Property, plant, and equipment, net</w:t>
            </w:r>
            <w:r>
              <w:rPr>
                <w:rFonts w:ascii="Arial" w:cs="Arial" w:eastAsia="Arial" w:hAnsi="Arial"/>
                <w:sz w:val="23"/>
                <w:szCs w:val="23"/>
                <w:color w:val="auto"/>
                <w:vertAlign w:val="superscript"/>
              </w:rPr>
              <w:t>(1)</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645.7</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660.1</w:t>
            </w: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Finance lease liabilities</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Finance lease liabilities (noncurrent)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717.2</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713.9</w:t>
            </w:r>
          </w:p>
        </w:tc>
      </w:tr>
    </w:tbl>
    <w:p>
      <w:pPr>
        <w:spacing w:after="0" w:line="97" w:lineRule="exact"/>
        <w:rPr>
          <w:sz w:val="20"/>
          <w:szCs w:val="20"/>
          <w:color w:val="auto"/>
        </w:rPr>
      </w:pPr>
    </w:p>
    <w:p>
      <w:pPr>
        <w:ind w:left="720" w:right="660" w:hanging="6"/>
        <w:spacing w:after="0" w:line="219" w:lineRule="auto"/>
        <w:tabs>
          <w:tab w:leader="none" w:pos="883" w:val="left"/>
        </w:tabs>
        <w:numPr>
          <w:ilvl w:val="0"/>
          <w:numId w:val="59"/>
        </w:numPr>
        <w:rPr>
          <w:rFonts w:ascii="Arial" w:cs="Arial" w:eastAsia="Arial" w:hAnsi="Arial"/>
          <w:sz w:val="20"/>
          <w:szCs w:val="20"/>
          <w:color w:val="auto"/>
          <w:vertAlign w:val="superscript"/>
        </w:rPr>
      </w:pPr>
      <w:r>
        <w:rPr>
          <w:rFonts w:ascii="Arial" w:cs="Arial" w:eastAsia="Arial" w:hAnsi="Arial"/>
          <w:sz w:val="15"/>
          <w:szCs w:val="15"/>
          <w:color w:val="auto"/>
        </w:rPr>
        <w:t>Finance lease right-of-use assets are recorded net of accumulated amortization of $90.5 million and $76.1 million as of December 31, 2020 and 2019, respectively.</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rPr>
              <w:t>Finance lease costs consist of the following:</w:t>
            </w: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99"/>
        </w:trPr>
        <w:tc>
          <w:tcPr>
            <w:tcW w:w="25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400" w:type="dxa"/>
            <w:vAlign w:val="bottom"/>
            <w:tcBorders>
              <w:bottom w:val="single" w:sz="8" w:color="auto"/>
            </w:tcBorders>
          </w:tcPr>
          <w:p>
            <w:pPr>
              <w:spacing w:after="0"/>
              <w:rPr>
                <w:sz w:val="24"/>
                <w:szCs w:val="24"/>
                <w:color w:val="auto"/>
              </w:rPr>
            </w:pPr>
          </w:p>
        </w:tc>
      </w:tr>
      <w:tr>
        <w:trPr>
          <w:trHeight w:val="223"/>
        </w:trPr>
        <w:tc>
          <w:tcPr>
            <w:tcW w:w="2580" w:type="dxa"/>
            <w:vAlign w:val="bottom"/>
          </w:tcPr>
          <w:p>
            <w:pPr>
              <w:spacing w:after="0"/>
              <w:rPr>
                <w:sz w:val="19"/>
                <w:szCs w:val="19"/>
                <w:color w:val="auto"/>
              </w:rPr>
            </w:pPr>
          </w:p>
        </w:tc>
        <w:tc>
          <w:tcPr>
            <w:tcW w:w="32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00" w:type="dxa"/>
            <w:vAlign w:val="bottom"/>
            <w:tcBorders>
              <w:bottom w:val="single" w:sz="8" w:color="auto"/>
            </w:tcBorders>
          </w:tcPr>
          <w:p>
            <w:pPr>
              <w:spacing w:after="0"/>
              <w:rPr>
                <w:sz w:val="19"/>
                <w:szCs w:val="19"/>
                <w:color w:val="auto"/>
              </w:rPr>
            </w:pPr>
          </w:p>
        </w:tc>
      </w:tr>
      <w:tr>
        <w:trPr>
          <w:trHeight w:val="223"/>
        </w:trPr>
        <w:tc>
          <w:tcPr>
            <w:tcW w:w="2580" w:type="dxa"/>
            <w:vAlign w:val="bottom"/>
          </w:tcPr>
          <w:p>
            <w:pPr>
              <w:spacing w:after="0"/>
              <w:rPr>
                <w:sz w:val="19"/>
                <w:szCs w:val="19"/>
                <w:color w:val="auto"/>
              </w:rPr>
            </w:pPr>
          </w:p>
        </w:tc>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right-of-use assets</w:t>
            </w:r>
          </w:p>
        </w:tc>
        <w:tc>
          <w:tcPr>
            <w:tcW w:w="9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14.4</w:t>
            </w:r>
          </w:p>
        </w:tc>
      </w:tr>
      <w:tr>
        <w:trPr>
          <w:trHeight w:val="229"/>
        </w:trPr>
        <w:tc>
          <w:tcPr>
            <w:tcW w:w="2580" w:type="dxa"/>
            <w:vAlign w:val="bottom"/>
          </w:tcPr>
          <w:p>
            <w:pPr>
              <w:spacing w:after="0"/>
              <w:rPr>
                <w:sz w:val="19"/>
                <w:szCs w:val="19"/>
                <w:color w:val="auto"/>
              </w:rPr>
            </w:pPr>
          </w:p>
        </w:tc>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on lease liabilities</w:t>
            </w:r>
          </w:p>
        </w:tc>
        <w:tc>
          <w:tcPr>
            <w:tcW w:w="9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27.6</w:t>
            </w:r>
          </w:p>
        </w:tc>
      </w:tr>
      <w:tr>
        <w:trPr>
          <w:trHeight w:val="248"/>
        </w:trPr>
        <w:tc>
          <w:tcPr>
            <w:tcW w:w="258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42.0</w:t>
            </w:r>
          </w:p>
        </w:tc>
      </w:tr>
      <w:tr>
        <w:trPr>
          <w:trHeight w:val="20"/>
        </w:trPr>
        <w:tc>
          <w:tcPr>
            <w:tcW w:w="2580" w:type="dxa"/>
            <w:vAlign w:val="bottom"/>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gridSpan w:val="3"/>
          </w:tcPr>
          <w:p>
            <w:pPr>
              <w:spacing w:after="0"/>
              <w:rPr>
                <w:sz w:val="20"/>
                <w:szCs w:val="20"/>
                <w:color w:val="auto"/>
              </w:rPr>
            </w:pPr>
            <w:r>
              <w:rPr>
                <w:rFonts w:ascii="Arial" w:cs="Arial" w:eastAsia="Arial" w:hAnsi="Arial"/>
                <w:sz w:val="18"/>
                <w:szCs w:val="18"/>
                <w:color w:val="auto"/>
                <w:w w:val="95"/>
              </w:rPr>
              <w:t>Other information related to our finance lease includes the following:</w:t>
            </w: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86"/>
        </w:trPr>
        <w:tc>
          <w:tcPr>
            <w:tcW w:w="2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0" w:type="dxa"/>
            <w:vAlign w:val="bottom"/>
            <w:gridSpan w:val="4"/>
          </w:tcPr>
          <w:p>
            <w:pPr>
              <w:ind w:left="20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2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500" w:type="dxa"/>
            <w:vAlign w:val="bottom"/>
            <w:tcBorders>
              <w:top w:val="single" w:sz="8" w:color="auto"/>
              <w:bottom w:val="single" w:sz="8" w:color="auto"/>
            </w:tcBorders>
            <w:gridSpan w:val="2"/>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280" w:type="dxa"/>
            <w:vAlign w:val="bottom"/>
          </w:tcPr>
          <w:p>
            <w:pPr>
              <w:spacing w:after="0"/>
              <w:rPr>
                <w:sz w:val="19"/>
                <w:szCs w:val="19"/>
                <w:color w:val="auto"/>
              </w:rPr>
            </w:pPr>
          </w:p>
        </w:tc>
      </w:tr>
      <w:tr>
        <w:trPr>
          <w:trHeight w:val="223"/>
        </w:trPr>
        <w:tc>
          <w:tcPr>
            <w:tcW w:w="2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lease term (in years)</w:t>
            </w:r>
          </w:p>
        </w:tc>
        <w:tc>
          <w:tcPr>
            <w:tcW w:w="6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2.17</w:t>
            </w:r>
          </w:p>
        </w:tc>
        <w:tc>
          <w:tcPr>
            <w:tcW w:w="2280" w:type="dxa"/>
            <w:vAlign w:val="bottom"/>
          </w:tcPr>
          <w:p>
            <w:pPr>
              <w:spacing w:after="0"/>
              <w:rPr>
                <w:sz w:val="19"/>
                <w:szCs w:val="19"/>
                <w:color w:val="auto"/>
              </w:rPr>
            </w:pPr>
          </w:p>
        </w:tc>
      </w:tr>
      <w:tr>
        <w:trPr>
          <w:trHeight w:val="230"/>
        </w:trPr>
        <w:tc>
          <w:tcPr>
            <w:tcW w:w="2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92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2120" w:type="dxa"/>
            <w:vAlign w:val="bottom"/>
            <w:gridSpan w:val="3"/>
          </w:tcPr>
          <w:p>
            <w:pPr>
              <w:jc w:val="right"/>
              <w:ind w:right="50"/>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0"/>
                <w:szCs w:val="20"/>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3.05%</w:t>
            </w:r>
          </w:p>
        </w:tc>
        <w:tc>
          <w:tcPr>
            <w:tcW w:w="2280" w:type="dxa"/>
            <w:vAlign w:val="bottom"/>
          </w:tcPr>
          <w:p>
            <w:pPr>
              <w:spacing w:after="0"/>
              <w:rPr>
                <w:sz w:val="20"/>
                <w:szCs w:val="20"/>
                <w:color w:val="auto"/>
              </w:rPr>
            </w:pPr>
          </w:p>
        </w:tc>
      </w:tr>
      <w:tr>
        <w:trPr>
          <w:trHeight w:val="458"/>
        </w:trPr>
        <w:tc>
          <w:tcPr>
            <w:tcW w:w="5220" w:type="dxa"/>
            <w:vAlign w:val="bottom"/>
            <w:gridSpan w:val="3"/>
          </w:tcPr>
          <w:p>
            <w:pPr>
              <w:spacing w:after="0"/>
              <w:rPr>
                <w:sz w:val="20"/>
                <w:szCs w:val="20"/>
                <w:color w:val="auto"/>
              </w:rPr>
            </w:pPr>
            <w:r>
              <w:rPr>
                <w:rFonts w:ascii="Arial" w:cs="Arial" w:eastAsia="Arial" w:hAnsi="Arial"/>
                <w:sz w:val="18"/>
                <w:szCs w:val="18"/>
                <w:i w:val="1"/>
                <w:iCs w:val="1"/>
                <w:color w:val="auto"/>
              </w:rPr>
              <w:t>Supplemental information</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51"/>
        </w:trPr>
        <w:tc>
          <w:tcPr>
            <w:tcW w:w="5220" w:type="dxa"/>
            <w:vAlign w:val="bottom"/>
            <w:gridSpan w:val="3"/>
          </w:tcPr>
          <w:p>
            <w:pPr>
              <w:spacing w:after="0"/>
              <w:rPr>
                <w:sz w:val="20"/>
                <w:szCs w:val="20"/>
                <w:color w:val="auto"/>
              </w:rPr>
            </w:pPr>
            <w:r>
              <w:rPr>
                <w:rFonts w:ascii="Arial" w:cs="Arial" w:eastAsia="Arial" w:hAnsi="Arial"/>
                <w:sz w:val="18"/>
                <w:szCs w:val="18"/>
                <w:color w:val="auto"/>
              </w:rPr>
              <w:t>The following is a maturity analysis of our finance lease liabilities:</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500"/>
        </w:trPr>
        <w:tc>
          <w:tcPr>
            <w:tcW w:w="2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0" w:type="dxa"/>
            <w:vAlign w:val="bottom"/>
            <w:gridSpan w:val="4"/>
          </w:tcPr>
          <w:p>
            <w:pPr>
              <w:ind w:left="320"/>
              <w:spacing w:after="0"/>
              <w:rPr>
                <w:sz w:val="20"/>
                <w:szCs w:val="20"/>
                <w:color w:val="auto"/>
              </w:rPr>
            </w:pPr>
            <w:r>
              <w:rPr>
                <w:rFonts w:ascii="Arial" w:cs="Arial" w:eastAsia="Arial" w:hAnsi="Arial"/>
                <w:sz w:val="18"/>
                <w:szCs w:val="18"/>
                <w:b w:val="1"/>
                <w:bCs w:val="1"/>
                <w:color w:val="auto"/>
              </w:rPr>
              <w:t>As of December 31, 2020</w:t>
            </w:r>
          </w:p>
        </w:tc>
      </w:tr>
      <w:tr>
        <w:trPr>
          <w:trHeight w:val="223"/>
        </w:trPr>
        <w:tc>
          <w:tcPr>
            <w:tcW w:w="2260" w:type="dxa"/>
            <w:vAlign w:val="bottom"/>
          </w:tcPr>
          <w:p>
            <w:pPr>
              <w:spacing w:after="0"/>
              <w:rPr>
                <w:sz w:val="19"/>
                <w:szCs w:val="19"/>
                <w:color w:val="auto"/>
              </w:rPr>
            </w:pPr>
          </w:p>
        </w:tc>
        <w:tc>
          <w:tcPr>
            <w:tcW w:w="29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220" w:type="dxa"/>
            <w:vAlign w:val="bottom"/>
            <w:tcBorders>
              <w:top w:val="single" w:sz="8" w:color="CCEEFF"/>
            </w:tcBorders>
            <w:gridSpan w:val="2"/>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280" w:type="dxa"/>
            <w:vAlign w:val="bottom"/>
            <w:tcBorders>
              <w:left w:val="single" w:sz="8" w:color="CCEEFF"/>
            </w:tcBorders>
          </w:tcPr>
          <w:p>
            <w:pPr>
              <w:spacing w:after="0"/>
              <w:rPr>
                <w:sz w:val="19"/>
                <w:szCs w:val="19"/>
                <w:color w:val="auto"/>
              </w:rPr>
            </w:pPr>
          </w:p>
        </w:tc>
      </w:tr>
      <w:tr>
        <w:trPr>
          <w:trHeight w:val="229"/>
        </w:trPr>
        <w:tc>
          <w:tcPr>
            <w:tcW w:w="226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723.1</w:t>
            </w:r>
          </w:p>
        </w:tc>
        <w:tc>
          <w:tcPr>
            <w:tcW w:w="228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80" w:type="dxa"/>
            <w:vAlign w:val="bottom"/>
            <w:tcBorders>
              <w:left w:val="single" w:sz="8" w:color="CCEEFF"/>
            </w:tcBorders>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80" w:type="dxa"/>
            <w:vAlign w:val="bottom"/>
            <w:tcBorders>
              <w:left w:val="single" w:sz="8" w:color="CCEEFF"/>
            </w:tcBorders>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62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9"/>
                <w:szCs w:val="19"/>
                <w:color w:val="auto"/>
              </w:rPr>
            </w:pPr>
          </w:p>
        </w:tc>
      </w:tr>
      <w:tr>
        <w:trPr>
          <w:trHeight w:val="223"/>
        </w:trPr>
        <w:tc>
          <w:tcPr>
            <w:tcW w:w="2260" w:type="dxa"/>
            <w:vAlign w:val="bottom"/>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undiscounted lease payments</w:t>
            </w:r>
          </w:p>
        </w:tc>
        <w:tc>
          <w:tcPr>
            <w:tcW w:w="6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735.2</w:t>
            </w:r>
          </w:p>
        </w:tc>
        <w:tc>
          <w:tcPr>
            <w:tcW w:w="2280" w:type="dxa"/>
            <w:vAlign w:val="bottom"/>
            <w:tcBorders>
              <w:left w:val="single" w:sz="8" w:color="CCEEFF"/>
            </w:tcBorders>
          </w:tcPr>
          <w:p>
            <w:pPr>
              <w:spacing w:after="0"/>
              <w:rPr>
                <w:sz w:val="19"/>
                <w:szCs w:val="19"/>
                <w:color w:val="auto"/>
              </w:rPr>
            </w:pPr>
          </w:p>
        </w:tc>
      </w:tr>
      <w:tr>
        <w:trPr>
          <w:trHeight w:val="223"/>
        </w:trPr>
        <w:tc>
          <w:tcPr>
            <w:tcW w:w="226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Imputed interest</w:t>
            </w: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(15.1)</w:t>
            </w:r>
          </w:p>
        </w:tc>
        <w:tc>
          <w:tcPr>
            <w:tcW w:w="228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Debt financing costs</w:t>
            </w:r>
          </w:p>
        </w:tc>
        <w:tc>
          <w:tcPr>
            <w:tcW w:w="6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80" w:type="dxa"/>
            <w:vAlign w:val="bottom"/>
            <w:tcBorders>
              <w:left w:val="single" w:sz="8" w:color="CCEEFF"/>
            </w:tcBorders>
          </w:tcPr>
          <w:p>
            <w:pPr>
              <w:spacing w:after="0"/>
              <w:rPr>
                <w:sz w:val="19"/>
                <w:szCs w:val="19"/>
                <w:color w:val="auto"/>
              </w:rPr>
            </w:pPr>
          </w:p>
        </w:tc>
      </w:tr>
      <w:tr>
        <w:trPr>
          <w:trHeight w:val="223"/>
        </w:trPr>
        <w:tc>
          <w:tcPr>
            <w:tcW w:w="226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Total lease liabilities</w:t>
            </w:r>
          </w:p>
        </w:tc>
        <w:tc>
          <w:tcPr>
            <w:tcW w:w="1220" w:type="dxa"/>
            <w:vAlign w:val="bottom"/>
            <w:gridSpan w:val="2"/>
          </w:tcPr>
          <w:p>
            <w:pPr>
              <w:spacing w:after="0"/>
              <w:rPr>
                <w:sz w:val="19"/>
                <w:szCs w:val="19"/>
                <w:color w:val="auto"/>
              </w:rPr>
            </w:pPr>
          </w:p>
        </w:tc>
        <w:tc>
          <w:tcPr>
            <w:tcW w:w="9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717.2</w:t>
            </w:r>
          </w:p>
        </w:tc>
        <w:tc>
          <w:tcPr>
            <w:tcW w:w="2280" w:type="dxa"/>
            <w:vAlign w:val="bottom"/>
          </w:tcPr>
          <w:p>
            <w:pPr>
              <w:spacing w:after="0"/>
              <w:rPr>
                <w:sz w:val="19"/>
                <w:szCs w:val="19"/>
                <w:color w:val="auto"/>
              </w:rPr>
            </w:pPr>
          </w:p>
        </w:tc>
      </w:tr>
      <w:tr>
        <w:trPr>
          <w:trHeight w:val="20"/>
        </w:trPr>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790"/>
        </w:trPr>
        <w:tc>
          <w:tcPr>
            <w:tcW w:w="2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240" w:type="dxa"/>
            <w:vAlign w:val="bottom"/>
            <w:gridSpan w:val="4"/>
          </w:tcPr>
          <w:p>
            <w:pPr>
              <w:ind w:left="240"/>
              <w:spacing w:after="0"/>
              <w:rPr>
                <w:sz w:val="20"/>
                <w:szCs w:val="20"/>
                <w:color w:val="auto"/>
              </w:rPr>
            </w:pPr>
            <w:r>
              <w:rPr>
                <w:rFonts w:ascii="Arial" w:cs="Arial" w:eastAsia="Arial" w:hAnsi="Arial"/>
                <w:sz w:val="18"/>
                <w:szCs w:val="18"/>
                <w:color w:val="auto"/>
              </w:rPr>
              <w:t>F-30</w:t>
            </w:r>
          </w:p>
        </w:tc>
        <w:tc>
          <w:tcPr>
            <w:tcW w:w="15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58"/>
        </w:trPr>
        <w:tc>
          <w:tcPr>
            <w:tcW w:w="2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6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2" w:name="page133"/>
    <w:bookmarkEnd w:id="13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REGENERON PHARMACEUTICALS, INC. NOTES TO CONSOLIDATED FINANCIAL STATEMENTS (Continued) </w:t>
      </w: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Research Collaboration and Licensing Agreements</w:t>
      </w:r>
    </w:p>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part of our research and development efforts, we enter into research collaboration and licensing agreements with other companies, universities, and other organizations. These agreements contain varying terms and provisions which include fees to be paid by the Company, services to be provided, and license rights to certain proprietary technology developed under the agreements. Some of these agreements may require the Company to pay additional amounts upon the achievement of various development and commercial milestones, contingent upon the occurrence of various future events. Additionally, we have in-licensed patent and/or technology pursuant to agreements which contain provisions that require the Company to pay royalties, as defined, at rates that range from 0.5% to 11.5%, in the event the Company sells or licenses any proprietary products developed under the respective agreements. The Company also has contingent reimbursement obligations to its collaborators Sanofi and Bayer out of the respective collaboration's profits, if they are sufficient for that purpose. See Note 3 for a more detailed description of collaboration, license, and other agreements.</w:t>
      </w:r>
    </w:p>
    <w:p>
      <w:pPr>
        <w:spacing w:after="0" w:line="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years ended December 31, 2020, 2019, and 2018, the Company recorded royalty expense (net of reimbursements from collaborators, as applicable) in Cost of goods sold and Cost of collaboration and contract manufacturing of $56.5 million, $47.0 million, and $30.1 million, respectively, based on product sales of commercial products under various licensing agreements.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Restated Certificate of Incorporation, as amended, provides for the issuance of up to 40 million shares of Class A Stock, par value $0.001 per share, and 320 million shares of Common Stock, par value $0.001 per share. Shares of Class A Stock are convertible, at any time, at the option of the holder into shares of Common Stock on a share-for-share basis. Holders of Class A Stock have rights and privileges identical to Common Stockholders except that each share of Class A is entitled to ten votes per share, while each share of Common Stock is entitled to one vote per share. Class A Stock may only be transferred to specified Permitted Transferees, as defined. Under the Company's Restated Certificate of Incorporation, the Company's board of directors is authorized to issue up to 30 million shares of Preferred Stock, in series, with rights, privileges, and qualifications of each series determined by the board of directors.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2019, our board of directors authorized a share repurchase program to repurchase up to $1.0 billion of our Common Stock. The share repurchase program permitted the Company to effect repurchases through a variety of methods, including open-market transactions (including pursuant to a trading plan adopted in accordance with Rule 10b5-1 of the Exchange Act), privately negotiated transactions, accelerated share repurchases, block trades, and other transactions in compliance with Rule 10b-18 of the Exchange Act. As of December 31, 2020, the Company had repurchased the entire $1.0 billion it was authorized to repurchase under the program.</w:t>
      </w:r>
    </w:p>
    <w:p>
      <w:pPr>
        <w:spacing w:after="0" w:line="10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table below summarizes the shares of our Common Stock we repurchased under the program and the cost of the shares received, which were recorded as Treasury Stock.</w:t>
      </w:r>
    </w:p>
    <w:p>
      <w:pPr>
        <w:spacing w:after="0" w:line="139" w:lineRule="exact"/>
        <w:rPr>
          <w:sz w:val="20"/>
          <w:szCs w:val="20"/>
          <w:color w:val="auto"/>
        </w:rPr>
      </w:pPr>
    </w:p>
    <w:tbl>
      <w:tblPr>
        <w:tblLayout w:type="fixed"/>
        <w:tblInd w:w="216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w w:val="95"/>
              </w:rPr>
              <w:t>Year Ended December 31,</w:t>
            </w:r>
          </w:p>
        </w:tc>
      </w:tr>
      <w:tr>
        <w:trPr>
          <w:trHeight w:val="223"/>
        </w:trPr>
        <w:tc>
          <w:tcPr>
            <w:tcW w:w="4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shares repurchased</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1,605,582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722,596</w:t>
            </w: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Total cost of shares received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746.0</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254.0</w:t>
            </w:r>
          </w:p>
        </w:tc>
      </w:tr>
    </w:tbl>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January 2021, our board of directors authorized a new share repurchase program to repurchase up to $1.5 billion of our Common Stock. The share repurchase program was approved under terms substantially similar to the November 2019 share repurchase program described above.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Arrangements with Sanofi</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2007, Sanofi purchased 12 million newly issued, unregistered shares of the Company's Common Stock. As a condition to the closing of this transaction, Sanofi entered into an investor agreement, as amended and restated, with the Company. Under the amended and restated investor agreement, Sanofi agreed not to dispose of any shares of the Company's Common Stock beneficially owned by Sanofi from time to time until December 20, 2020 (subject to the limited waiver described below).</w:t>
      </w:r>
    </w:p>
    <w:p>
      <w:pPr>
        <w:spacing w:after="0" w:line="10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Further, pursuant to the amended and restated investor agreement, Sanofi is bound by certain "standstill" provisions, which contractually prohibit Sanofi from seeking to directly or indirectly exert control of the Company or acquiring more than 30% of</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3" w:name="page134"/>
    <w:bookmarkEnd w:id="13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REGENERON PHARMACEUTICALS, INC. NOTES TO CONSOLIDATED FINANCIAL STATEMENTS (Continued) </w:t>
      </w: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outstanding shares of the Company's Class A Stock and Common Stock (taken together). This prohibition will remain in place until the earliest of (i) the later of the fifth anniversaries of the expiration or earlier termination of the Company's License and Collaboration Agreement with Sanofi and the Company's ZALTRAP Agreement with Sanofi, each as amended, and (ii) other specified events. Sanofi has also agreed to vote as recommended by the Company's board of directors, except that it may elect to vote proportionally with the votes cast by all of the Company's other shareholders with respect to certain change-of-control transactions, and to vote in its sole discretion with respect to liquidation or dissolution, stock issuances equal to or exceeding 20% of the outstanding shares or voting rights of the Company's Class A Stock and Common Stock (taken together), and new equity compensation plans or amendments if not materially consistent with the Company's historical equity compensation practices. The rights and restrictions under the investor agreement are subject to termination upon the occurrence of certain events and have been amended in connection with the Secondary Offering and the Stock Purchase (each as defined below).</w:t>
      </w:r>
    </w:p>
    <w:p>
      <w:pPr>
        <w:spacing w:after="0" w:line="10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described in Note 3, effective January 2018, we and Sanofi entered into a Letter Agreement, which, among other things, amended certain provisions of the amended and restated investor agreement. Pursuant to the Letter Agreement, we granted Sanofi a limited waiver of the lock-up obligations under the investor agreement in order to allow Sanofi to satisfy in whole or in part its funding obligations with respect to Libtayo development costs and/or Dupilumab/Itepekimab Eligible Investments for quarterly periods ending on September 30, 2020 by selling our Common Stock directly or indirectly owned by Sanofi. The table below summarizes the shares of our Common Stock Sanofi elected to sell, and we elected to purchase, to satisfy Sanofi's funding obligations and the cost of the shares received, which were recorded as Treasury Stock.</w:t>
      </w:r>
    </w:p>
    <w:p>
      <w:pPr>
        <w:spacing w:after="0" w:line="147"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w w:val="88"/>
              </w:rPr>
              <w:t>As of December 31,</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Libtayo:</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040" w:type="dxa"/>
            <w:vAlign w:val="bottom"/>
          </w:tcPr>
          <w:p>
            <w:pPr>
              <w:ind w:left="220"/>
              <w:spacing w:after="0" w:line="176" w:lineRule="exact"/>
              <w:rPr>
                <w:sz w:val="20"/>
                <w:szCs w:val="20"/>
                <w:color w:val="auto"/>
              </w:rPr>
            </w:pPr>
            <w:r>
              <w:rPr>
                <w:rFonts w:ascii="Arial" w:cs="Arial" w:eastAsia="Arial" w:hAnsi="Arial"/>
                <w:sz w:val="18"/>
                <w:szCs w:val="18"/>
                <w:color w:val="auto"/>
                <w:w w:val="98"/>
              </w:rPr>
              <w:t>Number of shares purchased (by issuing a credit towards the</w:t>
            </w:r>
          </w:p>
        </w:tc>
        <w:tc>
          <w:tcPr>
            <w:tcW w:w="2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77,677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210,733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215,387</w:t>
            </w:r>
          </w:p>
        </w:tc>
        <w:tc>
          <w:tcPr>
            <w:tcW w:w="0" w:type="dxa"/>
            <w:vAlign w:val="bottom"/>
          </w:tcPr>
          <w:p>
            <w:pPr>
              <w:spacing w:after="0"/>
              <w:rPr>
                <w:sz w:val="1"/>
                <w:szCs w:val="1"/>
                <w:color w:val="auto"/>
              </w:rPr>
            </w:pPr>
          </w:p>
        </w:tc>
      </w:tr>
      <w:tr>
        <w:trPr>
          <w:trHeight w:val="230"/>
        </w:trPr>
        <w:tc>
          <w:tcPr>
            <w:tcW w:w="5040" w:type="dxa"/>
            <w:vAlign w:val="bottom"/>
          </w:tcPr>
          <w:p>
            <w:pPr>
              <w:ind w:left="380"/>
              <w:spacing w:after="0"/>
              <w:rPr>
                <w:sz w:val="20"/>
                <w:szCs w:val="20"/>
                <w:color w:val="auto"/>
              </w:rPr>
            </w:pPr>
            <w:r>
              <w:rPr>
                <w:rFonts w:ascii="Arial" w:cs="Arial" w:eastAsia="Arial" w:hAnsi="Arial"/>
                <w:sz w:val="18"/>
                <w:szCs w:val="18"/>
                <w:color w:val="auto"/>
              </w:rPr>
              <w:t>amount owed by Sanofi)</w:t>
            </w:r>
          </w:p>
        </w:tc>
        <w:tc>
          <w:tcPr>
            <w:tcW w:w="2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cost of shares received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Dupilumab/Itepekimab:</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20"/>
              <w:spacing w:after="0"/>
              <w:rPr>
                <w:sz w:val="20"/>
                <w:szCs w:val="20"/>
                <w:color w:val="auto"/>
              </w:rPr>
            </w:pPr>
            <w:r>
              <w:rPr>
                <w:rFonts w:ascii="Arial" w:cs="Arial" w:eastAsia="Arial" w:hAnsi="Arial"/>
                <w:sz w:val="18"/>
                <w:szCs w:val="18"/>
                <w:color w:val="auto"/>
              </w:rPr>
              <w:t>Number of shares purchased (in cash)</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171,471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93,286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10,766</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cost of shares received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2020, a secondary offering of 13,014,646 shares of our Common Stock (the "Secondary Offering") held by Sanofi was completed. In connection with the Secondary Offering, we also purchased 9,806,805 shares directly from Sanofi for an aggregate purchase amount of $5 billion (the "Stock Purchase"). See Note 9 for additional information. As a result of the Secondary Offering and the Stock Purchase, Sanofi disposed of all of its shares of our Common Stock, other than 400,000 shares that it retained as of the closing of the Secondary Offering and the Stock Purchase (a portion of which Sanofi has used for the funding of certain development costs described above).</w:t>
      </w:r>
    </w:p>
    <w:p>
      <w:pPr>
        <w:spacing w:after="0" w:line="12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May 2020, the Company entered into an amendment to the amended and restated investor agreement, which provides, among other things, that following the Secondary Offering and Share Purchase, (1) the “standstill” provisions, which contractually prohibit Sanofi from seeking to directly or indirectly exert control of the Company, continue to apply pursuant to their terms; (2) the voting commitments contained in the investor agreement continue to apply to the shares of Common Stock held by Sanofi and its affiliates following the secondary offering and stock repurchase, for so long as such shares are held by them; and (3) the lock-up restrictions in the investor agreement continued to apply to the shares of Common Stock held by Sanofi following the Secondary Offering and Stock Purchase until December 20, 2020 (except those shares which could be used to satisfy certain funding obligations of Sanofi).</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Arrangements with Other Collaborators</w:t>
      </w:r>
    </w:p>
    <w:p>
      <w:pPr>
        <w:spacing w:after="0" w:line="14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connection with the Company's license and collaboration agreements with Bayer for the joint development and commercialization outside the United States of antibody product candidates to PDGFR-beta and Ang2, Bayer is bound by certain "standstill" provisions, which contractually prohibit Bayer from seeking to influence the control of the Company or acquiring more than 20% of the Company's outstanding shares of Class A Stock and Common Stock (taken together). With respect to each of these agreements, this prohibition will remain in place until the earliest of (i) the fifth anniversary of the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4" w:name="page135"/>
    <w:bookmarkEnd w:id="13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REGENERON PHARMACEUTICALS, INC. NOTES TO CONSOLIDATED FINANCIAL STATEMENTS (Continued) </w:t>
      </w: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termination of the agreement (which, in the case of the PDGFR-beta license and collaboration agreement, occurred on July 31, 2017, and, in the case of the Ang2 agreement, occurred on November 1, 2018) or (ii) other specified events.</w:t>
      </w:r>
    </w:p>
    <w:p>
      <w:pPr>
        <w:spacing w:after="0" w:line="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pursuant to the 2016 Teva Collaboration Agreement, Teva and its affiliates are bound by certain "standstill" provisions, which contractually prohibit them from seeking to directly or indirectly exert control of the Company or acquiring more than 5% of the Company's Class A Stock and Common Stock (taken together). This prohibition will remain in place until the earliest of (i) the fifth anniversary of the expiration or earlier termination of the agreement or (ii) other specified events.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Long-Term Incentive Plans</w:t>
      </w:r>
    </w:p>
    <w:p>
      <w:pPr>
        <w:spacing w:after="0" w:line="16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has used long-term incentive plans for the purpose of granting equity awards to employees of the Company, including officers, and nonemployees, including nonemployee members of the Company's board of directors (collectively, "Participants"). The Participants may receive awards as determined by a committee of independent members of the Company's board of directors or, to the extent authorized by such committee with respect to certain Participants, a duly authorized employee (collectively, the "Committee"). The incentive plan currently used by the Company is the Second Amended and Restated Regeneron Pharmaceuticals, Inc. 2014 Long-Term Incentive Plan (the "Second Amended and Restated 2014 Incentive Plan"). It was most recently adopted and approved by the Company's shareholders in 2020, at which time the Company registered an additional 12,000,000 shares of Common Stock for issuance thereunder. As of the most recent shareholder approval date, the Second Amended and Restated 2014 Incentive Plan provided for the issuance of up to 22,269,970 shares of Common Stock in respect of awards. In addition, upon expiration, forfeiture, surrender, exchange, cancellation, or termination of any award previously granted under the Amended and Restated Regeneron Pharmaceuticals, Inc. 2014 Long-Term Incentive Plan (the "Amended and Restated 2014 Incentive Plan"), the Regeneron Pharmaceuticals, Inc. 2014 Long-Term Incentive Plan (the "Original 2014 Incentive Plan"), or the Second Amended and Restated 2000 Long-Term Incentive Plan (the "2000 Incentive Plan"), any shares subject to such award are added to the pool of shares available for grant under the Second Amended and Restated 2014 Incentive Plan.</w:t>
      </w:r>
    </w:p>
    <w:p>
      <w:pPr>
        <w:spacing w:after="0" w:line="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awards that may be made under the Second Amended and Restated 2014 Incentive Plan include: (a) incentive stock options and nonqualified stock options, (b) shares of restricted stock, (c) shares of phantom stock (also referred to as restricted stock units, which may be time- or performance-based), and</w:t>
      </w:r>
    </w:p>
    <w:p>
      <w:pPr>
        <w:ind w:firstLine="8"/>
        <w:spacing w:after="0" w:line="260" w:lineRule="auto"/>
        <w:tabs>
          <w:tab w:leader="none" w:pos="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other awards. Any award granted may (but is not required to) be subject to vesting based on the attainment by the Company of performance goals pre-established by the Committee.</w:t>
      </w:r>
    </w:p>
    <w:p>
      <w:pPr>
        <w:spacing w:after="0" w:line="11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Stock option awards grant Participants the right to purchase shares of Common Stock at prices determined by the Committee, with exercise prices that are equal to or greater than the average of the high and low market prices of the Company's Common Stock on the date of grant (the "Market Price"). Options vest over a period of time determined by the Committee, generally on a pro rata basis over a three- to four-year period. The Committee also determines the expiration date of each option. The maximum term of options that have been awarded under the 2000 Incentive Plan, the Original 2014 Incentive Plan, the Amended and Restated 2014 Incentive Plan, and the Second Amended and Restated 2014 Incentive Plan (collectively, the "Incentive Plans") is ten years.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Restricted stock awards grant Participants shares of restricted Common Stock or allow Participants to purchase such shares at a price determined by the Committee. Such shares are nontransferable for a period determined by the Committee ("vesting period"). Should employment terminate, as specified in the Incentive Plans, except as determined by the Committee in its discretion and subject to the applicable Incentive Plan documents, the ownership of any unvested restricted stock will be transferred to the Company.</w:t>
      </w:r>
    </w:p>
    <w:p>
      <w:pPr>
        <w:spacing w:after="0" w:line="10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Phantom stock awards provide the Participant the right to receive Common Stock or an amount of cash based on the value of the Common Stock at a future date. The award is subject to such restrictions, if any, as the Committee may impose at the date of grant or thereafter, including a specified period of employment or the achievement of performance goals. Time-based restricted stock units and performance-based restricted stock units are each a type of phantom stock award permitted under the Second Amended and Restated 2014 Incentive Plan.</w:t>
      </w:r>
    </w:p>
    <w:p>
      <w:pPr>
        <w:spacing w:after="0" w:line="1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Incentive Plans contain provisions that allow for the Committee to provide for the immediate vesting of awards upon a change in control of the Company, as defined in the Incentive Plans.</w:t>
      </w:r>
    </w:p>
    <w:p>
      <w:pPr>
        <w:spacing w:after="0" w:line="10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December 31, 2020, there were 18,916,095 shares available for future grants under the Second Amended and Restated 2014 Incentive Plan. No additional awards may be made under the 2000 Incentive Plan, the Original 2014 Incentive Plan, or the Amended and Restated 2014 Incentive Plan.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5" w:name="page136"/>
    <w:bookmarkEnd w:id="13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REGENERON PHARMACEUTICALS, INC. NOTES TO CONSOLIDATED FINANCIAL STATEMENTS (Continued) </w:t>
      </w: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90" w:lineRule="exact"/>
        <w:rPr>
          <w:sz w:val="20"/>
          <w:szCs w:val="20"/>
          <w:color w:val="auto"/>
        </w:rPr>
      </w:pPr>
    </w:p>
    <w:p>
      <w:pPr>
        <w:ind w:left="360" w:hanging="352"/>
        <w:spacing w:after="0"/>
        <w:tabs>
          <w:tab w:leader="none" w:pos="360" w:val="left"/>
        </w:tabs>
        <w:numPr>
          <w:ilvl w:val="0"/>
          <w:numId w:val="6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 Options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Transactions involving stock option awards during 2020 under the Company's Incentive Plans are summarized in the table below.</w:t>
      </w:r>
    </w:p>
    <w:p>
      <w:pPr>
        <w:spacing w:after="0" w:line="167"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3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1"/>
              </w:rPr>
              <w:t>Weighted-</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Weighted-</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2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60" w:type="dxa"/>
            <w:vAlign w:val="bottom"/>
          </w:tcPr>
          <w:p>
            <w:pPr>
              <w:spacing w:after="0"/>
              <w:rPr>
                <w:sz w:val="15"/>
                <w:szCs w:val="15"/>
                <w:color w:val="auto"/>
              </w:rPr>
            </w:pPr>
          </w:p>
        </w:tc>
        <w:tc>
          <w:tcPr>
            <w:tcW w:w="13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7"/>
              </w:rPr>
              <w:t>Average</w:t>
            </w:r>
          </w:p>
        </w:tc>
        <w:tc>
          <w:tcPr>
            <w:tcW w:w="142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6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6"/>
              </w:rPr>
              <w:t>Exercise</w:t>
            </w:r>
          </w:p>
        </w:tc>
        <w:tc>
          <w:tcPr>
            <w:tcW w:w="142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3"/>
              </w:rPr>
              <w:t>Contractual</w:t>
            </w:r>
          </w:p>
        </w:tc>
        <w:tc>
          <w:tcPr>
            <w:tcW w:w="160" w:type="dxa"/>
            <w:vAlign w:val="bottom"/>
          </w:tcPr>
          <w:p>
            <w:pPr>
              <w:spacing w:after="0"/>
              <w:rPr>
                <w:sz w:val="15"/>
                <w:szCs w:val="15"/>
                <w:color w:val="auto"/>
              </w:rPr>
            </w:pPr>
          </w:p>
        </w:tc>
        <w:tc>
          <w:tcPr>
            <w:tcW w:w="146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5"/>
              </w:rPr>
              <w:t>Intrinsic Value</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19"/>
                <w:szCs w:val="19"/>
                <w:color w:val="auto"/>
              </w:rPr>
            </w:pPr>
          </w:p>
        </w:tc>
        <w:tc>
          <w:tcPr>
            <w:tcW w:w="1300" w:type="dxa"/>
            <w:vAlign w:val="bottom"/>
          </w:tcPr>
          <w:p>
            <w:pPr>
              <w:jc w:val="right"/>
              <w:ind w:right="31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Term (in years)</w:t>
            </w:r>
          </w:p>
        </w:tc>
        <w:tc>
          <w:tcPr>
            <w:tcW w:w="16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2019</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28,609,277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337.24</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b w:val="1"/>
                <w:bCs w:val="1"/>
                <w:color w:val="auto"/>
              </w:rPr>
              <w:t xml:space="preserve">2020:  </w:t>
            </w: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2,850,590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492.60</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Forfeited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(562,629)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660"/>
              <w:spacing w:after="0"/>
              <w:rPr>
                <w:sz w:val="20"/>
                <w:szCs w:val="20"/>
                <w:color w:val="auto"/>
              </w:rPr>
            </w:pPr>
            <w:r>
              <w:rPr>
                <w:rFonts w:ascii="Arial" w:cs="Arial" w:eastAsia="Arial" w:hAnsi="Arial"/>
                <w:sz w:val="18"/>
                <w:szCs w:val="18"/>
                <w:color w:val="auto"/>
              </w:rPr>
              <w:t>Expired</w:t>
            </w:r>
          </w:p>
        </w:tc>
        <w:tc>
          <w:tcPr>
            <w:tcW w:w="1300" w:type="dxa"/>
            <w:vAlign w:val="bottom"/>
          </w:tcPr>
          <w:p>
            <w:pPr>
              <w:jc w:val="right"/>
              <w:spacing w:after="0"/>
              <w:rPr>
                <w:sz w:val="20"/>
                <w:szCs w:val="20"/>
                <w:color w:val="auto"/>
              </w:rPr>
            </w:pPr>
            <w:r>
              <w:rPr>
                <w:rFonts w:ascii="Arial" w:cs="Arial" w:eastAsia="Arial" w:hAnsi="Arial"/>
                <w:sz w:val="18"/>
                <w:szCs w:val="18"/>
                <w:color w:val="auto"/>
              </w:rPr>
              <w:t>(56,282)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473.77</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Exercised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(9,139,287)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color w:val="auto"/>
              </w:rPr>
              <w:t>Outstanding as of December 31, 2020</w:t>
            </w:r>
          </w:p>
        </w:tc>
        <w:tc>
          <w:tcPr>
            <w:tcW w:w="1300" w:type="dxa"/>
            <w:vAlign w:val="bottom"/>
          </w:tcPr>
          <w:p>
            <w:pPr>
              <w:jc w:val="right"/>
              <w:spacing w:after="0"/>
              <w:rPr>
                <w:sz w:val="20"/>
                <w:szCs w:val="20"/>
                <w:color w:val="auto"/>
              </w:rPr>
            </w:pPr>
            <w:r>
              <w:rPr>
                <w:rFonts w:ascii="Arial" w:cs="Arial" w:eastAsia="Arial" w:hAnsi="Arial"/>
                <w:sz w:val="18"/>
                <w:szCs w:val="18"/>
                <w:color w:val="auto"/>
              </w:rPr>
              <w:t>21,701,669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379.51</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2,347.4</w:t>
            </w:r>
          </w:p>
        </w:tc>
        <w:tc>
          <w:tcPr>
            <w:tcW w:w="0" w:type="dxa"/>
            <w:vAlign w:val="bottom"/>
          </w:tcPr>
          <w:p>
            <w:pPr>
              <w:spacing w:after="0"/>
              <w:rPr>
                <w:sz w:val="1"/>
                <w:szCs w:val="1"/>
                <w:color w:val="auto"/>
              </w:rPr>
            </w:pPr>
          </w:p>
        </w:tc>
      </w:tr>
      <w:tr>
        <w:trPr>
          <w:trHeight w:val="162"/>
        </w:trPr>
        <w:tc>
          <w:tcPr>
            <w:tcW w:w="38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60" w:type="dxa"/>
            <w:vAlign w:val="bottom"/>
          </w:tcPr>
          <w:p>
            <w:pPr>
              <w:ind w:left="20"/>
              <w:spacing w:after="0" w:line="176" w:lineRule="exact"/>
              <w:rPr>
                <w:sz w:val="20"/>
                <w:szCs w:val="20"/>
                <w:color w:val="auto"/>
              </w:rPr>
            </w:pPr>
            <w:r>
              <w:rPr>
                <w:rFonts w:ascii="Arial" w:cs="Arial" w:eastAsia="Arial" w:hAnsi="Arial"/>
                <w:sz w:val="18"/>
                <w:szCs w:val="18"/>
                <w:color w:val="auto"/>
                <w:w w:val="98"/>
              </w:rPr>
              <w:t>Vested and expected to vest as of December 31,</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20,764,534</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377.23</w:t>
            </w:r>
          </w:p>
        </w:tc>
        <w:tc>
          <w:tcPr>
            <w:tcW w:w="1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2,294.1</w:t>
            </w:r>
          </w:p>
        </w:tc>
        <w:tc>
          <w:tcPr>
            <w:tcW w:w="0" w:type="dxa"/>
            <w:vAlign w:val="bottom"/>
          </w:tcPr>
          <w:p>
            <w:pPr>
              <w:spacing w:after="0"/>
              <w:rPr>
                <w:sz w:val="1"/>
                <w:szCs w:val="1"/>
                <w:color w:val="auto"/>
              </w:rPr>
            </w:pPr>
          </w:p>
        </w:tc>
      </w:tr>
      <w:tr>
        <w:trPr>
          <w:trHeight w:val="230"/>
        </w:trPr>
        <w:tc>
          <w:tcPr>
            <w:tcW w:w="3860" w:type="dxa"/>
            <w:vAlign w:val="bottom"/>
          </w:tcPr>
          <w:p>
            <w:pPr>
              <w:ind w:left="180"/>
              <w:spacing w:after="0"/>
              <w:rPr>
                <w:sz w:val="20"/>
                <w:szCs w:val="20"/>
                <w:color w:val="auto"/>
              </w:rPr>
            </w:pPr>
            <w:r>
              <w:rPr>
                <w:rFonts w:ascii="Arial" w:cs="Arial" w:eastAsia="Arial" w:hAnsi="Arial"/>
                <w:sz w:val="18"/>
                <w:szCs w:val="18"/>
                <w:color w:val="auto"/>
              </w:rPr>
              <w:t>2020</w:t>
            </w:r>
          </w:p>
        </w:tc>
        <w:tc>
          <w:tcPr>
            <w:tcW w:w="130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Exercisable as of December 31, 2020</w:t>
            </w:r>
          </w:p>
        </w:tc>
        <w:tc>
          <w:tcPr>
            <w:tcW w:w="1300" w:type="dxa"/>
            <w:vAlign w:val="bottom"/>
          </w:tcPr>
          <w:p>
            <w:pPr>
              <w:jc w:val="right"/>
              <w:spacing w:after="0"/>
              <w:rPr>
                <w:sz w:val="20"/>
                <w:szCs w:val="20"/>
                <w:color w:val="auto"/>
              </w:rPr>
            </w:pPr>
            <w:r>
              <w:rPr>
                <w:rFonts w:ascii="Arial" w:cs="Arial" w:eastAsia="Arial" w:hAnsi="Arial"/>
                <w:sz w:val="18"/>
                <w:szCs w:val="18"/>
                <w:color w:val="auto"/>
              </w:rPr>
              <w:t>13,648,899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357.65</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1,799.1</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satisfies stock option exercises with newly issued shares of the Company's Common Stock. The total intrinsic value of stock options exercised during 2020, 2019, and 2018 was $2.251 billion, $558.9 million, and $510.6 million, respectively. The intrinsic value represents the amount by which the market price of the underlying stock exceeds the exercise price of an option.</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summarizes the weighted-average exercise prices and weighted-average grant-date fair values of options issued during the years ended December 31, 2020, 2019, and 2018.</w:t>
      </w:r>
    </w:p>
    <w:p>
      <w:pPr>
        <w:spacing w:after="0" w:line="113" w:lineRule="exact"/>
        <w:rPr>
          <w:sz w:val="20"/>
          <w:szCs w:val="20"/>
          <w:color w:val="auto"/>
        </w:rPr>
      </w:pPr>
    </w:p>
    <w:tbl>
      <w:tblPr>
        <w:tblLayout w:type="fixed"/>
        <w:tblInd w:w="1740" w:type="dxa"/>
        <w:tblCellMar>
          <w:top w:w="0" w:type="dxa"/>
          <w:left w:w="0" w:type="dxa"/>
          <w:bottom w:w="0" w:type="dxa"/>
          <w:right w:w="0" w:type="dxa"/>
        </w:tblCellMar>
      </w:tblPr>
      <w:tr>
        <w:trPr>
          <w:trHeight w:val="207"/>
        </w:trPr>
        <w:tc>
          <w:tcPr>
            <w:tcW w:w="400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Number of</w:t>
            </w:r>
          </w:p>
        </w:tc>
        <w:tc>
          <w:tcPr>
            <w:tcW w:w="16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Weighted-</w:t>
            </w:r>
          </w:p>
        </w:tc>
      </w:tr>
      <w:tr>
        <w:trPr>
          <w:trHeight w:val="175"/>
        </w:trPr>
        <w:tc>
          <w:tcPr>
            <w:tcW w:w="4000" w:type="dxa"/>
            <w:vAlign w:val="bottom"/>
          </w:tcPr>
          <w:p>
            <w:pPr>
              <w:spacing w:after="0"/>
              <w:rPr>
                <w:sz w:val="15"/>
                <w:szCs w:val="15"/>
                <w:color w:val="auto"/>
              </w:rPr>
            </w:pPr>
          </w:p>
        </w:tc>
        <w:tc>
          <w:tcPr>
            <w:tcW w:w="126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1"/>
              </w:rPr>
              <w:t>Options</w:t>
            </w:r>
          </w:p>
        </w:tc>
        <w:tc>
          <w:tcPr>
            <w:tcW w:w="160" w:type="dxa"/>
            <w:vAlign w:val="bottom"/>
          </w:tcPr>
          <w:p>
            <w:pPr>
              <w:spacing w:after="0"/>
              <w:rPr>
                <w:sz w:val="15"/>
                <w:szCs w:val="15"/>
                <w:color w:val="auto"/>
              </w:rPr>
            </w:pPr>
          </w:p>
        </w:tc>
        <w:tc>
          <w:tcPr>
            <w:tcW w:w="116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0"/>
              </w:rPr>
              <w:t>Average</w:t>
            </w:r>
          </w:p>
        </w:tc>
        <w:tc>
          <w:tcPr>
            <w:tcW w:w="120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1"/>
              </w:rPr>
              <w:t>Average Fair</w:t>
            </w:r>
          </w:p>
        </w:tc>
      </w:tr>
      <w:tr>
        <w:trPr>
          <w:trHeight w:val="230"/>
        </w:trPr>
        <w:tc>
          <w:tcPr>
            <w:tcW w:w="4000" w:type="dxa"/>
            <w:vAlign w:val="bottom"/>
          </w:tcPr>
          <w:p>
            <w:pPr>
              <w:spacing w:after="0"/>
              <w:rPr>
                <w:sz w:val="19"/>
                <w:szCs w:val="19"/>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Granted</w:t>
            </w: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Exercise Price</w:t>
            </w:r>
          </w:p>
        </w:tc>
        <w:tc>
          <w:tcPr>
            <w:tcW w:w="140" w:type="dxa"/>
            <w:vAlign w:val="bottom"/>
          </w:tcPr>
          <w:p>
            <w:pPr>
              <w:spacing w:after="0"/>
              <w:rPr>
                <w:sz w:val="19"/>
                <w:szCs w:val="19"/>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Value</w:t>
            </w:r>
          </w:p>
        </w:tc>
      </w:tr>
      <w:tr>
        <w:trPr>
          <w:trHeight w:val="210"/>
        </w:trPr>
        <w:tc>
          <w:tcPr>
            <w:tcW w:w="4000" w:type="dxa"/>
            <w:vAlign w:val="bottom"/>
            <w:tcBorders>
              <w:top w:val="single" w:sz="8" w:color="CCEEFF"/>
            </w:tcBorders>
            <w:shd w:val="clear" w:color="auto" w:fill="CCEEFF"/>
          </w:tcPr>
          <w:p>
            <w:pPr>
              <w:jc w:val="right"/>
              <w:ind w:right="3490"/>
              <w:spacing w:after="0"/>
              <w:rPr>
                <w:sz w:val="20"/>
                <w:szCs w:val="20"/>
                <w:color w:val="auto"/>
              </w:rPr>
            </w:pPr>
            <w:r>
              <w:rPr>
                <w:rFonts w:ascii="Arial" w:cs="Arial" w:eastAsia="Arial" w:hAnsi="Arial"/>
                <w:sz w:val="18"/>
                <w:szCs w:val="18"/>
                <w:color w:val="auto"/>
                <w:w w:val="88"/>
              </w:rPr>
              <w:t>2020:</w:t>
            </w: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30"/>
        </w:trPr>
        <w:tc>
          <w:tcPr>
            <w:tcW w:w="4000" w:type="dxa"/>
            <w:vAlign w:val="bottom"/>
          </w:tcPr>
          <w:p>
            <w:pPr>
              <w:jc w:val="right"/>
              <w:ind w:right="1070"/>
              <w:spacing w:after="0"/>
              <w:rPr>
                <w:sz w:val="20"/>
                <w:szCs w:val="20"/>
                <w:color w:val="auto"/>
              </w:rPr>
            </w:pPr>
            <w:r>
              <w:rPr>
                <w:rFonts w:ascii="Arial" w:cs="Arial" w:eastAsia="Arial" w:hAnsi="Arial"/>
                <w:sz w:val="18"/>
                <w:szCs w:val="18"/>
                <w:color w:val="auto"/>
                <w:w w:val="97"/>
              </w:rPr>
              <w:t>Exercise price equal to Market Price</w:t>
            </w:r>
          </w:p>
        </w:tc>
        <w:tc>
          <w:tcPr>
            <w:tcW w:w="1160" w:type="dxa"/>
            <w:vAlign w:val="bottom"/>
          </w:tcPr>
          <w:p>
            <w:pPr>
              <w:jc w:val="right"/>
              <w:spacing w:after="0"/>
              <w:rPr>
                <w:sz w:val="20"/>
                <w:szCs w:val="20"/>
                <w:color w:val="auto"/>
              </w:rPr>
            </w:pPr>
            <w:r>
              <w:rPr>
                <w:rFonts w:ascii="Arial" w:cs="Arial" w:eastAsia="Arial" w:hAnsi="Arial"/>
                <w:sz w:val="18"/>
                <w:szCs w:val="18"/>
                <w:color w:val="auto"/>
              </w:rPr>
              <w:t>2,850,590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492.60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126.50</w:t>
            </w:r>
          </w:p>
        </w:tc>
      </w:tr>
      <w:tr>
        <w:trPr>
          <w:trHeight w:val="229"/>
        </w:trPr>
        <w:tc>
          <w:tcPr>
            <w:tcW w:w="4000" w:type="dxa"/>
            <w:vAlign w:val="bottom"/>
            <w:shd w:val="clear" w:color="auto" w:fill="CCEEFF"/>
          </w:tcPr>
          <w:p>
            <w:pPr>
              <w:jc w:val="right"/>
              <w:ind w:right="3490"/>
              <w:spacing w:after="0"/>
              <w:rPr>
                <w:sz w:val="20"/>
                <w:szCs w:val="20"/>
                <w:color w:val="auto"/>
              </w:rPr>
            </w:pPr>
            <w:r>
              <w:rPr>
                <w:rFonts w:ascii="Arial" w:cs="Arial" w:eastAsia="Arial" w:hAnsi="Arial"/>
                <w:sz w:val="18"/>
                <w:szCs w:val="18"/>
                <w:color w:val="auto"/>
                <w:w w:val="88"/>
              </w:rPr>
              <w:t>2019:</w:t>
            </w: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4000" w:type="dxa"/>
            <w:vAlign w:val="bottom"/>
          </w:tcPr>
          <w:p>
            <w:pPr>
              <w:jc w:val="right"/>
              <w:ind w:right="1070"/>
              <w:spacing w:after="0"/>
              <w:rPr>
                <w:sz w:val="20"/>
                <w:szCs w:val="20"/>
                <w:color w:val="auto"/>
              </w:rPr>
            </w:pPr>
            <w:r>
              <w:rPr>
                <w:rFonts w:ascii="Arial" w:cs="Arial" w:eastAsia="Arial" w:hAnsi="Arial"/>
                <w:sz w:val="18"/>
                <w:szCs w:val="18"/>
                <w:color w:val="auto"/>
                <w:w w:val="97"/>
              </w:rPr>
              <w:t>Exercise price equal to Market Price</w:t>
            </w:r>
          </w:p>
        </w:tc>
        <w:tc>
          <w:tcPr>
            <w:tcW w:w="1160" w:type="dxa"/>
            <w:vAlign w:val="bottom"/>
          </w:tcPr>
          <w:p>
            <w:pPr>
              <w:jc w:val="right"/>
              <w:spacing w:after="0"/>
              <w:rPr>
                <w:sz w:val="20"/>
                <w:szCs w:val="20"/>
                <w:color w:val="auto"/>
              </w:rPr>
            </w:pPr>
            <w:r>
              <w:rPr>
                <w:rFonts w:ascii="Arial" w:cs="Arial" w:eastAsia="Arial" w:hAnsi="Arial"/>
                <w:sz w:val="18"/>
                <w:szCs w:val="18"/>
                <w:color w:val="auto"/>
              </w:rPr>
              <w:t>3,271,222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366.65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100.80</w:t>
            </w:r>
          </w:p>
        </w:tc>
      </w:tr>
      <w:tr>
        <w:trPr>
          <w:trHeight w:val="230"/>
        </w:trPr>
        <w:tc>
          <w:tcPr>
            <w:tcW w:w="4000" w:type="dxa"/>
            <w:vAlign w:val="bottom"/>
            <w:shd w:val="clear" w:color="auto" w:fill="CCEEFF"/>
          </w:tcPr>
          <w:p>
            <w:pPr>
              <w:jc w:val="right"/>
              <w:ind w:right="3490"/>
              <w:spacing w:after="0"/>
              <w:rPr>
                <w:sz w:val="20"/>
                <w:szCs w:val="20"/>
                <w:color w:val="auto"/>
              </w:rPr>
            </w:pPr>
            <w:r>
              <w:rPr>
                <w:rFonts w:ascii="Arial" w:cs="Arial" w:eastAsia="Arial" w:hAnsi="Arial"/>
                <w:sz w:val="18"/>
                <w:szCs w:val="18"/>
                <w:color w:val="auto"/>
                <w:w w:val="88"/>
              </w:rPr>
              <w:t>2018:</w:t>
            </w: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4000" w:type="dxa"/>
            <w:vAlign w:val="bottom"/>
          </w:tcPr>
          <w:p>
            <w:pPr>
              <w:jc w:val="right"/>
              <w:ind w:right="1070"/>
              <w:spacing w:after="0"/>
              <w:rPr>
                <w:sz w:val="20"/>
                <w:szCs w:val="20"/>
                <w:color w:val="auto"/>
              </w:rPr>
            </w:pPr>
            <w:r>
              <w:rPr>
                <w:rFonts w:ascii="Arial" w:cs="Arial" w:eastAsia="Arial" w:hAnsi="Arial"/>
                <w:sz w:val="18"/>
                <w:szCs w:val="18"/>
                <w:color w:val="auto"/>
                <w:w w:val="97"/>
              </w:rPr>
              <w:t>Exercise price equal to Market Price</w:t>
            </w:r>
          </w:p>
        </w:tc>
        <w:tc>
          <w:tcPr>
            <w:tcW w:w="1160" w:type="dxa"/>
            <w:vAlign w:val="bottom"/>
          </w:tcPr>
          <w:p>
            <w:pPr>
              <w:jc w:val="right"/>
              <w:spacing w:after="0"/>
              <w:rPr>
                <w:sz w:val="20"/>
                <w:szCs w:val="20"/>
                <w:color w:val="auto"/>
              </w:rPr>
            </w:pPr>
            <w:r>
              <w:rPr>
                <w:rFonts w:ascii="Arial" w:cs="Arial" w:eastAsia="Arial" w:hAnsi="Arial"/>
                <w:sz w:val="18"/>
                <w:szCs w:val="18"/>
                <w:color w:val="auto"/>
              </w:rPr>
              <w:t>4,665,320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378.51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114.39</w:t>
            </w:r>
          </w:p>
        </w:tc>
      </w:tr>
    </w:tbl>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years ended December 31, 2020, 2019, and 2018, the Company recognized $329.5 million, $422.8 million, and $421.8 million, respectively, of non-cash stock-based compensation expense related to stock option awards (net of amounts capitalized as inventory of $8.3 million, $2.4 million, and $17.1 million, respectively). As of December 31, 2020, there was $491.5 million of stock-based compensation cost related to outstanding stock options, net of estimated forfeitures, which had not yet been recognized. The Company expects to recognize this compensation cost over a weighted-average period of 1.8 years.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6" w:name="page137"/>
    <w:bookmarkEnd w:id="13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REGENERON PHARMACEUTICALS, INC. NOTES TO CONSOLIDATED FINANCIAL STATEMENTS (Continued) </w:t>
      </w: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Assumptions:</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weighted average values of the assumptions used in computing the fair value of option grants during 2020, 2019, and 2018.</w:t>
      </w:r>
    </w:p>
    <w:p>
      <w:pPr>
        <w:spacing w:after="0" w:line="139" w:lineRule="exact"/>
        <w:rPr>
          <w:sz w:val="20"/>
          <w:szCs w:val="20"/>
          <w:color w:val="auto"/>
        </w:rPr>
      </w:pPr>
    </w:p>
    <w:tbl>
      <w:tblPr>
        <w:tblLayout w:type="fixed"/>
        <w:tblInd w:w="2200" w:type="dxa"/>
        <w:tblCellMar>
          <w:top w:w="0" w:type="dxa"/>
          <w:left w:w="0" w:type="dxa"/>
          <w:bottom w:w="0" w:type="dxa"/>
          <w:right w:w="0" w:type="dxa"/>
        </w:tblCellMar>
      </w:tblPr>
      <w:tr>
        <w:trPr>
          <w:trHeight w:val="234"/>
        </w:trPr>
        <w:tc>
          <w:tcPr>
            <w:tcW w:w="316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r>
      <w:tr>
        <w:trPr>
          <w:trHeight w:val="223"/>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Expected lives from grant date</w:t>
            </w:r>
          </w:p>
        </w:tc>
        <w:tc>
          <w:tcPr>
            <w:tcW w:w="1260" w:type="dxa"/>
            <w:vAlign w:val="bottom"/>
            <w:gridSpan w:val="2"/>
          </w:tcPr>
          <w:p>
            <w:pPr>
              <w:ind w:left="480"/>
              <w:spacing w:after="0"/>
              <w:rPr>
                <w:sz w:val="20"/>
                <w:szCs w:val="20"/>
                <w:color w:val="auto"/>
              </w:rPr>
            </w:pPr>
            <w:r>
              <w:rPr>
                <w:rFonts w:ascii="Arial" w:cs="Arial" w:eastAsia="Arial" w:hAnsi="Arial"/>
                <w:sz w:val="18"/>
                <w:szCs w:val="18"/>
                <w:color w:val="auto"/>
              </w:rPr>
              <w:t>5.0 years</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5.0 years</w:t>
            </w:r>
          </w:p>
        </w:tc>
        <w:tc>
          <w:tcPr>
            <w:tcW w:w="1140" w:type="dxa"/>
            <w:vAlign w:val="bottom"/>
          </w:tcPr>
          <w:p>
            <w:pPr>
              <w:jc w:val="right"/>
              <w:spacing w:after="0"/>
              <w:rPr>
                <w:sz w:val="20"/>
                <w:szCs w:val="20"/>
                <w:color w:val="auto"/>
              </w:rPr>
            </w:pPr>
            <w:r>
              <w:rPr>
                <w:rFonts w:ascii="Arial" w:cs="Arial" w:eastAsia="Arial" w:hAnsi="Arial"/>
                <w:sz w:val="18"/>
                <w:szCs w:val="18"/>
                <w:color w:val="auto"/>
              </w:rPr>
              <w:t>4.9 years</w:t>
            </w: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140" w:type="dxa"/>
            <w:vAlign w:val="bottom"/>
          </w:tcPr>
          <w:p>
            <w:pPr>
              <w:jc w:val="right"/>
              <w:spacing w:after="0"/>
              <w:rPr>
                <w:sz w:val="20"/>
                <w:szCs w:val="20"/>
                <w:color w:val="auto"/>
              </w:rPr>
            </w:pPr>
            <w:r>
              <w:rPr>
                <w:rFonts w:ascii="Arial" w:cs="Arial" w:eastAsia="Arial" w:hAnsi="Arial"/>
                <w:sz w:val="18"/>
                <w:szCs w:val="18"/>
                <w:color w:val="auto"/>
              </w:rPr>
              <w:t>0.47 %</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1.74 %</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2.69 %</w:t>
            </w:r>
          </w:p>
        </w:tc>
      </w:tr>
    </w:tbl>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Expected volatility has been estimated based on actual movements in the Company's stock price over the most recent historical periods equivalent to the options' expected lives. Expected lives are principally based on the Company's historical exercise experience with previously issued employee and board of directors' option grants. The expected dividend yield is zero as the Company has never paid dividends and does not currently anticipate paying any in the foreseeable future. The risk-free interest rates are based on quoted U.S. Treasury rates for securities with maturities approximating the options' expected lives.</w:t>
      </w:r>
    </w:p>
    <w:p>
      <w:pPr>
        <w:spacing w:after="0" w:line="120" w:lineRule="exact"/>
        <w:rPr>
          <w:sz w:val="20"/>
          <w:szCs w:val="20"/>
          <w:color w:val="auto"/>
        </w:rPr>
      </w:pPr>
    </w:p>
    <w:p>
      <w:pPr>
        <w:ind w:left="360" w:hanging="352"/>
        <w:spacing w:after="0"/>
        <w:tabs>
          <w:tab w:leader="none" w:pos="360" w:val="left"/>
        </w:tabs>
        <w:numPr>
          <w:ilvl w:val="0"/>
          <w:numId w:val="6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Restricted Stock Awards and Time-Based Restricted Stock Units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Company's activity related to restricted stock awards and time-based restricted stock units (excluding performance-based restricted stock units, which are detailed further below) (collectively, "restricted stock") during 2020 is summarized below.</w:t>
      </w:r>
    </w:p>
    <w:p>
      <w:pPr>
        <w:spacing w:after="0" w:line="194" w:lineRule="exact"/>
        <w:rPr>
          <w:sz w:val="20"/>
          <w:szCs w:val="20"/>
          <w:color w:val="auto"/>
        </w:rPr>
      </w:pPr>
    </w:p>
    <w:tbl>
      <w:tblPr>
        <w:tblLayout w:type="fixed"/>
        <w:tblInd w:w="2140" w:type="dxa"/>
        <w:tblCellMar>
          <w:top w:w="0" w:type="dxa"/>
          <w:left w:w="0" w:type="dxa"/>
          <w:bottom w:w="0" w:type="dxa"/>
          <w:right w:w="0" w:type="dxa"/>
        </w:tblCellMar>
      </w:tblPr>
      <w:tr>
        <w:trPr>
          <w:trHeight w:val="207"/>
        </w:trPr>
        <w:tc>
          <w:tcPr>
            <w:tcW w:w="3680" w:type="dxa"/>
            <w:vAlign w:val="bottom"/>
          </w:tcPr>
          <w:p>
            <w:pPr>
              <w:spacing w:after="0"/>
              <w:rPr>
                <w:sz w:val="17"/>
                <w:szCs w:val="17"/>
                <w:color w:val="auto"/>
              </w:rPr>
            </w:pPr>
          </w:p>
        </w:tc>
        <w:tc>
          <w:tcPr>
            <w:tcW w:w="17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1"/>
              </w:rPr>
              <w:t>Number of</w:t>
            </w: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Weighted-Average</w:t>
            </w: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95"/>
              </w:rPr>
              <w:t>Grant</w:t>
            </w:r>
          </w:p>
        </w:tc>
        <w:tc>
          <w:tcPr>
            <w:tcW w:w="0" w:type="dxa"/>
            <w:vAlign w:val="bottom"/>
          </w:tcPr>
          <w:p>
            <w:pPr>
              <w:spacing w:after="0"/>
              <w:rPr>
                <w:sz w:val="1"/>
                <w:szCs w:val="1"/>
                <w:color w:val="auto"/>
              </w:rPr>
            </w:pPr>
          </w:p>
        </w:tc>
      </w:tr>
      <w:tr>
        <w:trPr>
          <w:trHeight w:val="230"/>
        </w:trPr>
        <w:tc>
          <w:tcPr>
            <w:tcW w:w="3680" w:type="dxa"/>
            <w:vAlign w:val="bottom"/>
          </w:tcPr>
          <w:p>
            <w:pPr>
              <w:spacing w:after="0"/>
              <w:rPr>
                <w:sz w:val="19"/>
                <w:szCs w:val="19"/>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Shares/Units</w:t>
            </w:r>
          </w:p>
        </w:tc>
        <w:tc>
          <w:tcPr>
            <w:tcW w:w="140" w:type="dxa"/>
            <w:vAlign w:val="bottom"/>
          </w:tcPr>
          <w:p>
            <w:pPr>
              <w:spacing w:after="0"/>
              <w:rPr>
                <w:sz w:val="19"/>
                <w:szCs w:val="19"/>
                <w:color w:val="auto"/>
              </w:rPr>
            </w:pPr>
          </w:p>
        </w:tc>
        <w:tc>
          <w:tcPr>
            <w:tcW w:w="144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Date Fair Value</w:t>
            </w:r>
          </w:p>
        </w:tc>
        <w:tc>
          <w:tcPr>
            <w:tcW w:w="0" w:type="dxa"/>
            <w:vAlign w:val="bottom"/>
          </w:tcPr>
          <w:p>
            <w:pPr>
              <w:spacing w:after="0"/>
              <w:rPr>
                <w:sz w:val="1"/>
                <w:szCs w:val="1"/>
                <w:color w:val="auto"/>
              </w:rPr>
            </w:pPr>
          </w:p>
        </w:tc>
      </w:tr>
      <w:tr>
        <w:trPr>
          <w:trHeight w:val="223"/>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1,102,390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377.32</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 xml:space="preserve">2020:   </w:t>
            </w: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646,844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496.44</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Vested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526.62</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Forfeited/Cancelled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(46,061)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377.85</w:t>
            </w:r>
          </w:p>
        </w:tc>
        <w:tc>
          <w:tcPr>
            <w:tcW w:w="0" w:type="dxa"/>
            <w:vAlign w:val="bottom"/>
          </w:tcPr>
          <w:p>
            <w:pPr>
              <w:spacing w:after="0"/>
              <w:rPr>
                <w:sz w:val="1"/>
                <w:szCs w:val="1"/>
                <w:color w:val="auto"/>
              </w:rPr>
            </w:pPr>
          </w:p>
        </w:tc>
      </w:tr>
      <w:tr>
        <w:trPr>
          <w:trHeight w:val="248"/>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1,687,543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421.58</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recognized non-cash stock-based compensation expense related to restricted stock of $102.5 million, $29.7 million, and $5.6 million in 2020, 2019, and 2018, respectively (net of amounts capitalized as inventory, which were not material for each of the three years). As of December 31, 2020, there was $425.5 million of stock-based compensation cost related to unvested restricted stock which had not yet been recognized. The Company expects to recognize this compensation cost over a weighted-average period of 2.7 years.</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7" w:name="page138"/>
    <w:bookmarkEnd w:id="13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REGENERON PHARMACEUTICALS, INC. NOTES TO CONSOLIDATED FINANCIAL STATEMENTS (Continued) </w:t>
      </w: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90" w:lineRule="exact"/>
        <w:rPr>
          <w:sz w:val="20"/>
          <w:szCs w:val="20"/>
          <w:color w:val="auto"/>
        </w:rPr>
      </w:pPr>
    </w:p>
    <w:p>
      <w:pPr>
        <w:ind w:left="360" w:hanging="352"/>
        <w:spacing w:after="0"/>
        <w:tabs>
          <w:tab w:leader="none" w:pos="360" w:val="left"/>
        </w:tabs>
        <w:numPr>
          <w:ilvl w:val="0"/>
          <w:numId w:val="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Performance-based Restricted Stock Units</w:t>
      </w:r>
    </w:p>
    <w:p>
      <w:pPr>
        <w:spacing w:after="0" w:line="144" w:lineRule="exact"/>
        <w:rPr>
          <w:sz w:val="20"/>
          <w:szCs w:val="20"/>
          <w:color w:val="auto"/>
        </w:rPr>
      </w:pPr>
    </w:p>
    <w:p>
      <w:pPr>
        <w:jc w:val="both"/>
        <w:spacing w:after="0"/>
        <w:rPr>
          <w:sz w:val="20"/>
          <w:szCs w:val="20"/>
          <w:color w:val="auto"/>
        </w:rPr>
      </w:pPr>
      <w:r>
        <w:rPr>
          <w:rFonts w:ascii="Arial" w:cs="Arial" w:eastAsia="Arial" w:hAnsi="Arial"/>
          <w:sz w:val="18"/>
          <w:szCs w:val="18"/>
          <w:color w:val="auto"/>
        </w:rPr>
        <w:t>Performance-based restricted stock units ("PSUs") have been granted to certain executive officers of the Company. The PSUs will be earned based upon the achievement of predetermined, cumulative total shareholder return goals with respect to the Company's Common Stock price over a specified (generally five-year) period beginning on the grant date. The number of PSUs granted shown in the table below represents the maximum number of units that are eligible to be earned. Depending on the terms of the PSUs and the outcome of the performance goals, a recipient may ultimately earn 0% to 250% (as specified for each PSU grant) of the target number of PSUs granted. A summary of the Company's activity related to PSUs during 2020 is summarized below.</w:t>
      </w:r>
    </w:p>
    <w:p>
      <w:pPr>
        <w:spacing w:after="0" w:line="131" w:lineRule="exact"/>
        <w:rPr>
          <w:sz w:val="20"/>
          <w:szCs w:val="20"/>
          <w:color w:val="auto"/>
        </w:rPr>
      </w:pPr>
    </w:p>
    <w:tbl>
      <w:tblPr>
        <w:tblLayout w:type="fixed"/>
        <w:tblInd w:w="262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200" w:type="dxa"/>
            <w:vAlign w:val="bottom"/>
          </w:tcPr>
          <w:p>
            <w:pPr>
              <w:spacing w:after="0"/>
              <w:rPr>
                <w:sz w:val="17"/>
                <w:szCs w:val="17"/>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0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1"/>
              </w:rPr>
              <w:t>Average Grant</w:t>
            </w:r>
          </w:p>
        </w:tc>
        <w:tc>
          <w:tcPr>
            <w:tcW w:w="0" w:type="dxa"/>
            <w:vAlign w:val="bottom"/>
          </w:tcPr>
          <w:p>
            <w:pPr>
              <w:spacing w:after="0"/>
              <w:rPr>
                <w:sz w:val="1"/>
                <w:szCs w:val="1"/>
                <w:color w:val="auto"/>
              </w:rPr>
            </w:pPr>
          </w:p>
        </w:tc>
      </w:tr>
      <w:tr>
        <w:trPr>
          <w:trHeight w:val="229"/>
        </w:trPr>
        <w:tc>
          <w:tcPr>
            <w:tcW w:w="3160" w:type="dxa"/>
            <w:vAlign w:val="bottom"/>
          </w:tcPr>
          <w:p>
            <w:pPr>
              <w:spacing w:after="0"/>
              <w:rPr>
                <w:sz w:val="19"/>
                <w:szCs w:val="19"/>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Shares/Units</w:t>
            </w: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Date Fair Value</w:t>
            </w: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59,396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198.10</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b w:val="1"/>
                <w:bCs w:val="1"/>
                <w:color w:val="auto"/>
              </w:rPr>
              <w:t xml:space="preserve">2020:  </w:t>
            </w: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1,240,540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209.59</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Vested</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60" w:type="dxa"/>
            <w:vAlign w:val="bottom"/>
          </w:tcPr>
          <w:p>
            <w:pPr>
              <w:ind w:left="580"/>
              <w:spacing w:after="0"/>
              <w:rPr>
                <w:sz w:val="20"/>
                <w:szCs w:val="20"/>
                <w:color w:val="auto"/>
              </w:rPr>
            </w:pPr>
            <w:r>
              <w:rPr>
                <w:rFonts w:ascii="Arial" w:cs="Arial" w:eastAsia="Arial" w:hAnsi="Arial"/>
                <w:sz w:val="18"/>
                <w:szCs w:val="18"/>
                <w:color w:val="auto"/>
              </w:rPr>
              <w:t>Forfeited/Cancelled</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1,299,936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209.06</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did not recognize non-cash stock-based compensation expense related to PSUs in 2020 (as PSUs granted in 2020 were granted on December 31, 2020 and will be expensed over the vesting period). The Company recognized non-cash stock-based compensation expense related to PSUs of $11.7 million in 2019 (net of amounts capitalized as inventory, which were not material). PSUs were not granted during 2018. As of December 31, 2020, there was $260.0 million of stock-based compensation cost related to unvested PSUs which had not yet been recognized. The Company expects to recognize this compensation cost on a straight-line basis over a period of 5.0 years.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Assumptions: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weighted average values of the assumptions used in computing the fair value of PSUs during 2020 and 2019.</w:t>
      </w:r>
    </w:p>
    <w:p>
      <w:pPr>
        <w:spacing w:after="0" w:line="192" w:lineRule="exact"/>
        <w:rPr>
          <w:sz w:val="20"/>
          <w:szCs w:val="20"/>
          <w:color w:val="auto"/>
        </w:rPr>
      </w:pPr>
    </w:p>
    <w:tbl>
      <w:tblPr>
        <w:tblLayout w:type="fixed"/>
        <w:tblInd w:w="2740" w:type="dxa"/>
        <w:tblCellMar>
          <w:top w:w="0" w:type="dxa"/>
          <w:left w:w="0" w:type="dxa"/>
          <w:bottom w:w="0" w:type="dxa"/>
          <w:right w:w="0" w:type="dxa"/>
        </w:tblCellMar>
      </w:tblPr>
      <w:tr>
        <w:trPr>
          <w:trHeight w:val="234"/>
        </w:trPr>
        <w:tc>
          <w:tcPr>
            <w:tcW w:w="346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r>
      <w:tr>
        <w:trPr>
          <w:trHeight w:val="223"/>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w:t>
            </w: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1.63%</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Employee Savings Plans</w:t>
      </w:r>
    </w:p>
    <w:p>
      <w:pPr>
        <w:spacing w:after="0" w:line="148"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Company maintains the Regeneron Pharmaceuticals, Inc. 401(k) Savings Plan, as amended and restated (the "Savings Plan"). The terms of the Savings Plan allow U.S. employees (as defined by the Savings Plan) to contribute to the Savings Plan a percentage of their compensation. In addition, the Company may make discretionary contributions ("Contribution"), as defined, to the accounts of participants under the Savings Plan. The Company recognized $44.7 million, $38.1 million, and $27.0 million of Contribution expense in 2020, 2019, and 2018, respectively.</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also maintains additional employee savings plans outside of the United States, which cover eligible employees. Expenses recognized by the Company related to contributions to such plans were not material during 2020, 2019, and 2018.</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8" w:name="page139"/>
    <w:bookmarkEnd w:id="13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REGENERON PHARMACEUTICALS, INC. NOTES TO CONSOLIDATED FINANCIAL STATEMENTS (Continued) </w:t>
      </w: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subject to U.S. federal, state, and foreign income taxes. Components of income before income taxes consist of the following:</w:t>
      </w:r>
    </w:p>
    <w:p>
      <w:pPr>
        <w:spacing w:after="0" w:line="300" w:lineRule="exact"/>
        <w:rPr>
          <w:sz w:val="20"/>
          <w:szCs w:val="20"/>
          <w:color w:val="auto"/>
        </w:rPr>
      </w:pPr>
    </w:p>
    <w:tbl>
      <w:tblPr>
        <w:tblLayout w:type="fixed"/>
        <w:tblInd w:w="2580" w:type="dxa"/>
        <w:tblCellMar>
          <w:top w:w="0" w:type="dxa"/>
          <w:left w:w="0" w:type="dxa"/>
          <w:bottom w:w="0" w:type="dxa"/>
          <w:right w:w="0" w:type="dxa"/>
        </w:tblCellMar>
      </w:tblPr>
      <w:tr>
        <w:trPr>
          <w:trHeight w:val="234"/>
        </w:trPr>
        <w:tc>
          <w:tcPr>
            <w:tcW w:w="16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60" w:type="dxa"/>
            <w:vAlign w:val="bottom"/>
            <w:tcBorders>
              <w:bottom w:val="single" w:sz="8" w:color="auto"/>
            </w:tcBorders>
          </w:tcPr>
          <w:p>
            <w:pPr>
              <w:spacing w:after="0"/>
              <w:rPr>
                <w:sz w:val="20"/>
                <w:szCs w:val="20"/>
                <w:color w:val="auto"/>
              </w:rPr>
            </w:pPr>
          </w:p>
        </w:tc>
      </w:tr>
      <w:tr>
        <w:trPr>
          <w:trHeight w:val="223"/>
        </w:trPr>
        <w:tc>
          <w:tcPr>
            <w:tcW w:w="16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r>
      <w:tr>
        <w:trPr>
          <w:trHeight w:val="223"/>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2,151.7</w:t>
            </w:r>
          </w:p>
        </w:tc>
      </w:tr>
      <w:tr>
        <w:trPr>
          <w:trHeight w:val="229"/>
        </w:trPr>
        <w:tc>
          <w:tcPr>
            <w:tcW w:w="1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417.9</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401.8</w:t>
            </w:r>
          </w:p>
        </w:tc>
      </w:tr>
      <w:tr>
        <w:trPr>
          <w:trHeight w:val="248"/>
        </w:trPr>
        <w:tc>
          <w:tcPr>
            <w:tcW w:w="16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2,429.1</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2,553.5</w:t>
            </w: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Components of income tax expense consist of the following:</w:t>
      </w:r>
    </w:p>
    <w:p>
      <w:pPr>
        <w:spacing w:after="0" w:line="275" w:lineRule="exact"/>
        <w:rPr>
          <w:sz w:val="20"/>
          <w:szCs w:val="20"/>
          <w:color w:val="auto"/>
        </w:rPr>
      </w:pPr>
    </w:p>
    <w:tbl>
      <w:tblPr>
        <w:tblLayout w:type="fixed"/>
        <w:tblInd w:w="168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60" w:type="dxa"/>
            <w:vAlign w:val="bottom"/>
            <w:tcBorders>
              <w:bottom w:val="single" w:sz="8" w:color="auto"/>
            </w:tcBorders>
          </w:tcPr>
          <w:p>
            <w:pPr>
              <w:spacing w:after="0"/>
              <w:rPr>
                <w:sz w:val="20"/>
                <w:szCs w:val="20"/>
                <w:color w:val="auto"/>
              </w:rPr>
            </w:pPr>
          </w:p>
        </w:tc>
      </w:tr>
      <w:tr>
        <w:trPr>
          <w:trHeight w:val="223"/>
        </w:trPr>
        <w:tc>
          <w:tcPr>
            <w:tcW w:w="346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0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3460" w:type="dxa"/>
            <w:vAlign w:val="bottom"/>
          </w:tcPr>
          <w:p>
            <w:pPr>
              <w:ind w:left="180"/>
              <w:spacing w:after="0"/>
              <w:rPr>
                <w:sz w:val="20"/>
                <w:szCs w:val="20"/>
                <w:color w:val="auto"/>
              </w:rPr>
            </w:pPr>
            <w:r>
              <w:rPr>
                <w:rFonts w:ascii="Arial" w:cs="Arial" w:eastAsia="Arial" w:hAnsi="Arial"/>
                <w:sz w:val="18"/>
                <w:szCs w:val="18"/>
                <w:color w:val="auto"/>
              </w:rPr>
              <w:t>Federal</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199.0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444.6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223.7</w:t>
            </w:r>
          </w:p>
        </w:tc>
      </w:tr>
      <w:tr>
        <w:trPr>
          <w:trHeight w:val="229"/>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3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Foreign</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r>
      <w:tr>
        <w:trPr>
          <w:trHeight w:val="223"/>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tax expense</w:t>
            </w: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221.6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249.1</w:t>
            </w:r>
          </w:p>
        </w:tc>
      </w:tr>
      <w:tr>
        <w:trPr>
          <w:trHeight w:val="210"/>
        </w:trPr>
        <w:tc>
          <w:tcPr>
            <w:tcW w:w="3460" w:type="dxa"/>
            <w:vAlign w:val="bottom"/>
          </w:tcPr>
          <w:p>
            <w:pPr>
              <w:ind w:left="20"/>
              <w:spacing w:after="0"/>
              <w:rPr>
                <w:sz w:val="20"/>
                <w:szCs w:val="20"/>
                <w:color w:val="auto"/>
              </w:rPr>
            </w:pPr>
            <w:r>
              <w:rPr>
                <w:rFonts w:ascii="Arial" w:cs="Arial" w:eastAsia="Arial" w:hAnsi="Arial"/>
                <w:sz w:val="18"/>
                <w:szCs w:val="18"/>
                <w:color w:val="auto"/>
              </w:rPr>
              <w:t>Deferred:</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687.6</w:t>
            </w:r>
          </w:p>
        </w:tc>
      </w:tr>
      <w:tr>
        <w:trPr>
          <w:trHeight w:val="230"/>
        </w:trPr>
        <w:tc>
          <w:tcPr>
            <w:tcW w:w="3460" w:type="dxa"/>
            <w:vAlign w:val="bottom"/>
          </w:tcPr>
          <w:p>
            <w:pPr>
              <w:ind w:left="180"/>
              <w:spacing w:after="0"/>
              <w:rPr>
                <w:sz w:val="20"/>
                <w:szCs w:val="20"/>
                <w:color w:val="auto"/>
              </w:rPr>
            </w:pPr>
            <w:r>
              <w:rPr>
                <w:rFonts w:ascii="Arial" w:cs="Arial" w:eastAsia="Arial" w:hAnsi="Arial"/>
                <w:sz w:val="18"/>
                <w:szCs w:val="18"/>
                <w:color w:val="auto"/>
              </w:rPr>
              <w:t>State</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(31.4)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(825.7)</w:t>
            </w:r>
          </w:p>
        </w:tc>
      </w:tr>
      <w:tr>
        <w:trPr>
          <w:trHeight w:val="223"/>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(benefit) expense</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w:t>
            </w:r>
          </w:p>
        </w:tc>
      </w:tr>
      <w:tr>
        <w:trPr>
          <w:trHeight w:val="248"/>
        </w:trPr>
        <w:tc>
          <w:tcPr>
            <w:tcW w:w="3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297.2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statutory income tax rate to the Company's effective income tax rate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r>
      <w:tr>
        <w:trPr>
          <w:trHeight w:val="223"/>
        </w:trPr>
        <w:tc>
          <w:tcPr>
            <w:tcW w:w="66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19"/>
                <w:szCs w:val="19"/>
                <w:color w:val="auto"/>
              </w:rPr>
            </w:pPr>
          </w:p>
        </w:tc>
        <w:tc>
          <w:tcPr>
            <w:tcW w:w="14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federal statutory tax rate</w:t>
            </w:r>
          </w:p>
        </w:tc>
        <w:tc>
          <w:tcPr>
            <w:tcW w:w="2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21.0</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21.0</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21.0</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580" w:type="dxa"/>
            <w:vAlign w:val="bottom"/>
            <w:gridSpan w:val="2"/>
          </w:tcPr>
          <w:p>
            <w:pPr>
              <w:jc w:val="right"/>
              <w:ind w:right="30"/>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19"/>
                <w:szCs w:val="19"/>
                <w:color w:val="auto"/>
              </w:rPr>
            </w:pPr>
          </w:p>
        </w:tc>
        <w:tc>
          <w:tcPr>
            <w:tcW w:w="1480" w:type="dxa"/>
            <w:vAlign w:val="bottom"/>
            <w:gridSpan w:val="2"/>
          </w:tcPr>
          <w:p>
            <w:pPr>
              <w:jc w:val="right"/>
              <w:ind w:right="30"/>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credits</w:t>
            </w:r>
          </w:p>
        </w:tc>
        <w:tc>
          <w:tcPr>
            <w:tcW w:w="15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Taxation of non-U.S. operations</w:t>
            </w:r>
          </w:p>
        </w:tc>
        <w:tc>
          <w:tcPr>
            <w:tcW w:w="1580" w:type="dxa"/>
            <w:vAlign w:val="bottom"/>
            <w:gridSpan w:val="2"/>
          </w:tcPr>
          <w:p>
            <w:pPr>
              <w:jc w:val="right"/>
              <w:ind w:right="30"/>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9"/>
                <w:szCs w:val="19"/>
                <w:color w:val="auto"/>
              </w:rPr>
            </w:pPr>
          </w:p>
        </w:tc>
        <w:tc>
          <w:tcPr>
            <w:tcW w:w="1480" w:type="dxa"/>
            <w:vAlign w:val="bottom"/>
            <w:gridSpan w:val="2"/>
          </w:tcPr>
          <w:p>
            <w:pPr>
              <w:jc w:val="right"/>
              <w:ind w:right="3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Sale of non-inventory related assets between foreign subsidiaries</w:t>
            </w:r>
          </w:p>
        </w:tc>
        <w:tc>
          <w:tcPr>
            <w:tcW w:w="15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300" w:type="dxa"/>
            <w:vAlign w:val="bottom"/>
            <w:shd w:val="clear" w:color="auto" w:fill="CCEEFF"/>
          </w:tcPr>
          <w:p>
            <w:pPr>
              <w:spacing w:after="0"/>
              <w:rPr>
                <w:sz w:val="19"/>
                <w:szCs w:val="19"/>
                <w:color w:val="auto"/>
              </w:rPr>
            </w:pPr>
          </w:p>
        </w:tc>
        <w:tc>
          <w:tcPr>
            <w:tcW w:w="40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Foreign-derived intangible income deduction</w:t>
            </w:r>
          </w:p>
        </w:tc>
        <w:tc>
          <w:tcPr>
            <w:tcW w:w="200" w:type="dxa"/>
            <w:vAlign w:val="bottom"/>
          </w:tcPr>
          <w:p>
            <w:pPr>
              <w:spacing w:after="0"/>
              <w:rPr>
                <w:sz w:val="19"/>
                <w:szCs w:val="19"/>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80" w:type="dxa"/>
            <w:vAlign w:val="bottom"/>
            <w:gridSpan w:val="2"/>
          </w:tcPr>
          <w:p>
            <w:pPr>
              <w:jc w:val="right"/>
              <w:ind w:right="3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Branded Prescription Drug Fee</w:t>
            </w:r>
          </w:p>
        </w:tc>
        <w:tc>
          <w:tcPr>
            <w:tcW w:w="15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Impact of change in U.S. corporate tax rate (the Act)</w:t>
            </w:r>
          </w:p>
        </w:tc>
        <w:tc>
          <w:tcPr>
            <w:tcW w:w="200" w:type="dxa"/>
            <w:vAlign w:val="bottom"/>
          </w:tcPr>
          <w:p>
            <w:pPr>
              <w:spacing w:after="0"/>
              <w:rPr>
                <w:sz w:val="19"/>
                <w:szCs w:val="19"/>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permanent differences</w:t>
            </w:r>
          </w:p>
        </w:tc>
        <w:tc>
          <w:tcPr>
            <w:tcW w:w="15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0.9</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9"/>
                <w:szCs w:val="19"/>
                <w:color w:val="auto"/>
              </w:rPr>
            </w:pPr>
          </w:p>
        </w:tc>
        <w:tc>
          <w:tcPr>
            <w:tcW w:w="400" w:type="dxa"/>
            <w:vAlign w:val="bottom"/>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2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7.8</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12.9</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4.3</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655"/>
        </w:trPr>
        <w:tc>
          <w:tcPr>
            <w:tcW w:w="6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580" w:type="dxa"/>
            <w:vAlign w:val="bottom"/>
            <w:gridSpan w:val="2"/>
          </w:tcPr>
          <w:p>
            <w:pPr>
              <w:jc w:val="right"/>
              <w:ind w:right="1090"/>
              <w:spacing w:after="0"/>
              <w:rPr>
                <w:sz w:val="20"/>
                <w:szCs w:val="20"/>
                <w:color w:val="auto"/>
              </w:rPr>
            </w:pPr>
            <w:r>
              <w:rPr>
                <w:rFonts w:ascii="Arial" w:cs="Arial" w:eastAsia="Arial" w:hAnsi="Arial"/>
                <w:sz w:val="18"/>
                <w:szCs w:val="18"/>
                <w:color w:val="auto"/>
              </w:rPr>
              <w:t>F-37</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58"/>
        </w:trPr>
        <w:tc>
          <w:tcPr>
            <w:tcW w:w="66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7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9" w:name="page140"/>
    <w:bookmarkEnd w:id="13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REGENERON PHARMACEUTICALS, INC. NOTES TO CONSOLIDATED FINANCIAL STATEMENTS (Continued) </w:t>
      </w: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December 2017, the bill known as the "Tax Cuts and Jobs Act" (the "Act") was signed into law. The Act, which became effective with respect to most of its provisions as of January 1, 2018, significantly revised U.S. corporate income tax laws by, among other things, reducing the U.S. federal corporate income tax rate from 35% to 21%. As a result of the Act being signed into law, the Company recognized a provisional charge in the fourth quarter of 2017 related to the re-measurement of its U.S. net deferred tax assets at the lower enacted corporate tax rate, and, during 2018, we recorded an income tax benefit of $68.0 million as a final adjustment to the provisional amount recorded as of December 31, 2017, which was partly attributable to our election to record deferred tax assets and liabilities for expected amounts of GILTI inclusions.</w:t>
      </w:r>
    </w:p>
    <w:p>
      <w:pPr>
        <w:spacing w:after="0" w:line="9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w:t>
      </w:r>
    </w:p>
    <w:p>
      <w:pPr>
        <w:spacing w:after="0" w:line="115" w:lineRule="exact"/>
        <w:rPr>
          <w:sz w:val="20"/>
          <w:szCs w:val="20"/>
          <w:color w:val="auto"/>
        </w:rPr>
      </w:pPr>
    </w:p>
    <w:tbl>
      <w:tblPr>
        <w:tblLayout w:type="fixed"/>
        <w:tblInd w:w="216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w w:val="95"/>
              </w:rPr>
              <w:t>As of December 31,</w:t>
            </w:r>
          </w:p>
        </w:tc>
      </w:tr>
      <w:tr>
        <w:trPr>
          <w:trHeight w:val="223"/>
        </w:trPr>
        <w:tc>
          <w:tcPr>
            <w:tcW w:w="47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r>
      <w:tr>
        <w:trPr>
          <w:trHeight w:val="21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9"/>
        </w:trPr>
        <w:tc>
          <w:tcPr>
            <w:tcW w:w="4740" w:type="dxa"/>
            <w:vAlign w:val="bottom"/>
          </w:tcPr>
          <w:p>
            <w:pPr>
              <w:ind w:left="220"/>
              <w:spacing w:after="0"/>
              <w:rPr>
                <w:sz w:val="20"/>
                <w:szCs w:val="20"/>
                <w:color w:val="auto"/>
              </w:rPr>
            </w:pPr>
            <w:r>
              <w:rPr>
                <w:rFonts w:ascii="Arial" w:cs="Arial" w:eastAsia="Arial" w:hAnsi="Arial"/>
                <w:sz w:val="18"/>
                <w:szCs w:val="18"/>
                <w:color w:val="auto"/>
              </w:rPr>
              <w:t>Deferred compensation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436.6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519.7</w:t>
            </w:r>
          </w:p>
        </w:tc>
      </w:tr>
      <w:tr>
        <w:trPr>
          <w:trHeight w:val="229"/>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assets and intangible assets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r>
      <w:tr>
        <w:trPr>
          <w:trHeight w:val="230"/>
        </w:trPr>
        <w:tc>
          <w:tcPr>
            <w:tcW w:w="474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75.9</w:t>
            </w:r>
          </w:p>
        </w:tc>
      </w:tr>
      <w:tr>
        <w:trPr>
          <w:trHeight w:val="229"/>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809.6</w:t>
            </w:r>
          </w:p>
        </w:tc>
      </w:tr>
      <w:tr>
        <w:trPr>
          <w:trHeight w:val="229"/>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Valuation allowance</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Deferred tax assets, net of valuation allowance</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761.5</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802.6</w:t>
            </w:r>
          </w:p>
        </w:tc>
      </w:tr>
      <w:tr>
        <w:trPr>
          <w:trHeight w:val="270"/>
        </w:trPr>
        <w:tc>
          <w:tcPr>
            <w:tcW w:w="47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Net deferred tax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791.4</w:t>
            </w:r>
          </w:p>
        </w:tc>
      </w:tr>
      <w:tr>
        <w:trPr>
          <w:trHeight w:val="20"/>
        </w:trPr>
        <w:tc>
          <w:tcPr>
            <w:tcW w:w="4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Company's federal income tax returns for 2015 through 2019 remain open to examination by the IRS. The Company's 2015 and 2016 federal income tax returns are currently under audit by the IRS. In general, the Company's state income tax returns from 2016 to 2019 remain open to examination. The Company’s Commonwealth of Pennsylvania returns for 2015 through 2019 are currently under audit by the Commonwealth. The United States and many states generally have statutes of limitation ranging from 3 to 5 years; however, those statutes could be extended due to the Company's tax credit carryforward position. In general, tax authorities have the ability to review income tax returns in which the statute of limitation has previously expired to adjust the tax credits generated in those years.</w:t>
      </w:r>
    </w:p>
    <w:p>
      <w:pPr>
        <w:spacing w:after="0" w:line="12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following table reconciles the beginning and ending amounts of unrecognized tax benefits. The amount of unrecognized tax benefits that, if settled, would impact the effective tax rate is $267.0 million, $210.8 million, and $189.5 million as of December 31, 2020, 2019, and 2018, respectively.</w:t>
      </w:r>
    </w:p>
    <w:p>
      <w:pPr>
        <w:spacing w:after="0" w:line="93" w:lineRule="exact"/>
        <w:rPr>
          <w:sz w:val="20"/>
          <w:szCs w:val="20"/>
          <w:color w:val="auto"/>
        </w:rPr>
      </w:pPr>
    </w:p>
    <w:tbl>
      <w:tblPr>
        <w:tblLayout w:type="fixed"/>
        <w:tblInd w:w="1660" w:type="dxa"/>
        <w:tblCellMar>
          <w:top w:w="0" w:type="dxa"/>
          <w:left w:w="0" w:type="dxa"/>
          <w:bottom w:w="0" w:type="dxa"/>
          <w:right w:w="0" w:type="dxa"/>
        </w:tblCellMar>
      </w:tblPr>
      <w:tr>
        <w:trPr>
          <w:trHeight w:val="234"/>
        </w:trPr>
        <w:tc>
          <w:tcPr>
            <w:tcW w:w="46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Gross increases related to current year tax positions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Gross increases (decreases) related to prior year tax positions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75"/>
        </w:trPr>
        <w:tc>
          <w:tcPr>
            <w:tcW w:w="4680" w:type="dxa"/>
            <w:vAlign w:val="bottom"/>
          </w:tcPr>
          <w:p>
            <w:pPr>
              <w:ind w:left="20"/>
              <w:spacing w:after="0" w:line="176" w:lineRule="exact"/>
              <w:rPr>
                <w:sz w:val="20"/>
                <w:szCs w:val="20"/>
                <w:color w:val="auto"/>
              </w:rPr>
            </w:pPr>
            <w:r>
              <w:rPr>
                <w:rFonts w:ascii="Arial" w:cs="Arial" w:eastAsia="Arial" w:hAnsi="Arial"/>
                <w:sz w:val="18"/>
                <w:szCs w:val="18"/>
                <w:color w:val="auto"/>
                <w:w w:val="96"/>
              </w:rPr>
              <w:t>Gross decreases due to settlements and lapse of statutes of</w:t>
            </w:r>
          </w:p>
        </w:tc>
        <w:tc>
          <w:tcPr>
            <w:tcW w:w="2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limitations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2020, 2019 and 2018, the increases in unrecognized tax benefits primarily related to the Company's calculation of certain tax credits and other items related to the Company's international operations.</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2020, 2019, and 2018, interest expense related to unrecognized tax benefits recorded by the Company was not material. The Company believes it is reasonably possible that its unrecognized tax benefits as of December 31, 2020 may decrease within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0" w:name="page141"/>
    <w:bookmarkEnd w:id="14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REGENERON PHARMACEUTICALS, INC. NOTES TO CONSOLIDATED FINANCIAL STATEMENTS (Continued) </w:t>
      </w: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the next twelve months, and, as a result, positively impact our effective tax rate, as a result of expected settlement of audits and statute of limitation lapses.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Legal Matters</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the Company is a party to legal proceedings in the course of the Company's business. Costs associated with the Company's involvement in legal proceedings are expensed as incurred. The outcome of any such proceedings, regardless of the merits, is inherently uncertain. The Company recognizes accruals for loss contingencies associated with such proceedings when it is probable that a liability will be incurred and the amount of loss can be reasonably estimated. As of December 31, 2020 and 2019, the Company had accruals for loss contingencies of $9.6 million and $100.0 million, respectively. If the Company were unable to prevail in any such proceedings, its consolidated financial position, results of operations, and future cash flows may be materially impacted.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Relating to '287 Patent and '163 Patent</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a party to patent infringement litigation initiated by the Company involving its European Patent No. 1,360,287 (the "'287 Patent") and its European Patent No. 2,264,163 (the "'163 Patent"). Each of these patents concerns genetically engineered mice capable of producing chimeric antibodies that are part human and part mouse. Chimeric antibody sequences can be used to produce high-affinity fully human monoclonal antibodies. In these proceedings, the Company claims infringement of several claims of the '287 Patent and the '163 Patent (as applicable), and seeks, among other types of relief, an injunction and an account of profits in connection with the defendants' infringing acts, which may include, among other things, the making, use, keeping, sale, or offer for sale of genetically engineered mice (or certain cells from which they are derived) that infringe one or more claims of the '287 Patent and the '163 Patent (as applicable).</w:t>
      </w:r>
    </w:p>
    <w:p>
      <w:pPr>
        <w:spacing w:after="0" w:line="1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25, 2013, the Company commenced patent infringement litigation against Kymab Ltd in the English High Court of Justice, Chancery Division, Patents Court, in London, asserting the '287 Patent and '163 Patent. Following a trial to adjudicate the claims of infringement and counterclaims of invalidity of the '287 Patent and the '163 Patent, the court issued a final judgment on February 1, 2016, finding that the asserted claims of the '287 and '163 Patents are novel, not obvious, and infringed by Kymab's genetically engineered mice. However, the court invalidated the '287 and '163 Patents on the ground of insufficiency. On appeal, the Court of Appeal (Civil Division of England and Wales) reversed the English High Court's decision and held that the '287 Patent and '163 Patent are both valid and infringed by Kymab and subsequently issued a final order, which enjoined Kymab from infringing the '287 Patent and '163 Patent (subject to certain exceptions) and required Kymab to destroy or deliver to a third party all products and antibodies and cells engineered to produce antibodies which infringe the '287 Patent and '163 Patent (subject to certain exceptions). On June 24, 2020, the Supreme Court of the United Kingdom overturned the decision of the Court of Appeal on validity and held that the '287 and '163 Patents are each invalid on the ground of insufficiency.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Relating to Praluent (alirocumab) Injection</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described in greater detail below, the Company is currently a party to patent infringement actions initiated by Amgen Inc. (and/or its affiliated entities) against the Company and/or Sanofi (and/or the Company's and Sanofi's respective affiliated entities) in a number of jurisdictions relating to Praluent. See Note 3 for a description of the Company's and Sanofi's arrangement regarding the costs resulting from or associated with such actions.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United States</w:t>
      </w:r>
    </w:p>
    <w:p>
      <w:pPr>
        <w:spacing w:after="0" w:line="15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the United States, Amgen has asserted claims of U.S. Patent Nos. 8,829,165 (the "'165 Patent") and 8,859,741 (the "'741 Patent"), and seeks a permanent injunction to prevent the Company and the Sanofi defendants from commercial manufacturing, using, offering to sell, or selling within the United States (as well as importing into the United States) (collectively, "Commercializing") Praluent. Amgen also seeks a judgment of patent infringement of the asserted patents, monetary damages (together with interest), costs and expenses of the lawsuits, and attorneys' fees. As described in greater detail under "Second Jury Trial and Appeal" below, the parties to this litigation are currently awaiting a decision by the Federal Circuit (as defined below) on Amgen's appeal.</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1" w:name="page142"/>
    <w:bookmarkEnd w:id="14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REGENERON PHARMACEUTICALS, INC. NOTES TO CONSOLIDATED FINANCIAL STATEMENTS (Continued) </w:t>
      </w: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First Jury Trial and Appeal. </w:t>
      </w:r>
      <w:r>
        <w:rPr>
          <w:rFonts w:ascii="Arial" w:cs="Arial" w:eastAsia="Arial" w:hAnsi="Arial"/>
          <w:sz w:val="18"/>
          <w:szCs w:val="18"/>
          <w:color w:val="auto"/>
        </w:rPr>
        <w:t>The first jury trial in this litigation (the "First Trial") was held in the United States District Court for the District of Delaware</w:t>
      </w:r>
      <w:r>
        <w:rPr>
          <w:rFonts w:ascii="Arial" w:cs="Arial" w:eastAsia="Arial" w:hAnsi="Arial"/>
          <w:sz w:val="18"/>
          <w:szCs w:val="18"/>
          <w:i w:val="1"/>
          <w:iCs w:val="1"/>
          <w:color w:val="auto"/>
        </w:rPr>
        <w:t xml:space="preserve"> </w:t>
      </w:r>
      <w:r>
        <w:rPr>
          <w:rFonts w:ascii="Arial" w:cs="Arial" w:eastAsia="Arial" w:hAnsi="Arial"/>
          <w:sz w:val="18"/>
          <w:szCs w:val="18"/>
          <w:color w:val="auto"/>
        </w:rPr>
        <w:t>(the "District Court") from March 8 to March 16, 2016. During the course of the First Trial, the District Court ruled as a matter of law in favor of Amgen that the asserted patent claims were not obvious, and in favor of the Company and the Sanofi defendants that there was no willful infringement of the asserted patent claims by the Company or the Sanofi defendants. On March 16, 2016, the jury returned a verdict in favor of Amgen in the First Trial, finding that the asserted claims of the '165 and '741 Patents were not invalid based on either a lack of written description or a lack of enablement. On October 5, 2017, the United States Court of Appeals for the Federal Circuit (the "Federal Circuit") reversed in part the District Court's decision and remanded for a new trial on the issues of written description and enablement. In addition, it affirmed the District Court's ruling that Amgen's patents were not obvious.</w:t>
      </w:r>
    </w:p>
    <w:p>
      <w:pPr>
        <w:spacing w:after="0" w:line="1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Second Jury Trial and Appeal. </w:t>
      </w:r>
      <w:r>
        <w:rPr>
          <w:rFonts w:ascii="Arial" w:cs="Arial" w:eastAsia="Arial" w:hAnsi="Arial"/>
          <w:sz w:val="16"/>
          <w:szCs w:val="16"/>
          <w:color w:val="auto"/>
        </w:rPr>
        <w:t>On January 3, 2019, the District Court held oral argument in the remanded proceedings on the Company and the Sanofi</w:t>
      </w:r>
      <w:r>
        <w:rPr>
          <w:rFonts w:ascii="Arial" w:cs="Arial" w:eastAsia="Arial" w:hAnsi="Arial"/>
          <w:sz w:val="16"/>
          <w:szCs w:val="16"/>
          <w:i w:val="1"/>
          <w:iCs w:val="1"/>
          <w:color w:val="auto"/>
        </w:rPr>
        <w:t xml:space="preserve"> </w:t>
      </w:r>
      <w:r>
        <w:rPr>
          <w:rFonts w:ascii="Arial" w:cs="Arial" w:eastAsia="Arial" w:hAnsi="Arial"/>
          <w:sz w:val="16"/>
          <w:szCs w:val="16"/>
          <w:color w:val="auto"/>
        </w:rPr>
        <w:t>defendants' motion for judgment on the pleadings regarding Amgen's willful infringement claim. On January 18, 2019, the District Court entered an order</w:t>
      </w:r>
    </w:p>
    <w:p>
      <w:pPr>
        <w:jc w:val="both"/>
        <w:ind w:firstLine="8"/>
        <w:spacing w:after="0" w:line="268" w:lineRule="auto"/>
        <w:tabs>
          <w:tab w:leader="none" w:pos="217" w:val="left"/>
        </w:tabs>
        <w:numPr>
          <w:ilvl w:val="0"/>
          <w:numId w:val="64"/>
        </w:numPr>
        <w:rPr>
          <w:rFonts w:ascii="Arial" w:cs="Arial" w:eastAsia="Arial" w:hAnsi="Arial"/>
          <w:sz w:val="17"/>
          <w:szCs w:val="17"/>
          <w:color w:val="auto"/>
        </w:rPr>
      </w:pPr>
      <w:r>
        <w:rPr>
          <w:rFonts w:ascii="Arial" w:cs="Arial" w:eastAsia="Arial" w:hAnsi="Arial"/>
          <w:sz w:val="17"/>
          <w:szCs w:val="17"/>
          <w:color w:val="auto"/>
        </w:rPr>
        <w:t>denying the Company and the Sanofi defendants' motion for summary judgment on validity, (ii) denying Amgen's motion for partial summary judgment on estoppel, and (iii) granting the Company and the Sanofi defendants' cross-motion for summary judgment on estoppel. On February 8, 2019, the District Court granted the Company and the Sanofi defendants' motion for judgment on the pleadings, thereby dismissing Amgen's claim of willful infringement. The second jury trial in this litigation (the "Second Trial") was held before the District Court in February 2019 to determine the validity of Amgen's asserted patent claims. On February 25, 2019, the jury returned a verdict in the Second Trial generally in favor of Amgen, finding that two claims of the '165 Patent and one claim of the '741 Patent were not invalid. The jury also found that two claims of the '165 Patent were invalid for lack of adequate written description while rejecting the lack of enablement challenges to those two claims. On August 28, 2019, the District Court ruled as a matter of law that Amgen's asserted patent claims are invalid based on lack of enablement. The District Court also conditionally denied the Company and the Sanofi defendants' motion for a new trial. On October 23, 2019, Amgen filed a notice of appeal of the District Court's decision with the Federal Circuit. An oral hearing before the Federal Circuit was held on December 9, 2020.</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Injunctive Relief Proceedings. </w:t>
      </w:r>
      <w:r>
        <w:rPr>
          <w:rFonts w:ascii="Arial" w:cs="Arial" w:eastAsia="Arial" w:hAnsi="Arial"/>
          <w:sz w:val="18"/>
          <w:szCs w:val="18"/>
          <w:color w:val="auto"/>
        </w:rPr>
        <w:t>On March 18, 2019, Amgen filed a renewed motion for a permanent injunction to prohibit the Company and the Sanofi</w:t>
      </w:r>
      <w:r>
        <w:rPr>
          <w:rFonts w:ascii="Arial" w:cs="Arial" w:eastAsia="Arial" w:hAnsi="Arial"/>
          <w:sz w:val="18"/>
          <w:szCs w:val="18"/>
          <w:i w:val="1"/>
          <w:iCs w:val="1"/>
          <w:color w:val="auto"/>
        </w:rPr>
        <w:t xml:space="preserve"> </w:t>
      </w:r>
      <w:r>
        <w:rPr>
          <w:rFonts w:ascii="Arial" w:cs="Arial" w:eastAsia="Arial" w:hAnsi="Arial"/>
          <w:sz w:val="18"/>
          <w:szCs w:val="18"/>
          <w:color w:val="auto"/>
        </w:rPr>
        <w:t>defendants from Commercializing Praluent in the United States (a "Permanent Injunction"), and an oral hearing on this motion was held in June 2019. Previously, the Federal Circuit stayed and then vacated a Permanent Injunction granted by the District Court in connection with the First Trial. On August 28, 2019, the District Court dismissed as moot Amgen's renewed motion for a Permanent Injunction.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Europe</w:t>
      </w:r>
    </w:p>
    <w:p>
      <w:pPr>
        <w:spacing w:after="0" w:line="14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Amgen has asserted European Patent No. 2,215,124 (the "'124 Patent"), which pertains to PCSK9 monoclonal antibodies, in the countries in Europe discussed below. As described in greater detail under "EPO Proceedings" below, in October 2020 the '124 Patent claims directed to compositions of matter and medical use were ruled invalid by the Technical Board of Appeal (the "TBA") of the European Patent Office (the "EPO"). This decision, subject to any review by the EPO Enlarged Board of Appeal, has impacted or will impact each of the infringement proceedings based on the '124 Patent discussed below.</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EPO Proceedings. </w:t>
      </w:r>
      <w:r>
        <w:rPr>
          <w:rFonts w:ascii="Arial" w:cs="Arial" w:eastAsia="Arial" w:hAnsi="Arial"/>
          <w:sz w:val="18"/>
          <w:szCs w:val="18"/>
          <w:color w:val="auto"/>
        </w:rPr>
        <w:t>The '124 Patent was subject to opposition proceedings in the EPO seeking to invalidate certain of its claims, which were initiated by</w:t>
      </w:r>
      <w:r>
        <w:rPr>
          <w:rFonts w:ascii="Arial" w:cs="Arial" w:eastAsia="Arial" w:hAnsi="Arial"/>
          <w:sz w:val="18"/>
          <w:szCs w:val="18"/>
          <w:i w:val="1"/>
          <w:iCs w:val="1"/>
          <w:color w:val="auto"/>
        </w:rPr>
        <w:t xml:space="preserve"> </w:t>
      </w:r>
      <w:r>
        <w:rPr>
          <w:rFonts w:ascii="Arial" w:cs="Arial" w:eastAsia="Arial" w:hAnsi="Arial"/>
          <w:sz w:val="18"/>
          <w:szCs w:val="18"/>
          <w:color w:val="auto"/>
        </w:rPr>
        <w:t>Sanofi on February 24, 2016 and, separately, by the Company, Sanofi, and several other opponents on November 24, 2016. On December 13, 2017, the Opposition Division of the EPO issued a preliminary, non-binding opinion (the "Preliminary Opinion") regarding the validity of the '124 Patent, indicating that it currently considers the claims of a new request filed by Amgen in response to the opposition to satisfy the requirements for patentability. An oral hearing on the oppositions against the '124 Patent was held on November 28–30, 2018, at which the Opposition Division upheld the validity of the '124 Patent's claims in amended form. The Company and Sanofi filed notices of appeal to the TBA on November 30, 2018. An oral hearing before the TBA was held on October 28–29, 2020, at which the TBA ruled that the '124 Patent claims directed to compositions of matter and medical use were invalid based on a lack of inventive step.</w:t>
      </w:r>
    </w:p>
    <w:p>
      <w:pPr>
        <w:spacing w:after="0" w:line="1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United Kingdom. </w:t>
      </w:r>
      <w:r>
        <w:rPr>
          <w:rFonts w:ascii="Arial" w:cs="Arial" w:eastAsia="Arial" w:hAnsi="Arial"/>
          <w:sz w:val="16"/>
          <w:szCs w:val="16"/>
          <w:color w:val="auto"/>
        </w:rPr>
        <w:t>On July 25, 2016, Amgen filed a lawsuit against Regeneron, Sanofi-Aventis Groupe S.A., Sanofi-Synthelabo Limited, Aventis Pharma</w:t>
      </w:r>
      <w:r>
        <w:rPr>
          <w:rFonts w:ascii="Arial" w:cs="Arial" w:eastAsia="Arial" w:hAnsi="Arial"/>
          <w:sz w:val="16"/>
          <w:szCs w:val="16"/>
          <w:i w:val="1"/>
          <w:iCs w:val="1"/>
          <w:color w:val="auto"/>
        </w:rPr>
        <w:t xml:space="preserve"> </w:t>
      </w:r>
      <w:r>
        <w:rPr>
          <w:rFonts w:ascii="Arial" w:cs="Arial" w:eastAsia="Arial" w:hAnsi="Arial"/>
          <w:sz w:val="16"/>
          <w:szCs w:val="16"/>
          <w:color w:val="auto"/>
        </w:rPr>
        <w:t>Limited, Sanofi Winthrop Industrie S.A., and Sanofi-Aventis Deutschland GmbH in the English High Court of Justice, Chancery Division, Patents Court, in London, seeking a declaration of infringement of the '124 Patent by Praluent. The lawsuit also seeks a permanent injunction, damages, an accounting of profits, and costs and interest. On February 8, 2017, the court temporarily stayed this litigation on terms mutually agreed by the parties. On October 22, 2020, the court lifted the stay upon application by the Company and the Sanofi defendants, and the case will proceed in due course.</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Germany. </w:t>
      </w:r>
      <w:r>
        <w:rPr>
          <w:rFonts w:ascii="Arial" w:cs="Arial" w:eastAsia="Arial" w:hAnsi="Arial"/>
          <w:sz w:val="18"/>
          <w:szCs w:val="18"/>
          <w:color w:val="auto"/>
        </w:rPr>
        <w:t>On July 25, 2016, Amgen filed a lawsuit for infringement of the '124 Patent against Regeneron, Sanofi-Aventis Groupe S.A., Sanofi Winthrop</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Industrie S.A., and Sanofi-Aventis Deutschland GmbH in the Regional Court of Düsseldorf,</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2" w:name="page143"/>
    <w:bookmarkEnd w:id="14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REGENERON PHARMACEUTICALS, INC. NOTES TO CONSOLIDATED FINANCIAL STATEMENTS (Continued) </w:t>
      </w: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9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Germany (the "Düsseldorf Regional Court"), seeking a permanent injunction, an accounting of marketing activities, a recall of Praluent and its removal from distribution channels, and damages. On November 14, 2017, the Düsseldorf Regional Court issued a decision staying the infringement proceedings until a decision of the Opposition Division of the EPO concerning the pending opposition filed by the Company, Sanofi, and several other opponents against the '124 Patent (as discussed above). Following Amgen's request to reopen the proceedings in light of the issuance of the Preliminary Opinion, the Düsseldorf Regional Court held an oral hearing on September 11, 2018 and ruled on December 10, 2018 that the infringement proceedings would be reopened. On July 11, 2019, the Düsseldorf Regional Court found that Praluent infringes the '124 Patent and granted an injunction prohibiting the Company and Sanofi's manufacture, sale, and marketing of Praluent in Germany (the "July 11 Decision"). Amgen subsequently enforced the injunction and, as a result, commercialization of Praluent in Germany was discontinued. On July 12, 2019, the Company and Sanofi appealed the July 11 Decision to the Higher Regional Court of Düsseldorf (the "Higher Regional Court"). On August 5, 2019 and October 31, 2019, the Higher Regional Court denied the Company and Sanofi's requests for a stay of preliminary enforcement of the July 11 Decision pending the appeal on the merits. On November 3, 2020, Amgen filed a motion withdrawing this lawsuit without prejudice. An oral hearing on the merits of the appeal to the Higher Regional Court was held on November 5, 2020, at which the Higher Regional Court overturned the July 11 Decision.</w:t>
      </w:r>
    </w:p>
    <w:p>
      <w:pPr>
        <w:spacing w:after="0" w:line="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France. </w:t>
      </w:r>
      <w:r>
        <w:rPr>
          <w:rFonts w:ascii="Arial" w:cs="Arial" w:eastAsia="Arial" w:hAnsi="Arial"/>
          <w:sz w:val="16"/>
          <w:szCs w:val="16"/>
          <w:color w:val="auto"/>
        </w:rPr>
        <w:t>On September 26, 2016, Amgen filed a lawsuit for infringement of the '124 Patent in the Tribunal de grande instance in Paris, France against</w:t>
      </w:r>
      <w:r>
        <w:rPr>
          <w:rFonts w:ascii="Arial" w:cs="Arial" w:eastAsia="Arial" w:hAnsi="Arial"/>
          <w:sz w:val="16"/>
          <w:szCs w:val="16"/>
          <w:i w:val="1"/>
          <w:iCs w:val="1"/>
          <w:color w:val="auto"/>
        </w:rPr>
        <w:t xml:space="preserve"> </w:t>
      </w:r>
      <w:r>
        <w:rPr>
          <w:rFonts w:ascii="Arial" w:cs="Arial" w:eastAsia="Arial" w:hAnsi="Arial"/>
          <w:sz w:val="16"/>
          <w:szCs w:val="16"/>
          <w:color w:val="auto"/>
        </w:rPr>
        <w:t>Regeneron, Sanofi-Aventis Groupe S.A., Sanofi Winthrop Industrie S.A., and Sanofi Chimie (subsequently added as a defendant). Amgen is seeking the prohibition of allegedly infringing activities with a €10,000 penalty per drug unit of Praluent produced in violation of the court order sought by Amgen; an appointment of an expert for the assessment of damages; disclosure of technical (including supply-chain) and accounting information to the expert and the court; provisional damages of €10.0 million (which would be awarded on an interim basis pending final determination); reimbursement of costs; publication of the ruling in three newspapers; and provisional enforcement of the decision to be issued, which would ensure enforcement of the decision (including any provisional damages) pending appeal. Amgen is not seeking a preliminary injunction in this proceeding at this time. On April 10, 2017, the Company and the Sanofi parties filed briefs seeking invalidation of certain of the claims of the '124 Patent, and Amgen filed a response on July 28, 2017. Oral hearing on this infringement lawsuit (originally scheduled for February 12, 2019) has yet to be rescheduled.</w:t>
      </w:r>
    </w:p>
    <w:p>
      <w:pPr>
        <w:spacing w:after="0" w:line="9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The Netherlands. </w:t>
      </w:r>
      <w:r>
        <w:rPr>
          <w:rFonts w:ascii="Arial" w:cs="Arial" w:eastAsia="Arial" w:hAnsi="Arial"/>
          <w:sz w:val="16"/>
          <w:szCs w:val="16"/>
          <w:color w:val="auto"/>
        </w:rPr>
        <w:t>On December 17, 2019, Amgen initiated a lawsuit alleging infringement of the Dutch designation of the '124 Patent in the District Court</w:t>
      </w:r>
      <w:r>
        <w:rPr>
          <w:rFonts w:ascii="Arial" w:cs="Arial" w:eastAsia="Arial" w:hAnsi="Arial"/>
          <w:sz w:val="16"/>
          <w:szCs w:val="16"/>
          <w:i w:val="1"/>
          <w:iCs w:val="1"/>
          <w:color w:val="auto"/>
        </w:rPr>
        <w:t xml:space="preserve"> </w:t>
      </w:r>
      <w:r>
        <w:rPr>
          <w:rFonts w:ascii="Arial" w:cs="Arial" w:eastAsia="Arial" w:hAnsi="Arial"/>
          <w:sz w:val="16"/>
          <w:szCs w:val="16"/>
          <w:color w:val="auto"/>
        </w:rPr>
        <w:t>of The Hague in the Netherlands, against Sanofi-Aventis Netherlands B.V. and Sanofi-Aventis Groupe S.A. The Company has not been named as a defendant in this action. Amgen alleges, among other things, patent infringement based on the production, importation, and commercialization of Praluent (alirocumab) in the Netherlands. Amgen's requests are made on an accelerated basis and include, among other things, a request for a permanent injunction, damages, an order for customer information, a recall order, a destruction order, and an order for costs. A hearing has been scheduled for February 12, 2021.</w:t>
      </w:r>
    </w:p>
    <w:p>
      <w:pPr>
        <w:spacing w:after="0" w:line="94"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Italy. </w:t>
      </w:r>
      <w:r>
        <w:rPr>
          <w:rFonts w:ascii="Arial" w:cs="Arial" w:eastAsia="Arial" w:hAnsi="Arial"/>
          <w:sz w:val="18"/>
          <w:szCs w:val="18"/>
          <w:color w:val="auto"/>
        </w:rPr>
        <w:t>On December 20, 2019, Amgen filed a lawsuit for infringement of the Italian designation of the '124 Patent in the Tribunale di Milano - Enterprise</w:t>
      </w:r>
      <w:r>
        <w:rPr>
          <w:rFonts w:ascii="Arial" w:cs="Arial" w:eastAsia="Arial" w:hAnsi="Arial"/>
          <w:sz w:val="18"/>
          <w:szCs w:val="18"/>
          <w:i w:val="1"/>
          <w:iCs w:val="1"/>
          <w:color w:val="auto"/>
        </w:rPr>
        <w:t xml:space="preserve"> </w:t>
      </w:r>
      <w:r>
        <w:rPr>
          <w:rFonts w:ascii="Arial" w:cs="Arial" w:eastAsia="Arial" w:hAnsi="Arial"/>
          <w:sz w:val="18"/>
          <w:szCs w:val="18"/>
          <w:color w:val="auto"/>
        </w:rPr>
        <w:t>Chamber in Milan, Italy, against Sanofi-Aventis Groupe S.A., Sanofi Chimie, and Sanofi SpA. The Company has not been named as a defendant in this action. Amgen alleges that the production, importation, and commercialization of Praluent (alirocumab) in Italy infringes the '124 Patent. The writ of summons filed by Amgen seeks, among other things, a declaration of infringement, a permanent injunction, withdrawal of product from the market, and damages. On June 24, 2020, Amgen also filed a preliminary injunction motion against the Sanofi parties. On August 12, 2020, the court denied Amgen's preliminary injunction motion.</w:t>
      </w:r>
    </w:p>
    <w:p>
      <w:pPr>
        <w:spacing w:after="0" w:line="10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i w:val="1"/>
          <w:iCs w:val="1"/>
          <w:color w:val="auto"/>
        </w:rPr>
        <w:t xml:space="preserve">Spain. </w:t>
      </w:r>
      <w:r>
        <w:rPr>
          <w:rFonts w:ascii="Arial" w:cs="Arial" w:eastAsia="Arial" w:hAnsi="Arial"/>
          <w:sz w:val="17"/>
          <w:szCs w:val="17"/>
          <w:color w:val="auto"/>
        </w:rPr>
        <w:t>On December 20, 2019, Amgen also filed a lawsuit alleging infringement of the Spanish designation of the '124 Patent in the Juzgado de lo</w:t>
      </w:r>
      <w:r>
        <w:rPr>
          <w:rFonts w:ascii="Arial" w:cs="Arial" w:eastAsia="Arial" w:hAnsi="Arial"/>
          <w:sz w:val="17"/>
          <w:szCs w:val="17"/>
          <w:i w:val="1"/>
          <w:iCs w:val="1"/>
          <w:color w:val="auto"/>
        </w:rPr>
        <w:t xml:space="preserve"> </w:t>
      </w:r>
      <w:r>
        <w:rPr>
          <w:rFonts w:ascii="Arial" w:cs="Arial" w:eastAsia="Arial" w:hAnsi="Arial"/>
          <w:sz w:val="17"/>
          <w:szCs w:val="17"/>
          <w:color w:val="auto"/>
        </w:rPr>
        <w:t>Mercantil No. 5 (Commercial Court) in Barcelona, Spain, against Sanofi-Aventis, S.A. The Company was not named as a defendant in this action. Amgen alleged, among other things, patent infringement based on the manufacture, offering for sale, introduction into the market, use, and importation or possession of Praluent (alirocumab) in Spain. Amgen sought, among other things, a permanent injunction, withdrawal of Praluent from the market, seizure and destruction of Praluent from the market and in storage, and damages in the form of lost profits and costs and expenses. On May 12, 2020, the court stayed this lawsuit until October 30, 2020 on terms mutually agreed by the parties. On October 30, 2020, the stay was automatically lifted. On November 2, 2020, Amgen filed a motion withdrawing this lawsuit; and, on February 1, 2021, the lawsuit was dismissed.</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3" w:name="page144"/>
    <w:bookmarkEnd w:id="14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REGENERON PHARMACEUTICALS, INC. NOTES TO CONSOLIDATED FINANCIAL STATEMENTS (Continued) </w:t>
      </w: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Japan. </w:t>
      </w:r>
      <w:r>
        <w:rPr>
          <w:rFonts w:ascii="Arial" w:cs="Arial" w:eastAsia="Arial" w:hAnsi="Arial"/>
          <w:sz w:val="17"/>
          <w:szCs w:val="17"/>
          <w:color w:val="auto"/>
        </w:rPr>
        <w:t>On May 19, 2017, Amgen filed a lawsuit for infringement of Amgen's Japanese Patent Nos. 5,906,333 (the "'333 Patent") and 5,705,288 (the "'288</w:t>
      </w:r>
      <w:r>
        <w:rPr>
          <w:rFonts w:ascii="Arial" w:cs="Arial" w:eastAsia="Arial" w:hAnsi="Arial"/>
          <w:sz w:val="17"/>
          <w:szCs w:val="17"/>
          <w:i w:val="1"/>
          <w:iCs w:val="1"/>
          <w:color w:val="auto"/>
        </w:rPr>
        <w:t xml:space="preserve"> </w:t>
      </w:r>
      <w:r>
        <w:rPr>
          <w:rFonts w:ascii="Arial" w:cs="Arial" w:eastAsia="Arial" w:hAnsi="Arial"/>
          <w:sz w:val="17"/>
          <w:szCs w:val="17"/>
          <w:color w:val="auto"/>
        </w:rPr>
        <w:t>Patent") in the Tokyo District Court Civil Division (the "Tokyo District Court") against Sanofi K.K. Amgen's complaint alleges that manufacturing, selling or otherwise transferring, and offering to sell or otherwise transfer Praluent (alirocumab) in Japan (as well as importing Praluent (alirocumab) into Japan) infringe the '333 and '288 Patents. The complaint further seeks a permanent injunction, disposal of product, and court costs. The Company has not been named as a defendant in this litigation. On January 17, 2019, the Tokyo District Court upheld the validity of the '333 Patent and '288 Patent and ordered a permanent injunction against Sanofi K.K. to stop manufacturing, selling or otherwise transferring, and offering to sell or otherwise transfer Praluent (alirocumab) in Japan (as well as importing Praluent (alirocumab) into Japan) and to dispose of all product. However, the Tokyo District Court stayed the enforcement of such injunction pending appeal to the Intellectual Property High Court of Japan (the "IPHC"). On January 30, 2019, Sanofi K.K. appealed the Tokyo District Court's decision in the infringement proceedings to the IPHC. Following an oral hearing on October 30, 2019, the IPHC affirmed the Tokyo District Court's decision in the infringement proceedings. Sanofi K.K. appealed the IPHC's decision in the infringement proceedings to the Supreme Court of Japan on November 12, 2019. On April 24, 2020, the Supreme Court of Japan declined to hear the appeal filed by Sanofi K.K. in the infringement proceedings and the injunction issued by the Tokyo District Court became effective. Sanofi K.K. subsequently complied with the injunction and, as a result, the commercialization of Praluent in Japan has been discontinued. On March 31, 2020, Amgen filed a related lawsuit in the Tokyo District Court against Sanofi K.K. seeking damages incurred by Amgen as a result of the finding of infringement of the '333 Patent and the '288 Patent. The Company has not been named as a defendant in this damages action.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Relating to Dupixent (dupilumab) Injection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United States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20, 2017, the Company, Sanofi-Aventis U.S. LLC, and Genzyme Corporation filed a lawsuit against Amgen and Immunex Corporation, a wholly owned subsidiary of Amgen, in the United States District Court for the District of Massachusetts seeking a declaratory judgment that the Company's and the other plaintiffs' Commercializing of Dupixent does not directly or indirectly infringe U.S. Patent No. 8,679,487 (the "'487 Patent") owned by Immunex Corporation relating to antibodies that bind the human interleukin-4 receptor. On May 1, 2017, the Company and the other plaintiffs filed a notice of voluntary dismissal of this action without prejudice.</w:t>
      </w:r>
    </w:p>
    <w:p>
      <w:pPr>
        <w:spacing w:after="0" w:line="12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 xml:space="preserve">On March 23, 2017, the Company, Sanofi-Aventis U.S. LLC, and Genzyme Corporation initiated an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("IPR") in the United States Patent and Trademark Office ("USPTO") seeking a declaration of invalidity of the '487 Patent. On July 28 and 31, 2017, the same parties filed two additional IPR petitions in the USPTO seeking declarations of invalidity of the '487 Patent based on different grounds (the "Additional IPR Petitions"). On October 4, 2017, the Patent Trial and Appeal Board ("PTAB") of the USPTO issued a decision on the first IPR petition and declined to institute an IPR proceeding to review the validity of the '487 Patent. On February 15, 2018, the PTAB issued two decisions instituting the Company's and Sanofi's Additional IPR Petitions on all claims of the '487 Patent for which review had been requested. Oral hearings on the Additional IPR Petitions before the PTAB were held on November 14, 2018. On February 14, 2019, the PTAB issued final written decisions on the Additional IPR Petitions, invalidating all 17 claims of the '487 Patent as obvious based on one of the Additional IPR Petitions while declining to hold the challenged claims of the '487 Patent invalid based on the other. In April 2019, the parties filed notices of appeal with the Federal Circuit appealing the PTAB's respective adverse final written decisions on the Additional IPR Petitions, and oral argument was held on August 5, 2020. On October 13, 2020, the Federal Circuit affirmed the PTAB's decision on the Additional IPR Petition that invalidated all 17 claims of the '487 Patent as obvious.</w:t>
      </w:r>
    </w:p>
    <w:p>
      <w:pPr>
        <w:spacing w:after="0" w:line="11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April 5, 2017, Immunex Corporation filed a lawsuit against the Company, Sanofi, Sanofi-Aventis U.S. LLC, Genzyme Corporation, and Aventisub LLC in the United States District Court for the Central District of California seeking a judgment of patent infringement of the '487 Patent and a declaratory judgment of infringement of the '487 Patent, in each case by the Company's and the other defendants' Commercializing of Dupixent; monetary damages (together with interest); an order of willful infringement of the '487 Patent, which would allow the court in its discretion to award damages up to three times the amount assessed; costs and expenses of the lawsuit; and attorneys' fees. Immunex is not seeking an injunction in this proceeding at this time. On June 21, 2017, the court denied a motion to dismiss Immunex's complaint previously filed by the Company and the Sanofi parties. On June 28, 2017, the Company and the Sanofi parties filed an answer to Immunex's complaint and counterclaims against Immunex and Amgen (which was amended on October 31, 2017 to, among other things, add an inequitable conduct allegation), and Immunex and Amgen filed an answer to the counterclaims on July 28, 2017. A combined hearing on the construction of certain disputed claim terms of the '487 Patent and the Company and the Sanofi parties' motion for summary judgment on the issue of indefiniteness of the '487 Patent claims was held on July 12, 2018. On August 24, 2018,</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4" w:name="page145"/>
    <w:bookmarkEnd w:id="14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REGENERON PHARMACEUTICALS, INC. NOTES TO CONSOLIDATED FINANCIAL STATEMENTS (Continued) </w:t>
      </w: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court issued an order denying this motion and construed the disputed claim terms as proposed by Amgen. On February 28, 2019, the court granted a joint stipulation by the parties to stay the litigation pending resolution of the appeals of the PTAB's final written decisions on the Additional IPR Petitions discussed above.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Europe</w:t>
      </w:r>
    </w:p>
    <w:p>
      <w:pPr>
        <w:spacing w:after="0" w:line="15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30, 2016, Sanofi initiated a revocation proceeding in the United Kingdom to invalidate the U.K. counterpart of European Patent No. 2,292,665 (the "'665 Patent"), another patent owned by Immunex relating to antibodies that bind the human interleukin-4 receptor. At the joint request of the parties to the revocation proceeding, the U.K. Patents Court ordered on January 30, 2017 that the revocation action be stayed pending the final determination of the currently pending EPO opposition proceedings initiated by the Company and Sanofi in relation to the '665 Patent. The oral hearing before the EPO on the oppositions occurred on November 20, 2017, at which the claims of the '665 Patent were found invalid and the patent was revoked. A final written decision of revocation of the '665 Patent was issued by the EPO on January 4, 2018. Immunex filed a notice of appeal of the EPO's decision on January 31, 2018. On September 20, 2017 and September 21, 2017, respectively, the Company and Sanofi initiated opposition proceedings in the EPO against Immunex's European Patent No. 2,990,420 (the "'420 Patent"), a divisional patent of the '665 Patent (</w:t>
      </w:r>
      <w:r>
        <w:rPr>
          <w:rFonts w:ascii="Arial" w:cs="Arial" w:eastAsia="Arial" w:hAnsi="Arial"/>
          <w:sz w:val="17"/>
          <w:szCs w:val="17"/>
          <w:i w:val="1"/>
          <w:iCs w:val="1"/>
          <w:color w:val="auto"/>
        </w:rPr>
        <w:t>i.e.</w:t>
      </w:r>
      <w:r>
        <w:rPr>
          <w:rFonts w:ascii="Arial" w:cs="Arial" w:eastAsia="Arial" w:hAnsi="Arial"/>
          <w:sz w:val="17"/>
          <w:szCs w:val="17"/>
          <w:color w:val="auto"/>
        </w:rPr>
        <w:t>, a patent that shares the same priority date, disclosure, and patent term of the parent '665 Patent but contains claims to a different invention). The oral hearing before the EPO on the oppositions occurred on February 14–15, 2019, at which the '420 Patent was revoked in its entirety. Immunex filed a notice of appeal of the EPO's decision on May 31, 2019. The original patent term of the Immunex patents is set to expire in 2021.</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Relating to EYLEA (aflibercept) Injection</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7, 2021, Chengdu Kanghong Pharmaceutical Group Co., Ltd. filed an IPR petition in the USPTO against the Company' s U.S. Patent No. 10,464,992 (the "'992 Patent") and a post-grant review petition against the Company's U.S. Patent No. 10,828,345 (the "'345 Patent") seeking declarations of invalidity of the '992 Patent and '345 Patent.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Relating to EYLEA (aflibercept) Injection Pre-filled Syringe</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June 19, 2020, Novartis Pharma AG, Novartis Pharmaceuticals Corporation, and Novartis Technology LLC (collectively, "Novartis") filed a complaint with the U.S. International Trade Commission (the "ITC") pursuant to Section 337 of the Tariff Act of 1930 requesting that the ITC institute an investigation relating to the importation into the United States and/or sale within the United States after importation of EYLEA pre-filled syringes ("PFS") and/or components thereof which allegedly infringe Novartis’s U.S. Patent No. 9,220,631 (the "'631 Patent"). Novartis also requested a permanent limited exclusion order forbidding entry into the United States of EYLEA PFS or components thereof; a permanent cease-and-desist order from the importation, sale, offer for sale, advertising, packaging, or solicitation of any sale by the Company of EYLEA PFS or components thereof; and a bond should the Company continue to import EYLEA PFS (if found to infringe) during, if applicable, any 60-day Presidential review period (</w:t>
      </w:r>
      <w:r>
        <w:rPr>
          <w:rFonts w:ascii="Arial" w:cs="Arial" w:eastAsia="Arial" w:hAnsi="Arial"/>
          <w:sz w:val="17"/>
          <w:szCs w:val="17"/>
          <w:i w:val="1"/>
          <w:iCs w:val="1"/>
          <w:color w:val="auto"/>
        </w:rPr>
        <w:t>i.e.</w:t>
      </w:r>
      <w:r>
        <w:rPr>
          <w:rFonts w:ascii="Arial" w:cs="Arial" w:eastAsia="Arial" w:hAnsi="Arial"/>
          <w:sz w:val="17"/>
          <w:szCs w:val="17"/>
          <w:color w:val="auto"/>
        </w:rPr>
        <w:t>, the period when the President of the United States (or his designee) can disapprove any ITC decision to issue an exclusion order or cease-and-desist order). The ITC instituted the investigation on July 22, 2020 and a trial has been scheduled for April 19-23, 2021.</w:t>
      </w:r>
    </w:p>
    <w:p>
      <w:pPr>
        <w:spacing w:after="0" w:line="1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19, 2020, Novartis also filed a patent infringement lawsuit in the U.S. District Court for the Northern District of New York asserting claims of the '631 Patent and seeking preliminary and permanent injunctions to prevent the Company from continuing to infringe the '631 Patent. Novartis also seeks a judgment of patent infringement of the '631 Patent, monetary damages (together with interest), treble damages, costs and expenses of the lawsuits, and attorneys' fees. On July 30, 2020, the court granted the Company's motion to stay these proceedings until a determination in the ITC proceedings discussed above, including any appeals therefrom, becomes final.</w:t>
      </w:r>
    </w:p>
    <w:p>
      <w:pPr>
        <w:spacing w:after="0" w:line="120" w:lineRule="exact"/>
        <w:rPr>
          <w:sz w:val="20"/>
          <w:szCs w:val="20"/>
          <w:color w:val="auto"/>
        </w:rPr>
      </w:pPr>
    </w:p>
    <w:p>
      <w:pPr>
        <w:jc w:val="both"/>
        <w:ind w:right="40"/>
        <w:spacing w:after="0" w:line="248" w:lineRule="auto"/>
        <w:rPr>
          <w:sz w:val="20"/>
          <w:szCs w:val="20"/>
          <w:color w:val="auto"/>
        </w:rPr>
      </w:pPr>
      <w:r>
        <w:rPr>
          <w:rFonts w:ascii="Arial" w:cs="Arial" w:eastAsia="Arial" w:hAnsi="Arial"/>
          <w:sz w:val="18"/>
          <w:szCs w:val="18"/>
          <w:color w:val="auto"/>
        </w:rPr>
        <w:t>On July 16, 2020, the Company initiated two IPR petitions in the USPTO seeking a declaration of invalidity of the '631 Patent on two separate grounds. On January 15, 2021, the USPTO declined to institute an IPR proceeding on procedural grounds in light of the pending ITC investigation discussed above; the other IPR petition has been withdrawn.</w:t>
      </w:r>
    </w:p>
    <w:p>
      <w:pPr>
        <w:spacing w:after="0" w:line="1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July 17, 2020, the Company filed an antitrust lawsuit against Novartis and Vetter Pharma International Gmbh ("Vetter") in the United States District Court for the Southern District of New York seeking a declaration that the '631 Patent is unenforceable and a judgment that the defendants' conduct violates Sections 1 and 2 of the Sherman Antitrust Act of 1890, as amended (the "Sherman Antitrust Act"). The Company is also seeking injunctive relief and treble damages. On September 4, 2020, Novartis filed, and Vetter moved to join, a motion to dismiss the complaint, to transfer the lawsuit to the Northern District of New York, or to stay the suit; and on October 19, 2020, Novartis filed, and Vetter moved to join, a second motion to dismiss the complaint on different grounds. On January 25, 2021, the Company filed an amended complaint seeking a judgment</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5" w:name="page146"/>
    <w:bookmarkEnd w:id="14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REGENERON PHARMACEUTICALS, INC. NOTES TO CONSOLIDATED FINANCIAL STATEMENTS (Continued) </w:t>
      </w: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that the Novartis's conduct violates Section 2 of the Sherman Antitrust Act based on additional grounds, as well as a judgment of tortious interference with contract.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Related to "Most Favored Nation" Interim Final Rule</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December 11, 2020, the Company filed a lawsuit in the United States District Court for the Southern District of New York against the U.S. Department of Health and Human Services, the Secretary of HHS, the Centers for Medicare &amp; Medicaid Services ("CMS"), and the Administrator of CMS seeking declaratory and injunctive relief related to the interim final rule with comment period entitled "Most Favored Nation (MFN) Model" issued on November 20, 2020 by HHS, acting through CMS. On the same day, the Company filed a motion for a preliminary injunction and temporary restraining order, seeking to prevent implementation of the MFN Rule. On December 22, 2020, the court heard oral argument on the Company's motion for a preliminary injunction and temporary restraining order. On December 31, 2020, the court granted the Company's motion and issued a preliminary injunction. On February 2, 2021, the government stated to the court that the Solicitor General had determined not to appeal the preliminary injunction.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Relating to fasinumab</w:t>
      </w:r>
    </w:p>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May 21, 2020, the Company and Teva Pharmaceutical Industries Limited ("Teva") filed a lawsuit against Rinat Neurosciences Corp. ("Rinat"), a wholly owned subsidiary of Pfizer Inc., in the English High Court of Justice in London, seeking invalidation and revocation of Rinat's European Patent No. 2,270,048 (the "'048 Patent"), European Patent No. 1,871,416 (the "'416 Patent"), and European Patent No. 2,305,711 (the "'711 Patent"), each of which pertains to the use of NGF monoclonal antibodies to treat certain symptoms in patients suffering from osteoarthritis. On July 21, 2020, Rinat filed its defense and counterclaim seeking a declaration of infringement of the '048 Patent by fasinumab. The counterclaim also seeks a permanent injunction, damages, an accounting of profits, and costs and interest. On December 15, 2020, Rinat filed an amended defense and counterclaim seeking a declaration of infringement of the '711 Patent by fasinumab. A trial has been scheduled to commence in late November or early December 2021.</w:t>
      </w:r>
    </w:p>
    <w:p>
      <w:pPr>
        <w:spacing w:after="0" w:line="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'048 Patent is subject to opposition proceedings in the EPO, which were initiated by the Company on August 10, 2016 and two other opponents on August 11, 2016. On January 3, 2018, the Opposition Division of the EPO issued a preliminary, non-binding opinion regarding the validity of the '048 Patent, indicating that it considered the granted patent to be invalid. An oral hearing on the oppositions against the '048 Patent was held on November 29– 30, 2018, at which the Opposition Division upheld the validity of the '048 Patent's claims in amended form. The Company filed a notice of appeal to the TBA of the EPO on March 7, 2019. On October 21, 2020, Teva filed a notice of intervention with the TBA to take part in the appeal proceedings as an intervener.</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'711 Patent is also subject to opposition proceedings in the EPO, which were initiated by the Company on May 1, 2018. On January 31, 2019, the Opposition Division of the EPO issued a preliminary, non-binding opinion regarding the validity of the '711 Patent, indicating that it considered the granted patent to be invalid. An oral hearing on the opposition against the '711 Patent was held on December 3, 2019, at which the Opposition Division upheld the validity of the '711 Patent's claims in amended form. The Company filed a notice of appeal to the TBA on December 20, 2019. An oral hearing before the TBA has been scheduled for July 29, 2021. On January 29, 2021, Teva filed a notice of intervention with the TBA to take part in the appeal proceedings as an intervener.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Relating to REGEN-COV (casirivimab and imdevimab)</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5, 2020, Allele Biotechnology and Pharmaceuticals, Inc. ("Allele") filed a lawsuit against the Company in the United States District Court for the Southern District of New York, asserting infringement of U.S. Patent No. 10,221,221 (the "'221 Patent"). Allele seeks a judgment of patent infringement of the '221 Patent, a judgment that such infringement was willful, and an award of monetary damages (together with interest), treble damages, costs and expenses of the lawsuit, and attorneys' fees.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6" w:name="page147"/>
    <w:bookmarkEnd w:id="14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REGENERON PHARMACEUTICALS, INC. NOTES TO CONSOLIDATED FINANCIAL STATEMENTS (Continued) </w:t>
      </w: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Department of Justice Matters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January 2017, the Company received a subpoena from the U.S. Attorney's Office for the District of Massachusetts requesting documents relating to its support of 501(c)(3) organizations that provide financial assistance to patients; documents concerning its provision of financial assistance to patients with respect to products sold or developed by Regeneron (including EYLEA, Praluent, ARCALYST, and ZALTRAP); and certain other related documents and communications. On June 24, 2020, the U.S. Attorney's Office for the District of Massachusetts filed a civil complaint in the U.S. District Court for the District of Massachusetts alleging violations of the federal Anti-Kickback Statute, and asserting causes of action under the federal False Claims Act and state law. On August 24, 2020, the Company filed a motion to dismiss the complaint in its entirety. On December 4, 2020, the court denied the motion to dismiss.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2019, the Company and Regeneron Healthcare Solutions, Inc., a wholly-owned subsidiary of the Company, each received a civil investigative demand ("CID") from the U.S. Department of Justice pursuant to the federal False Claims Act relating to remuneration paid to physicians in the form of consulting fees, advisory boards, speaker fees, and payment or reimbursement for travel and entertainment allegedly in violation of the federal Anti-Kickback Statute. The CIDs relate to EYLEA, Praluent, Dupixent, ZALTRAP, ARCALYST, and Kevzara and cover the period from January 2015 to the present. The Company is cooperating with this investigation.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Initiated by UnitedHealthcare</w:t>
      </w:r>
    </w:p>
    <w:p>
      <w:pPr>
        <w:spacing w:after="0" w:line="14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December 17, 2020, UnitedHealthcare Insurance Company and United Healthcare Services, Inc. (collectively, "UHC") filed a lawsuit against the Company in the United States District Court for the Southern District of New York alleging UHC has been damaged by the conduct alleged in the civil complaint filed by the U.S. Attorney's Office for the District of Massachusetts discussed under "Department of Justice Matters" above. UHC alleges causes of action under state law and the federal Racketeer Influenced and Corrupt Organizations Act and seeks monetary damages and equitable relief.</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Demand</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or about September 30, 2020, the Company's board of directors received a demand letter from a purported shareholder of the Company. The demand alleges that Regeneron and its shareholders have been damaged by the conduct alleged in the civil complaint filed by the U.S. Attorney's Office for the District of Massachusetts discussed under "Department of Justice Matters" above. The demand letter requests that the Company's board of directors investigate alleged breaches of fiduciary duty by its officers and directors and other alleged violations of law and corporate governance practices and procedures; bring legal action against the persons responsible for causing the alleged damages; and implement and maintain an effective system of internal controls, compliance mechanisms, and corporate governance practices and procedures. The Company's board of directors, working with outside counsel, investigated and evaluated the allegations in the demand letter and has concluded that pursuing the claims alleged in the demand would not be in the Company's best interests at this time.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16. Net Income Per Share</w:t>
            </w: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65"/>
        </w:trPr>
        <w:tc>
          <w:tcPr>
            <w:tcW w:w="5360" w:type="dxa"/>
            <w:vAlign w:val="bottom"/>
            <w:gridSpan w:val="2"/>
          </w:tcPr>
          <w:p>
            <w:pPr>
              <w:spacing w:after="0"/>
              <w:rPr>
                <w:sz w:val="20"/>
                <w:szCs w:val="20"/>
                <w:color w:val="auto"/>
              </w:rPr>
            </w:pPr>
            <w:r>
              <w:rPr>
                <w:rFonts w:ascii="Arial" w:cs="Arial" w:eastAsia="Arial" w:hAnsi="Arial"/>
                <w:sz w:val="18"/>
                <w:szCs w:val="18"/>
                <w:color w:val="auto"/>
                <w:w w:val="91"/>
              </w:rPr>
              <w:t>The calculations of basic and diluted net income per share are as follows:</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05"/>
        </w:trPr>
        <w:tc>
          <w:tcPr>
            <w:tcW w:w="12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c>
          <w:tcPr>
            <w:tcW w:w="1200" w:type="dxa"/>
            <w:vAlign w:val="bottom"/>
          </w:tcPr>
          <w:p>
            <w:pPr>
              <w:spacing w:after="0"/>
              <w:rPr>
                <w:sz w:val="24"/>
                <w:szCs w:val="24"/>
                <w:color w:val="auto"/>
              </w:rPr>
            </w:pPr>
          </w:p>
        </w:tc>
      </w:tr>
      <w:tr>
        <w:trPr>
          <w:trHeight w:val="223"/>
        </w:trPr>
        <w:tc>
          <w:tcPr>
            <w:tcW w:w="1220" w:type="dxa"/>
            <w:vAlign w:val="bottom"/>
          </w:tcPr>
          <w:p>
            <w:pPr>
              <w:spacing w:after="0"/>
              <w:rPr>
                <w:sz w:val="19"/>
                <w:szCs w:val="19"/>
                <w:color w:val="auto"/>
              </w:rPr>
            </w:pPr>
          </w:p>
        </w:tc>
        <w:tc>
          <w:tcPr>
            <w:tcW w:w="4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2018</w:t>
            </w:r>
          </w:p>
        </w:tc>
        <w:tc>
          <w:tcPr>
            <w:tcW w:w="1200" w:type="dxa"/>
            <w:vAlign w:val="bottom"/>
          </w:tcPr>
          <w:p>
            <w:pPr>
              <w:spacing w:after="0"/>
              <w:rPr>
                <w:sz w:val="19"/>
                <w:szCs w:val="19"/>
                <w:color w:val="auto"/>
              </w:rPr>
            </w:pPr>
          </w:p>
        </w:tc>
      </w:tr>
      <w:tr>
        <w:trPr>
          <w:trHeight w:val="223"/>
        </w:trPr>
        <w:tc>
          <w:tcPr>
            <w:tcW w:w="1220" w:type="dxa"/>
            <w:vAlign w:val="bottom"/>
          </w:tcPr>
          <w:p>
            <w:pPr>
              <w:spacing w:after="0"/>
              <w:rPr>
                <w:sz w:val="19"/>
                <w:szCs w:val="19"/>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 basic and diluted</w:t>
            </w: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2,444.4</w:t>
            </w:r>
          </w:p>
        </w:tc>
        <w:tc>
          <w:tcPr>
            <w:tcW w:w="1200" w:type="dxa"/>
            <w:vAlign w:val="bottom"/>
          </w:tcPr>
          <w:p>
            <w:pPr>
              <w:spacing w:after="0"/>
              <w:rPr>
                <w:sz w:val="19"/>
                <w:szCs w:val="19"/>
                <w:color w:val="auto"/>
              </w:rPr>
            </w:pPr>
          </w:p>
        </w:tc>
      </w:tr>
      <w:tr>
        <w:trPr>
          <w:trHeight w:val="270"/>
        </w:trPr>
        <w:tc>
          <w:tcPr>
            <w:tcW w:w="122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0"/>
        </w:trPr>
        <w:tc>
          <w:tcPr>
            <w:tcW w:w="1220" w:type="dxa"/>
            <w:vAlign w:val="bottom"/>
          </w:tcPr>
          <w:p>
            <w:pPr>
              <w:spacing w:after="0"/>
              <w:rPr>
                <w:sz w:val="19"/>
                <w:szCs w:val="19"/>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(Shares in millions)</w:t>
            </w: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Weighted average shares - basic</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107.9</w:t>
            </w:r>
          </w:p>
        </w:tc>
        <w:tc>
          <w:tcPr>
            <w:tcW w:w="1200" w:type="dxa"/>
            <w:vAlign w:val="bottom"/>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1220" w:type="dxa"/>
            <w:vAlign w:val="bottom"/>
          </w:tcPr>
          <w:p>
            <w:pPr>
              <w:spacing w:after="0"/>
              <w:rPr>
                <w:sz w:val="19"/>
                <w:szCs w:val="19"/>
                <w:color w:val="auto"/>
              </w:rPr>
            </w:pPr>
          </w:p>
        </w:tc>
        <w:tc>
          <w:tcPr>
            <w:tcW w:w="4140" w:type="dxa"/>
            <w:vAlign w:val="bottom"/>
          </w:tcPr>
          <w:p>
            <w:pPr>
              <w:ind w:left="220"/>
              <w:spacing w:after="0"/>
              <w:rPr>
                <w:sz w:val="20"/>
                <w:szCs w:val="20"/>
                <w:color w:val="auto"/>
              </w:rPr>
            </w:pPr>
            <w:r>
              <w:rPr>
                <w:rFonts w:ascii="Arial" w:cs="Arial" w:eastAsia="Arial" w:hAnsi="Arial"/>
                <w:sz w:val="18"/>
                <w:szCs w:val="18"/>
                <w:color w:val="auto"/>
              </w:rPr>
              <w:t>Stock options</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w:t>
            </w:r>
          </w:p>
        </w:tc>
        <w:tc>
          <w:tcPr>
            <w:tcW w:w="1200" w:type="dxa"/>
            <w:vAlign w:val="bottom"/>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stock</w:t>
            </w: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r>
      <w:tr>
        <w:trPr>
          <w:trHeight w:val="223"/>
        </w:trPr>
        <w:tc>
          <w:tcPr>
            <w:tcW w:w="122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Weighted average shares - diluted</w:t>
            </w:r>
          </w:p>
        </w:tc>
        <w:tc>
          <w:tcPr>
            <w:tcW w:w="9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114.6</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114.8</w:t>
            </w:r>
          </w:p>
        </w:tc>
        <w:tc>
          <w:tcPr>
            <w:tcW w:w="120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29"/>
        </w:trPr>
        <w:tc>
          <w:tcPr>
            <w:tcW w:w="1220" w:type="dxa"/>
            <w:vAlign w:val="bottom"/>
          </w:tcPr>
          <w:p>
            <w:pPr>
              <w:spacing w:after="0"/>
              <w:rPr>
                <w:sz w:val="11"/>
                <w:szCs w:val="11"/>
                <w:color w:val="auto"/>
              </w:rPr>
            </w:pPr>
          </w:p>
        </w:tc>
        <w:tc>
          <w:tcPr>
            <w:tcW w:w="4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0" w:type="dxa"/>
            <w:vAlign w:val="bottom"/>
          </w:tcPr>
          <w:p>
            <w:pPr>
              <w:spacing w:after="0"/>
              <w:rPr>
                <w:sz w:val="11"/>
                <w:szCs w:val="11"/>
                <w:color w:val="auto"/>
              </w:rPr>
            </w:pPr>
          </w:p>
        </w:tc>
      </w:tr>
      <w:tr>
        <w:trPr>
          <w:trHeight w:val="229"/>
        </w:trPr>
        <w:tc>
          <w:tcPr>
            <w:tcW w:w="122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Net income per share - basic</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32.65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19.38</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22.65</w:t>
            </w:r>
          </w:p>
        </w:tc>
        <w:tc>
          <w:tcPr>
            <w:tcW w:w="1200" w:type="dxa"/>
            <w:vAlign w:val="bottom"/>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1200" w:type="dxa"/>
            <w:vAlign w:val="bottom"/>
          </w:tcPr>
          <w:p>
            <w:pPr>
              <w:spacing w:after="0"/>
              <w:rPr>
                <w:sz w:val="19"/>
                <w:szCs w:val="19"/>
                <w:color w:val="auto"/>
              </w:rPr>
            </w:pPr>
          </w:p>
        </w:tc>
      </w:tr>
      <w:tr>
        <w:trPr>
          <w:trHeight w:val="648"/>
        </w:trPr>
        <w:tc>
          <w:tcPr>
            <w:tcW w:w="12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160" w:type="dxa"/>
            <w:vAlign w:val="bottom"/>
            <w:gridSpan w:val="2"/>
          </w:tcPr>
          <w:p>
            <w:pPr>
              <w:jc w:val="right"/>
              <w:ind w:right="630"/>
              <w:spacing w:after="0"/>
              <w:rPr>
                <w:sz w:val="20"/>
                <w:szCs w:val="20"/>
                <w:color w:val="auto"/>
              </w:rPr>
            </w:pPr>
            <w:r>
              <w:rPr>
                <w:rFonts w:ascii="Arial" w:cs="Arial" w:eastAsia="Arial" w:hAnsi="Arial"/>
                <w:sz w:val="18"/>
                <w:szCs w:val="18"/>
                <w:color w:val="auto"/>
              </w:rPr>
              <w:t>F-45</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58"/>
        </w:trPr>
        <w:tc>
          <w:tcPr>
            <w:tcW w:w="122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8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7" w:name="page148"/>
    <w:bookmarkEnd w:id="14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REGENERON PHARMACEUTICALS, INC. NOTES TO CONSOLIDATED FINANCIAL STATEMENTS (Continued) </w:t>
      </w: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Shares which have been excluded from diluted per share amounts because their effect would have been antidilutive, include the following:</w:t>
      </w:r>
    </w:p>
    <w:p>
      <w:pPr>
        <w:spacing w:after="0" w:line="275" w:lineRule="exact"/>
        <w:rPr>
          <w:sz w:val="20"/>
          <w:szCs w:val="20"/>
          <w:color w:val="auto"/>
        </w:rPr>
      </w:pPr>
    </w:p>
    <w:tbl>
      <w:tblPr>
        <w:tblLayout w:type="fixed"/>
        <w:tblInd w:w="254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31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r>
      <w:tr>
        <w:trPr>
          <w:trHeight w:val="223"/>
        </w:trPr>
        <w:tc>
          <w:tcPr>
            <w:tcW w:w="30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i w:val="1"/>
                <w:iCs w:val="1"/>
                <w:color w:val="auto"/>
              </w:rPr>
              <w:t>(Shares in millions)</w:t>
            </w: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r>
      <w:tr>
        <w:trPr>
          <w:trHeight w:val="223"/>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Statement of Cash Flows</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provides a reconciliation of cash, cash equivalents, and restricted cash reported within the Consolidated Balance Sheet to the total of the same such amounts shown in the Consolidated Statement of Cash Flows:</w:t>
      </w:r>
    </w:p>
    <w:p>
      <w:pPr>
        <w:spacing w:after="0" w:line="220" w:lineRule="exact"/>
        <w:rPr>
          <w:sz w:val="20"/>
          <w:szCs w:val="20"/>
          <w:color w:val="auto"/>
        </w:rPr>
      </w:pPr>
    </w:p>
    <w:tbl>
      <w:tblPr>
        <w:tblLayout w:type="fixed"/>
        <w:tblInd w:w="124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1,467.7</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6"/>
              </w:rPr>
              <w:t>Restricted cash included in Other noncurrent assets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55"/>
        </w:trPr>
        <w:tc>
          <w:tcPr>
            <w:tcW w:w="40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Total cash, cash equivalents, and restricted cash</w:t>
            </w: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0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shown in the Consolidated Statement of Cash</w:t>
            </w: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2,207.3</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1,630.3</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1,480.2</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Flows</w:t>
            </w: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consists of amounts held by financial institutions pursuant to contractual arrangements.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disclosure of non-cash investing and financing activities</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Included in accounts payable, accrued expenses, and other liabilities as of December 31, 2020, 2019, and 2018 were $83.6 million, $133.7 million, and $54.5 million, respectively, of accrued capital expenditures.</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described in Note 11, during 2020, 2019, and 2018, we purchased (by issuing a credit towards the amount owed by Sanofi) shares of our Common Stock from Sanofi to satisfy Sanofi's funding obligation related to Libtayo development costs.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8" w:name="page149"/>
    <w:bookmarkEnd w:id="14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REGENERON PHARMACEUTICALS, INC. NOTES TO CONSOLIDATED FINANCIAL STATEMENTS (Continued) </w:t>
      </w: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Unaudited Quarterly Results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Summarized quarterly financial data (unaudited) for the years ended December 31, 2020 and 2019 are set forth in the following tables. Certain revisions have been made to the previously reported 2019 quarterly amounts below in connection with changing the presentation of certain amounts earned from collaborators (see Note 1 for further details).</w:t>
      </w:r>
    </w:p>
    <w:p>
      <w:pPr>
        <w:spacing w:after="0" w:line="5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First Quarter Ended</w:t>
            </w:r>
          </w:p>
        </w:tc>
        <w:tc>
          <w:tcPr>
            <w:tcW w:w="20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Second Quarter Ended</w:t>
            </w:r>
          </w:p>
        </w:tc>
        <w:tc>
          <w:tcPr>
            <w:tcW w:w="120" w:type="dxa"/>
            <w:vAlign w:val="bottom"/>
          </w:tcPr>
          <w:p>
            <w:pPr>
              <w:spacing w:after="0"/>
              <w:rPr>
                <w:sz w:val="17"/>
                <w:szCs w:val="17"/>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Third Quarter Ended</w:t>
            </w:r>
          </w:p>
        </w:tc>
        <w:tc>
          <w:tcPr>
            <w:tcW w:w="140" w:type="dxa"/>
            <w:vAlign w:val="bottom"/>
          </w:tcPr>
          <w:p>
            <w:pPr>
              <w:spacing w:after="0"/>
              <w:rPr>
                <w:sz w:val="17"/>
                <w:szCs w:val="17"/>
                <w:color w:val="auto"/>
              </w:rPr>
            </w:pPr>
          </w:p>
        </w:tc>
        <w:tc>
          <w:tcPr>
            <w:tcW w:w="208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Fourth Quarter Ended</w:t>
            </w:r>
          </w:p>
        </w:tc>
      </w:tr>
      <w:tr>
        <w:trPr>
          <w:trHeight w:val="229"/>
        </w:trPr>
        <w:tc>
          <w:tcPr>
            <w:tcW w:w="2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March 31, 2020</w:t>
            </w:r>
          </w:p>
        </w:tc>
        <w:tc>
          <w:tcPr>
            <w:tcW w:w="240" w:type="dxa"/>
            <w:vAlign w:val="bottom"/>
          </w:tcPr>
          <w:p>
            <w:pPr>
              <w:spacing w:after="0"/>
              <w:rPr>
                <w:sz w:val="19"/>
                <w:szCs w:val="19"/>
                <w:color w:val="auto"/>
              </w:rPr>
            </w:pPr>
          </w:p>
        </w:tc>
        <w:tc>
          <w:tcPr>
            <w:tcW w:w="1760" w:type="dxa"/>
            <w:vAlign w:val="bottom"/>
            <w:gridSpan w:val="2"/>
          </w:tcPr>
          <w:p>
            <w:pPr>
              <w:jc w:val="center"/>
              <w:ind w:right="340"/>
              <w:spacing w:after="0" w:line="230" w:lineRule="exact"/>
              <w:rPr>
                <w:sz w:val="20"/>
                <w:szCs w:val="20"/>
                <w:color w:val="auto"/>
              </w:rPr>
            </w:pPr>
            <w:r>
              <w:rPr>
                <w:rFonts w:ascii="Arial" w:cs="Arial" w:eastAsia="Arial" w:hAnsi="Arial"/>
                <w:sz w:val="18"/>
                <w:szCs w:val="18"/>
                <w:b w:val="1"/>
                <w:bCs w:val="1"/>
                <w:color w:val="auto"/>
                <w:w w:val="86"/>
              </w:rPr>
              <w:t>June 30, 2020</w:t>
            </w:r>
            <w:r>
              <w:rPr>
                <w:rFonts w:ascii="Arial" w:cs="Arial" w:eastAsia="Arial" w:hAnsi="Arial"/>
                <w:sz w:val="23"/>
                <w:szCs w:val="23"/>
                <w:b w:val="1"/>
                <w:bCs w:val="1"/>
                <w:color w:val="auto"/>
                <w:w w:val="86"/>
                <w:vertAlign w:val="superscript"/>
              </w:rPr>
              <w:t>(1)</w:t>
            </w:r>
          </w:p>
        </w:tc>
        <w:tc>
          <w:tcPr>
            <w:tcW w:w="120" w:type="dxa"/>
            <w:vAlign w:val="bottom"/>
          </w:tcPr>
          <w:p>
            <w:pPr>
              <w:spacing w:after="0"/>
              <w:rPr>
                <w:sz w:val="19"/>
                <w:szCs w:val="19"/>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September 30, 2020</w:t>
            </w:r>
          </w:p>
        </w:tc>
        <w:tc>
          <w:tcPr>
            <w:tcW w:w="140" w:type="dxa"/>
            <w:vAlign w:val="bottom"/>
          </w:tcPr>
          <w:p>
            <w:pPr>
              <w:spacing w:after="0"/>
              <w:rPr>
                <w:sz w:val="19"/>
                <w:szCs w:val="19"/>
                <w:color w:val="auto"/>
              </w:rPr>
            </w:pPr>
          </w:p>
        </w:tc>
        <w:tc>
          <w:tcPr>
            <w:tcW w:w="2080" w:type="dxa"/>
            <w:vAlign w:val="bottom"/>
          </w:tcPr>
          <w:p>
            <w:pPr>
              <w:jc w:val="center"/>
              <w:ind w:right="70"/>
              <w:spacing w:after="0" w:line="230" w:lineRule="exact"/>
              <w:rPr>
                <w:sz w:val="20"/>
                <w:szCs w:val="20"/>
                <w:color w:val="auto"/>
              </w:rPr>
            </w:pPr>
            <w:r>
              <w:rPr>
                <w:rFonts w:ascii="Arial" w:cs="Arial" w:eastAsia="Arial" w:hAnsi="Arial"/>
                <w:sz w:val="18"/>
                <w:szCs w:val="18"/>
                <w:b w:val="1"/>
                <w:bCs w:val="1"/>
                <w:color w:val="auto"/>
                <w:w w:val="88"/>
              </w:rPr>
              <w:t>December 31, 2020</w:t>
            </w:r>
            <w:r>
              <w:rPr>
                <w:rFonts w:ascii="Arial" w:cs="Arial" w:eastAsia="Arial" w:hAnsi="Arial"/>
                <w:sz w:val="23"/>
                <w:szCs w:val="23"/>
                <w:b w:val="1"/>
                <w:bCs w:val="1"/>
                <w:color w:val="auto"/>
                <w:w w:val="88"/>
                <w:vertAlign w:val="superscript"/>
              </w:rPr>
              <w:t>(2)</w:t>
            </w:r>
          </w:p>
        </w:tc>
      </w:tr>
      <w:tr>
        <w:trPr>
          <w:trHeight w:val="223"/>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2,422.9</w:t>
            </w: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1,128.1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1,295.6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1,240.9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1,255.9</w:t>
            </w: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1,149.2</w:t>
            </w: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Net income per share - 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7.98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10.90</w:t>
            </w: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r>
      <w:tr>
        <w:trPr>
          <w:trHeight w:val="392"/>
        </w:trPr>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First Quarter Ended</w:t>
            </w:r>
          </w:p>
        </w:tc>
        <w:tc>
          <w:tcPr>
            <w:tcW w:w="20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Second Quarter Ended</w:t>
            </w:r>
          </w:p>
        </w:tc>
        <w:tc>
          <w:tcPr>
            <w:tcW w:w="120" w:type="dxa"/>
            <w:vAlign w:val="bottom"/>
          </w:tcPr>
          <w:p>
            <w:pPr>
              <w:spacing w:after="0"/>
              <w:rPr>
                <w:sz w:val="24"/>
                <w:szCs w:val="24"/>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Third Quarter Ended</w:t>
            </w:r>
          </w:p>
        </w:tc>
        <w:tc>
          <w:tcPr>
            <w:tcW w:w="140" w:type="dxa"/>
            <w:vAlign w:val="bottom"/>
          </w:tcPr>
          <w:p>
            <w:pPr>
              <w:spacing w:after="0"/>
              <w:rPr>
                <w:sz w:val="24"/>
                <w:szCs w:val="24"/>
                <w:color w:val="auto"/>
              </w:rPr>
            </w:pPr>
          </w:p>
        </w:tc>
        <w:tc>
          <w:tcPr>
            <w:tcW w:w="208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Fourth Quarter Ended</w:t>
            </w:r>
          </w:p>
        </w:tc>
      </w:tr>
      <w:tr>
        <w:trPr>
          <w:trHeight w:val="230"/>
        </w:trPr>
        <w:tc>
          <w:tcPr>
            <w:tcW w:w="2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March 31, 2019</w:t>
            </w:r>
          </w:p>
        </w:tc>
        <w:tc>
          <w:tcPr>
            <w:tcW w:w="240" w:type="dxa"/>
            <w:vAlign w:val="bottom"/>
          </w:tcPr>
          <w:p>
            <w:pPr>
              <w:spacing w:after="0"/>
              <w:rPr>
                <w:sz w:val="19"/>
                <w:szCs w:val="19"/>
                <w:color w:val="auto"/>
              </w:rPr>
            </w:pPr>
          </w:p>
        </w:tc>
        <w:tc>
          <w:tcPr>
            <w:tcW w:w="1760" w:type="dxa"/>
            <w:vAlign w:val="bottom"/>
            <w:gridSpan w:val="2"/>
          </w:tcPr>
          <w:p>
            <w:pPr>
              <w:jc w:val="center"/>
              <w:ind w:right="340"/>
              <w:spacing w:after="0" w:line="230" w:lineRule="exact"/>
              <w:rPr>
                <w:sz w:val="20"/>
                <w:szCs w:val="20"/>
                <w:color w:val="auto"/>
              </w:rPr>
            </w:pPr>
            <w:r>
              <w:rPr>
                <w:rFonts w:ascii="Arial" w:cs="Arial" w:eastAsia="Arial" w:hAnsi="Arial"/>
                <w:sz w:val="18"/>
                <w:szCs w:val="18"/>
                <w:b w:val="1"/>
                <w:bCs w:val="1"/>
                <w:color w:val="auto"/>
                <w:w w:val="86"/>
              </w:rPr>
              <w:t>June 30, 2019</w:t>
            </w:r>
            <w:r>
              <w:rPr>
                <w:rFonts w:ascii="Arial" w:cs="Arial" w:eastAsia="Arial" w:hAnsi="Arial"/>
                <w:sz w:val="23"/>
                <w:szCs w:val="23"/>
                <w:b w:val="1"/>
                <w:bCs w:val="1"/>
                <w:color w:val="auto"/>
                <w:w w:val="86"/>
                <w:vertAlign w:val="superscript"/>
              </w:rPr>
              <w:t>(3)</w:t>
            </w:r>
          </w:p>
        </w:tc>
        <w:tc>
          <w:tcPr>
            <w:tcW w:w="120" w:type="dxa"/>
            <w:vAlign w:val="bottom"/>
          </w:tcPr>
          <w:p>
            <w:pPr>
              <w:spacing w:after="0"/>
              <w:rPr>
                <w:sz w:val="19"/>
                <w:szCs w:val="19"/>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September 30, 2019</w:t>
            </w:r>
          </w:p>
        </w:tc>
        <w:tc>
          <w:tcPr>
            <w:tcW w:w="140" w:type="dxa"/>
            <w:vAlign w:val="bottom"/>
          </w:tcPr>
          <w:p>
            <w:pPr>
              <w:spacing w:after="0"/>
              <w:rPr>
                <w:sz w:val="19"/>
                <w:szCs w:val="19"/>
                <w:color w:val="auto"/>
              </w:rPr>
            </w:pPr>
          </w:p>
        </w:tc>
        <w:tc>
          <w:tcPr>
            <w:tcW w:w="20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December 31, 2019</w:t>
            </w:r>
          </w:p>
        </w:tc>
      </w:tr>
      <w:tr>
        <w:trPr>
          <w:trHeight w:val="223"/>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1,863.5</w:t>
            </w: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892.6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1,262.2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1,005.2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1,187.8</w:t>
            </w: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792.0</w:t>
            </w: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Net income per share - 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6.12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7.25</w:t>
            </w: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r>
    </w:tbl>
    <w:p>
      <w:pPr>
        <w:spacing w:after="0" w:line="98" w:lineRule="exact"/>
        <w:rPr>
          <w:sz w:val="20"/>
          <w:szCs w:val="20"/>
          <w:color w:val="auto"/>
        </w:rPr>
      </w:pPr>
    </w:p>
    <w:p>
      <w:pPr>
        <w:ind w:left="280" w:right="460" w:hanging="4"/>
        <w:spacing w:after="0"/>
        <w:tabs>
          <w:tab w:leader="none" w:pos="429" w:val="left"/>
        </w:tabs>
        <w:numPr>
          <w:ilvl w:val="0"/>
          <w:numId w:val="65"/>
        </w:numPr>
        <w:rPr>
          <w:rFonts w:ascii="Arial" w:cs="Arial" w:eastAsia="Arial" w:hAnsi="Arial"/>
          <w:sz w:val="18"/>
          <w:szCs w:val="18"/>
          <w:color w:val="auto"/>
          <w:vertAlign w:val="superscript"/>
        </w:rPr>
      </w:pPr>
      <w:r>
        <w:rPr>
          <w:rFonts w:ascii="Arial" w:cs="Arial" w:eastAsia="Arial" w:hAnsi="Arial"/>
          <w:sz w:val="14"/>
          <w:szCs w:val="14"/>
          <w:color w:val="auto"/>
        </w:rPr>
        <w:t>Included in operating expenses (specifically, research and development expenses) were $85.0 million in up-front payments in connection with our collaboration agreement with Intellia. See Note 3.</w:t>
      </w:r>
    </w:p>
    <w:p>
      <w:pPr>
        <w:spacing w:after="0" w:line="10" w:lineRule="exact"/>
        <w:rPr>
          <w:rFonts w:ascii="Arial" w:cs="Arial" w:eastAsia="Arial" w:hAnsi="Arial"/>
          <w:sz w:val="18"/>
          <w:szCs w:val="18"/>
          <w:color w:val="auto"/>
          <w:vertAlign w:val="superscript"/>
        </w:rPr>
      </w:pPr>
    </w:p>
    <w:p>
      <w:pPr>
        <w:ind w:left="280" w:right="440" w:hanging="4"/>
        <w:spacing w:after="0" w:line="241" w:lineRule="auto"/>
        <w:tabs>
          <w:tab w:leader="none" w:pos="429" w:val="left"/>
        </w:tabs>
        <w:numPr>
          <w:ilvl w:val="0"/>
          <w:numId w:val="65"/>
        </w:numPr>
        <w:rPr>
          <w:rFonts w:ascii="Arial" w:cs="Arial" w:eastAsia="Arial" w:hAnsi="Arial"/>
          <w:sz w:val="18"/>
          <w:szCs w:val="18"/>
          <w:color w:val="auto"/>
          <w:vertAlign w:val="superscript"/>
        </w:rPr>
      </w:pPr>
      <w:r>
        <w:rPr>
          <w:rFonts w:ascii="Arial" w:cs="Arial" w:eastAsia="Arial" w:hAnsi="Arial"/>
          <w:sz w:val="14"/>
          <w:szCs w:val="14"/>
          <w:color w:val="auto"/>
        </w:rPr>
        <w:t>Included in operating expenses was (i) the recognition of cumulative catch-up adjustments of $99.8 million, net, in other operating income related to updates to estimates of the total research and development costs expected to be incurred for certain collaboration agreements (see Note 3), as well as (ii) a reversal of $95.0 million within selling, general, and administrative expenses for litigation-related loss contingency accruals in connection with proceedings for Praluent outside the United States (see Note 15).</w:t>
      </w:r>
    </w:p>
    <w:p>
      <w:pPr>
        <w:spacing w:after="0" w:line="9" w:lineRule="exact"/>
        <w:rPr>
          <w:rFonts w:ascii="Arial" w:cs="Arial" w:eastAsia="Arial" w:hAnsi="Arial"/>
          <w:sz w:val="18"/>
          <w:szCs w:val="18"/>
          <w:color w:val="auto"/>
          <w:vertAlign w:val="superscript"/>
        </w:rPr>
      </w:pPr>
    </w:p>
    <w:p>
      <w:pPr>
        <w:ind w:left="280" w:right="560" w:hanging="4"/>
        <w:spacing w:after="0"/>
        <w:tabs>
          <w:tab w:leader="none" w:pos="429" w:val="left"/>
        </w:tabs>
        <w:numPr>
          <w:ilvl w:val="0"/>
          <w:numId w:val="65"/>
        </w:numPr>
        <w:rPr>
          <w:rFonts w:ascii="Arial" w:cs="Arial" w:eastAsia="Arial" w:hAnsi="Arial"/>
          <w:sz w:val="18"/>
          <w:szCs w:val="18"/>
          <w:color w:val="auto"/>
          <w:vertAlign w:val="superscript"/>
        </w:rPr>
      </w:pPr>
      <w:r>
        <w:rPr>
          <w:rFonts w:ascii="Arial" w:cs="Arial" w:eastAsia="Arial" w:hAnsi="Arial"/>
          <w:sz w:val="14"/>
          <w:szCs w:val="14"/>
          <w:color w:val="auto"/>
        </w:rPr>
        <w:t>Included in operating expenses (specifically, research and development expenses) was a $400.0 million up-front payment in connection with our collaboration agreement with Alnylam. See Note 3.</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40"/>
          </w:cols>
          <w:pgMar w:left="320" w:top="130"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color w:val="auto"/>
        </w:rPr>
        <w:t>Exhibit 10.3.1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671195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87">
                      <a:extLst>
                        <a:ext uri="{28A0092B-C50C-407E-A947-70E740481C1C}"/>
                      </a:extLst>
                    </a:blip>
                    <a:srcRect/>
                    <a:stretch>
                      <a:fillRect/>
                    </a:stretch>
                  </pic:blipFill>
                  <pic:spPr bwMode="auto">
                    <a:xfrm>
                      <a:off x="0" y="0"/>
                      <a:ext cx="6711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6420" w:type="dxa"/>
            <w:vAlign w:val="bottom"/>
            <w:gridSpan w:val="4"/>
          </w:tcPr>
          <w:p>
            <w:pPr>
              <w:ind w:left="520"/>
              <w:spacing w:after="0"/>
              <w:rPr>
                <w:sz w:val="20"/>
                <w:szCs w:val="20"/>
                <w:color w:val="auto"/>
              </w:rPr>
            </w:pPr>
            <w:r>
              <w:rPr>
                <w:rFonts w:ascii="Arial" w:cs="Arial" w:eastAsia="Arial" w:hAnsi="Arial"/>
                <w:sz w:val="18"/>
                <w:szCs w:val="18"/>
                <w:b w:val="1"/>
                <w:bCs w:val="1"/>
                <w:color w:val="auto"/>
              </w:rPr>
              <w:t>Regeneron Pharmaceuticals, Inc.</w:t>
            </w:r>
          </w:p>
        </w:tc>
      </w:tr>
      <w:tr>
        <w:trPr>
          <w:trHeight w:val="310"/>
        </w:trPr>
        <w:tc>
          <w:tcPr>
            <w:tcW w:w="4160" w:type="dxa"/>
            <w:vAlign w:val="bottom"/>
          </w:tcPr>
          <w:p>
            <w:pPr>
              <w:spacing w:after="0"/>
              <w:rPr>
                <w:sz w:val="24"/>
                <w:szCs w:val="24"/>
                <w:color w:val="auto"/>
              </w:rPr>
            </w:pPr>
          </w:p>
        </w:tc>
        <w:tc>
          <w:tcPr>
            <w:tcW w:w="1220" w:type="dxa"/>
            <w:vAlign w:val="bottom"/>
          </w:tcPr>
          <w:p>
            <w:pPr>
              <w:ind w:left="520"/>
              <w:spacing w:after="0"/>
              <w:rPr>
                <w:sz w:val="20"/>
                <w:szCs w:val="20"/>
                <w:color w:val="auto"/>
              </w:rPr>
            </w:pPr>
            <w:r>
              <w:rPr>
                <w:rFonts w:ascii="Arial" w:cs="Arial" w:eastAsia="Arial" w:hAnsi="Arial"/>
                <w:sz w:val="18"/>
                <w:szCs w:val="18"/>
                <w:b w:val="1"/>
                <w:bCs w:val="1"/>
                <w:color w:val="auto"/>
              </w:rPr>
              <w:t xml:space="preserve">ID: </w:t>
            </w:r>
            <w:r>
              <w:rPr>
                <w:rFonts w:ascii="Arial" w:cs="Arial" w:eastAsia="Arial" w:hAnsi="Arial"/>
                <w:sz w:val="18"/>
                <w:szCs w:val="18"/>
                <w:color w:val="auto"/>
              </w:rPr>
              <w:t>[</w:t>
            </w:r>
          </w:p>
        </w:tc>
        <w:tc>
          <w:tcPr>
            <w:tcW w:w="8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311"/>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Notice of Grant of Stock Options</w:t>
            </w:r>
          </w:p>
        </w:tc>
        <w:tc>
          <w:tcPr>
            <w:tcW w:w="2880" w:type="dxa"/>
            <w:vAlign w:val="bottom"/>
            <w:gridSpan w:val="3"/>
          </w:tcPr>
          <w:p>
            <w:pPr>
              <w:ind w:left="520"/>
              <w:spacing w:after="0"/>
              <w:rPr>
                <w:sz w:val="20"/>
                <w:szCs w:val="20"/>
                <w:color w:val="auto"/>
              </w:rPr>
            </w:pPr>
            <w:r>
              <w:rPr>
                <w:rFonts w:ascii="Arial" w:cs="Arial" w:eastAsia="Arial" w:hAnsi="Arial"/>
                <w:sz w:val="18"/>
                <w:szCs w:val="18"/>
                <w:color w:val="auto"/>
              </w:rPr>
              <w:t>777 Old Saw Mill River Road</w:t>
            </w:r>
          </w:p>
        </w:tc>
        <w:tc>
          <w:tcPr>
            <w:tcW w:w="3540" w:type="dxa"/>
            <w:vAlign w:val="bottom"/>
          </w:tcPr>
          <w:p>
            <w:pPr>
              <w:spacing w:after="0"/>
              <w:rPr>
                <w:sz w:val="24"/>
                <w:szCs w:val="24"/>
                <w:color w:val="auto"/>
              </w:rPr>
            </w:pPr>
          </w:p>
        </w:tc>
      </w:tr>
      <w:tr>
        <w:trPr>
          <w:trHeight w:val="310"/>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and Option Agreement for Time-Based Vesting</w:t>
            </w:r>
          </w:p>
        </w:tc>
        <w:tc>
          <w:tcPr>
            <w:tcW w:w="2880" w:type="dxa"/>
            <w:vAlign w:val="bottom"/>
            <w:gridSpan w:val="3"/>
          </w:tcPr>
          <w:p>
            <w:pPr>
              <w:ind w:left="520"/>
              <w:spacing w:after="0"/>
              <w:rPr>
                <w:sz w:val="20"/>
                <w:szCs w:val="20"/>
                <w:color w:val="auto"/>
              </w:rPr>
            </w:pPr>
            <w:r>
              <w:rPr>
                <w:rFonts w:ascii="Arial" w:cs="Arial" w:eastAsia="Arial" w:hAnsi="Arial"/>
                <w:sz w:val="18"/>
                <w:szCs w:val="18"/>
                <w:color w:val="auto"/>
              </w:rPr>
              <w:t>Tarrytown, New York 10591</w:t>
            </w:r>
          </w:p>
        </w:tc>
        <w:tc>
          <w:tcPr>
            <w:tcW w:w="3540" w:type="dxa"/>
            <w:vAlign w:val="bottom"/>
          </w:tcPr>
          <w:p>
            <w:pPr>
              <w:spacing w:after="0"/>
              <w:rPr>
                <w:sz w:val="24"/>
                <w:szCs w:val="24"/>
                <w:color w:val="auto"/>
              </w:rPr>
            </w:pPr>
          </w:p>
        </w:tc>
      </w:tr>
      <w:tr>
        <w:trPr>
          <w:trHeight w:val="311"/>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Option Awards</w:t>
            </w: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338"/>
        </w:trPr>
        <w:tc>
          <w:tcPr>
            <w:tcW w:w="41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2"/>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r>
      <w:tr>
        <w:trPr>
          <w:trHeight w:val="598"/>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[OPTIONEE NAME]</w:t>
            </w:r>
          </w:p>
        </w:tc>
        <w:tc>
          <w:tcPr>
            <w:tcW w:w="2100" w:type="dxa"/>
            <w:vAlign w:val="bottom"/>
            <w:gridSpan w:val="2"/>
          </w:tcPr>
          <w:p>
            <w:pPr>
              <w:ind w:left="520"/>
              <w:spacing w:after="0"/>
              <w:rPr>
                <w:sz w:val="20"/>
                <w:szCs w:val="20"/>
                <w:color w:val="auto"/>
              </w:rPr>
            </w:pPr>
            <w:r>
              <w:rPr>
                <w:rFonts w:ascii="Arial" w:cs="Arial" w:eastAsia="Arial" w:hAnsi="Arial"/>
                <w:sz w:val="18"/>
                <w:szCs w:val="18"/>
                <w:b w:val="1"/>
                <w:bCs w:val="1"/>
                <w:color w:val="auto"/>
              </w:rPr>
              <w:t>Option Number:</w:t>
            </w:r>
          </w:p>
        </w:tc>
        <w:tc>
          <w:tcPr>
            <w:tcW w:w="780" w:type="dxa"/>
            <w:vAlign w:val="bottom"/>
          </w:tcPr>
          <w:p>
            <w:pPr>
              <w:jc w:val="right"/>
              <w:ind w:right="312"/>
              <w:spacing w:after="0"/>
              <w:rPr>
                <w:sz w:val="20"/>
                <w:szCs w:val="20"/>
                <w:color w:val="auto"/>
              </w:rPr>
            </w:pPr>
            <w:r>
              <w:rPr>
                <w:rFonts w:ascii="Arial" w:cs="Arial" w:eastAsia="Arial" w:hAnsi="Arial"/>
                <w:sz w:val="22"/>
                <w:szCs w:val="22"/>
                <w:b w:val="1"/>
                <w:bCs w:val="1"/>
                <w:color w:val="auto"/>
              </w:rPr>
              <w:t>[</w:t>
            </w:r>
          </w:p>
        </w:tc>
        <w:tc>
          <w:tcPr>
            <w:tcW w:w="3540" w:type="dxa"/>
            <w:vAlign w:val="bottom"/>
          </w:tcPr>
          <w:p>
            <w:pPr>
              <w:jc w:val="right"/>
              <w:ind w:right="3192"/>
              <w:spacing w:after="0"/>
              <w:rPr>
                <w:sz w:val="20"/>
                <w:szCs w:val="20"/>
                <w:color w:val="auto"/>
              </w:rPr>
            </w:pPr>
            <w:r>
              <w:rPr>
                <w:rFonts w:ascii="Arial" w:cs="Arial" w:eastAsia="Arial" w:hAnsi="Arial"/>
                <w:sz w:val="22"/>
                <w:szCs w:val="22"/>
                <w:b w:val="1"/>
                <w:bCs w:val="1"/>
                <w:color w:val="auto"/>
              </w:rPr>
              <w:t>]</w:t>
            </w:r>
          </w:p>
        </w:tc>
      </w:tr>
      <w:tr>
        <w:trPr>
          <w:trHeight w:val="311"/>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[OPTIONEE ADDRESS]</w:t>
            </w:r>
          </w:p>
        </w:tc>
        <w:tc>
          <w:tcPr>
            <w:tcW w:w="1220" w:type="dxa"/>
            <w:vAlign w:val="bottom"/>
          </w:tcPr>
          <w:p>
            <w:pPr>
              <w:ind w:left="520"/>
              <w:spacing w:after="0"/>
              <w:rPr>
                <w:sz w:val="20"/>
                <w:szCs w:val="20"/>
                <w:color w:val="auto"/>
              </w:rPr>
            </w:pPr>
            <w:r>
              <w:rPr>
                <w:rFonts w:ascii="Arial" w:cs="Arial" w:eastAsia="Arial" w:hAnsi="Arial"/>
                <w:sz w:val="18"/>
                <w:szCs w:val="18"/>
                <w:b w:val="1"/>
                <w:bCs w:val="1"/>
                <w:color w:val="auto"/>
              </w:rPr>
              <w:t>Plan:</w:t>
            </w:r>
          </w:p>
        </w:tc>
        <w:tc>
          <w:tcPr>
            <w:tcW w:w="880" w:type="dxa"/>
            <w:vAlign w:val="bottom"/>
          </w:tcPr>
          <w:p>
            <w:pPr>
              <w:spacing w:after="0"/>
              <w:rPr>
                <w:sz w:val="24"/>
                <w:szCs w:val="24"/>
                <w:color w:val="auto"/>
              </w:rPr>
            </w:pPr>
          </w:p>
        </w:tc>
        <w:tc>
          <w:tcPr>
            <w:tcW w:w="780" w:type="dxa"/>
            <w:vAlign w:val="bottom"/>
          </w:tcPr>
          <w:p>
            <w:pPr>
              <w:jc w:val="right"/>
              <w:ind w:right="312"/>
              <w:spacing w:after="0"/>
              <w:rPr>
                <w:sz w:val="20"/>
                <w:szCs w:val="20"/>
                <w:color w:val="auto"/>
              </w:rPr>
            </w:pPr>
            <w:r>
              <w:rPr>
                <w:rFonts w:ascii="Arial" w:cs="Arial" w:eastAsia="Arial" w:hAnsi="Arial"/>
                <w:sz w:val="22"/>
                <w:szCs w:val="22"/>
                <w:b w:val="1"/>
                <w:bCs w:val="1"/>
                <w:color w:val="auto"/>
              </w:rPr>
              <w:t>[</w:t>
            </w:r>
          </w:p>
        </w:tc>
        <w:tc>
          <w:tcPr>
            <w:tcW w:w="3540" w:type="dxa"/>
            <w:vAlign w:val="bottom"/>
          </w:tcPr>
          <w:p>
            <w:pPr>
              <w:jc w:val="right"/>
              <w:ind w:right="3192"/>
              <w:spacing w:after="0"/>
              <w:rPr>
                <w:sz w:val="20"/>
                <w:szCs w:val="20"/>
                <w:color w:val="auto"/>
              </w:rPr>
            </w:pPr>
            <w:r>
              <w:rPr>
                <w:rFonts w:ascii="Arial" w:cs="Arial" w:eastAsia="Arial" w:hAnsi="Arial"/>
                <w:sz w:val="22"/>
                <w:szCs w:val="22"/>
                <w:b w:val="1"/>
                <w:bCs w:val="1"/>
                <w:color w:val="auto"/>
              </w:rPr>
              <w:t>]</w:t>
            </w:r>
          </w:p>
        </w:tc>
      </w:tr>
      <w:tr>
        <w:trPr>
          <w:trHeight w:val="310"/>
        </w:trPr>
        <w:tc>
          <w:tcPr>
            <w:tcW w:w="4160" w:type="dxa"/>
            <w:vAlign w:val="bottom"/>
          </w:tcPr>
          <w:p>
            <w:pPr>
              <w:spacing w:after="0"/>
              <w:rPr>
                <w:sz w:val="24"/>
                <w:szCs w:val="24"/>
                <w:color w:val="auto"/>
              </w:rPr>
            </w:pPr>
          </w:p>
        </w:tc>
        <w:tc>
          <w:tcPr>
            <w:tcW w:w="1220" w:type="dxa"/>
            <w:vAlign w:val="bottom"/>
          </w:tcPr>
          <w:p>
            <w:pPr>
              <w:ind w:left="520"/>
              <w:spacing w:after="0"/>
              <w:rPr>
                <w:sz w:val="20"/>
                <w:szCs w:val="20"/>
                <w:color w:val="auto"/>
              </w:rPr>
            </w:pPr>
            <w:r>
              <w:rPr>
                <w:rFonts w:ascii="Arial" w:cs="Arial" w:eastAsia="Arial" w:hAnsi="Arial"/>
                <w:sz w:val="18"/>
                <w:szCs w:val="18"/>
                <w:b w:val="1"/>
                <w:bCs w:val="1"/>
                <w:color w:val="auto"/>
              </w:rPr>
              <w:t>ID:</w:t>
            </w:r>
          </w:p>
        </w:tc>
        <w:tc>
          <w:tcPr>
            <w:tcW w:w="880" w:type="dxa"/>
            <w:vAlign w:val="bottom"/>
          </w:tcPr>
          <w:p>
            <w:pPr>
              <w:spacing w:after="0"/>
              <w:rPr>
                <w:sz w:val="24"/>
                <w:szCs w:val="24"/>
                <w:color w:val="auto"/>
              </w:rPr>
            </w:pPr>
          </w:p>
        </w:tc>
        <w:tc>
          <w:tcPr>
            <w:tcW w:w="780" w:type="dxa"/>
            <w:vAlign w:val="bottom"/>
          </w:tcPr>
          <w:p>
            <w:pPr>
              <w:jc w:val="right"/>
              <w:ind w:right="312"/>
              <w:spacing w:after="0"/>
              <w:rPr>
                <w:sz w:val="20"/>
                <w:szCs w:val="20"/>
                <w:color w:val="auto"/>
              </w:rPr>
            </w:pPr>
            <w:r>
              <w:rPr>
                <w:rFonts w:ascii="Arial" w:cs="Arial" w:eastAsia="Arial" w:hAnsi="Arial"/>
                <w:sz w:val="22"/>
                <w:szCs w:val="22"/>
                <w:b w:val="1"/>
                <w:bCs w:val="1"/>
                <w:color w:val="auto"/>
              </w:rPr>
              <w:t>[</w:t>
            </w:r>
          </w:p>
        </w:tc>
        <w:tc>
          <w:tcPr>
            <w:tcW w:w="3540" w:type="dxa"/>
            <w:vAlign w:val="bottom"/>
          </w:tcPr>
          <w:p>
            <w:pPr>
              <w:jc w:val="right"/>
              <w:ind w:right="3192"/>
              <w:spacing w:after="0"/>
              <w:rPr>
                <w:sz w:val="20"/>
                <w:szCs w:val="20"/>
                <w:color w:val="auto"/>
              </w:rPr>
            </w:pPr>
            <w:r>
              <w:rPr>
                <w:rFonts w:ascii="Arial" w:cs="Arial" w:eastAsia="Arial" w:hAnsi="Arial"/>
                <w:sz w:val="22"/>
                <w:szCs w:val="22"/>
                <w:b w:val="1"/>
                <w:bCs w:val="1"/>
                <w:color w:val="auto"/>
              </w:rPr>
              <w:t>]</w:t>
            </w:r>
          </w:p>
        </w:tc>
      </w:tr>
      <w:tr>
        <w:trPr>
          <w:trHeight w:val="328"/>
        </w:trPr>
        <w:tc>
          <w:tcPr>
            <w:tcW w:w="4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72" w:lineRule="exact"/>
        <w:rPr>
          <w:sz w:val="20"/>
          <w:szCs w:val="20"/>
          <w:color w:val="auto"/>
        </w:rPr>
      </w:pPr>
    </w:p>
    <w:p>
      <w:pPr>
        <w:ind w:right="900"/>
        <w:spacing w:after="0" w:line="324" w:lineRule="auto"/>
        <w:rPr>
          <w:sz w:val="20"/>
          <w:szCs w:val="20"/>
          <w:color w:val="auto"/>
        </w:rPr>
      </w:pPr>
      <w:r>
        <w:rPr>
          <w:rFonts w:ascii="Arial" w:cs="Arial" w:eastAsia="Arial" w:hAnsi="Arial"/>
          <w:sz w:val="18"/>
          <w:szCs w:val="18"/>
          <w:color w:val="auto"/>
        </w:rPr>
        <w:t>Effective &lt;date&gt; (the “Grant Date”) you have been granted a Non-Qualified Option to buy [ ] shares of Regeneron Pharmaceuticals, Inc. (the “Company”) stock at $[ ] per share.</w:t>
      </w:r>
    </w:p>
    <w:p>
      <w:pPr>
        <w:spacing w:after="0" w:line="35" w:lineRule="exact"/>
        <w:rPr>
          <w:sz w:val="20"/>
          <w:szCs w:val="20"/>
          <w:color w:val="auto"/>
        </w:rPr>
      </w:pPr>
    </w:p>
    <w:p>
      <w:pPr>
        <w:spacing w:after="0"/>
        <w:tabs>
          <w:tab w:leader="none" w:pos="3660" w:val="left"/>
        </w:tabs>
        <w:rPr>
          <w:sz w:val="20"/>
          <w:szCs w:val="20"/>
          <w:color w:val="auto"/>
        </w:rPr>
      </w:pPr>
      <w:r>
        <w:rPr>
          <w:rFonts w:ascii="Arial" w:cs="Arial" w:eastAsia="Arial" w:hAnsi="Arial"/>
          <w:sz w:val="17"/>
          <w:szCs w:val="17"/>
          <w:color w:val="auto"/>
        </w:rPr>
        <w:t>The total option price of the shares granted is $[</w:t>
        <w:tab/>
        <w: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Shares in each period will become fully vested on the date shown.</w:t>
      </w:r>
    </w:p>
    <w:p>
      <w:pPr>
        <w:spacing w:after="0" w:line="194"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254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Shares</w:t>
            </w:r>
          </w:p>
        </w:tc>
        <w:tc>
          <w:tcPr>
            <w:tcW w:w="760" w:type="dxa"/>
            <w:vAlign w:val="bottom"/>
          </w:tcPr>
          <w:p>
            <w:pPr>
              <w:spacing w:after="0"/>
              <w:rPr>
                <w:sz w:val="20"/>
                <w:szCs w:val="20"/>
                <w:color w:val="auto"/>
              </w:rPr>
            </w:pPr>
          </w:p>
        </w:tc>
        <w:tc>
          <w:tcPr>
            <w:tcW w:w="178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86"/>
              </w:rPr>
              <w:t>Vest Type</w:t>
            </w:r>
          </w:p>
        </w:tc>
        <w:tc>
          <w:tcPr>
            <w:tcW w:w="25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Full Vest</w:t>
            </w:r>
          </w:p>
        </w:tc>
        <w:tc>
          <w:tcPr>
            <w:tcW w:w="2600" w:type="dxa"/>
            <w:vAlign w:val="bottom"/>
          </w:tcPr>
          <w:p>
            <w:pPr>
              <w:jc w:val="center"/>
              <w:spacing w:after="0"/>
              <w:rPr>
                <w:sz w:val="20"/>
                <w:szCs w:val="20"/>
                <w:color w:val="auto"/>
              </w:rPr>
            </w:pPr>
            <w:r>
              <w:rPr>
                <w:rFonts w:ascii="Arial" w:cs="Arial" w:eastAsia="Arial" w:hAnsi="Arial"/>
                <w:sz w:val="18"/>
                <w:szCs w:val="18"/>
                <w:b w:val="1"/>
                <w:bCs w:val="1"/>
                <w:color w:val="auto"/>
                <w:w w:val="92"/>
              </w:rPr>
              <w:t>Expiration Date</w:t>
            </w:r>
          </w:p>
        </w:tc>
      </w:tr>
      <w:tr>
        <w:trPr>
          <w:trHeight w:val="27"/>
        </w:trPr>
        <w:tc>
          <w:tcPr>
            <w:tcW w:w="2300" w:type="dxa"/>
            <w:vAlign w:val="bottom"/>
            <w:tcBorders>
              <w:bottom w:val="single" w:sz="8" w:color="auto"/>
            </w:tcBorders>
          </w:tcPr>
          <w:p>
            <w:pPr>
              <w:spacing w:after="0"/>
              <w:rPr>
                <w:sz w:val="2"/>
                <w:szCs w:val="2"/>
                <w:color w:val="auto"/>
              </w:rPr>
            </w:pPr>
          </w:p>
        </w:tc>
        <w:tc>
          <w:tcPr>
            <w:tcW w:w="240" w:type="dxa"/>
            <w:vAlign w:val="bottom"/>
            <w:tcBorders>
              <w:bottom w:val="single" w:sz="8" w:color="C0C0C0"/>
            </w:tcBorders>
          </w:tcPr>
          <w:p>
            <w:pPr>
              <w:spacing w:after="0"/>
              <w:rPr>
                <w:sz w:val="2"/>
                <w:szCs w:val="2"/>
                <w:color w:val="auto"/>
              </w:rPr>
            </w:pPr>
          </w:p>
        </w:tc>
        <w:tc>
          <w:tcPr>
            <w:tcW w:w="2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C0C0C0"/>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240" w:type="dxa"/>
            <w:vAlign w:val="bottom"/>
            <w:tcBorders>
              <w:bottom w:val="single" w:sz="8" w:color="C0C0C0"/>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284"/>
        </w:trPr>
        <w:tc>
          <w:tcPr>
            <w:tcW w:w="2300" w:type="dxa"/>
            <w:vAlign w:val="bottom"/>
            <w:tcBorders>
              <w:bottom w:val="single" w:sz="8" w:color="C0C0C0"/>
            </w:tcBorders>
            <w:shd w:val="clear" w:color="auto" w:fill="C0C0C0"/>
          </w:tcPr>
          <w:p>
            <w:pPr>
              <w:ind w:lef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0C0C0"/>
            </w:tcBorders>
            <w:shd w:val="clear" w:color="auto" w:fill="C0C0C0"/>
          </w:tcPr>
          <w:p>
            <w:pPr>
              <w:spacing w:after="0"/>
              <w:rPr>
                <w:sz w:val="24"/>
                <w:szCs w:val="24"/>
                <w:color w:val="auto"/>
              </w:rPr>
            </w:pPr>
          </w:p>
        </w:tc>
        <w:tc>
          <w:tcPr>
            <w:tcW w:w="2540" w:type="dxa"/>
            <w:vAlign w:val="bottom"/>
            <w:tcBorders>
              <w:bottom w:val="single" w:sz="8" w:color="C0C0C0"/>
            </w:tcBorders>
            <w:gridSpan w:val="3"/>
            <w:shd w:val="clear" w:color="auto" w:fill="C0C0C0"/>
          </w:tcPr>
          <w:p>
            <w:pPr>
              <w:jc w:val="center"/>
              <w:ind w:right="300"/>
              <w:spacing w:after="0"/>
              <w:rPr>
                <w:sz w:val="20"/>
                <w:szCs w:val="20"/>
                <w:color w:val="auto"/>
              </w:rPr>
            </w:pPr>
            <w:r>
              <w:rPr>
                <w:rFonts w:ascii="Arial" w:cs="Arial" w:eastAsia="Arial" w:hAnsi="Arial"/>
                <w:sz w:val="18"/>
                <w:szCs w:val="18"/>
                <w:color w:val="auto"/>
                <w:w w:val="88"/>
              </w:rPr>
              <w:t>On Vest Date</w:t>
            </w:r>
          </w:p>
        </w:tc>
        <w:tc>
          <w:tcPr>
            <w:tcW w:w="2320" w:type="dxa"/>
            <w:vAlign w:val="bottom"/>
            <w:tcBorders>
              <w:bottom w:val="single" w:sz="8" w:color="C0C0C0"/>
            </w:tcBorders>
            <w:shd w:val="clear" w:color="auto" w:fill="C0C0C0"/>
          </w:tcPr>
          <w:p>
            <w:pPr>
              <w:jc w:val="center"/>
              <w:spacing w:after="0"/>
              <w:rPr>
                <w:sz w:val="20"/>
                <w:szCs w:val="20"/>
                <w:color w:val="auto"/>
              </w:rPr>
            </w:pPr>
            <w:r>
              <w:rPr>
                <w:rFonts w:ascii="Arial" w:cs="Arial" w:eastAsia="Arial" w:hAnsi="Arial"/>
                <w:sz w:val="18"/>
                <w:szCs w:val="18"/>
                <w:color w:val="auto"/>
                <w:w w:val="99"/>
              </w:rPr>
              <w:t>[__/__/__]**</w:t>
            </w:r>
          </w:p>
        </w:tc>
        <w:tc>
          <w:tcPr>
            <w:tcW w:w="240" w:type="dxa"/>
            <w:vAlign w:val="bottom"/>
            <w:tcBorders>
              <w:bottom w:val="single" w:sz="8" w:color="C0C0C0"/>
            </w:tcBorders>
            <w:shd w:val="clear" w:color="auto" w:fill="C0C0C0"/>
          </w:tcPr>
          <w:p>
            <w:pPr>
              <w:spacing w:after="0"/>
              <w:rPr>
                <w:sz w:val="24"/>
                <w:szCs w:val="24"/>
                <w:color w:val="auto"/>
              </w:rPr>
            </w:pPr>
          </w:p>
        </w:tc>
        <w:tc>
          <w:tcPr>
            <w:tcW w:w="2600" w:type="dxa"/>
            <w:vAlign w:val="bottom"/>
            <w:tcBorders>
              <w:bottom w:val="single" w:sz="8" w:color="C0C0C0"/>
            </w:tcBorders>
            <w:shd w:val="clear" w:color="auto" w:fill="C0C0C0"/>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283"/>
        </w:trPr>
        <w:tc>
          <w:tcPr>
            <w:tcW w:w="2300" w:type="dxa"/>
            <w:vAlign w:val="bottom"/>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540" w:type="dxa"/>
            <w:vAlign w:val="bottom"/>
            <w:gridSpan w:val="3"/>
          </w:tcPr>
          <w:p>
            <w:pPr>
              <w:jc w:val="center"/>
              <w:ind w:right="300"/>
              <w:spacing w:after="0"/>
              <w:rPr>
                <w:sz w:val="20"/>
                <w:szCs w:val="20"/>
                <w:color w:val="auto"/>
              </w:rPr>
            </w:pPr>
            <w:r>
              <w:rPr>
                <w:rFonts w:ascii="Arial" w:cs="Arial" w:eastAsia="Arial" w:hAnsi="Arial"/>
                <w:sz w:val="18"/>
                <w:szCs w:val="18"/>
                <w:color w:val="auto"/>
                <w:w w:val="88"/>
              </w:rPr>
              <w:t>On Vest Date</w:t>
            </w:r>
          </w:p>
        </w:tc>
        <w:tc>
          <w:tcPr>
            <w:tcW w:w="2320" w:type="dxa"/>
            <w:vAlign w:val="bottom"/>
          </w:tcPr>
          <w:p>
            <w:pPr>
              <w:jc w:val="center"/>
              <w:spacing w:after="0"/>
              <w:rPr>
                <w:sz w:val="20"/>
                <w:szCs w:val="20"/>
                <w:color w:val="auto"/>
              </w:rPr>
            </w:pPr>
            <w:r>
              <w:rPr>
                <w:rFonts w:ascii="Arial" w:cs="Arial" w:eastAsia="Arial" w:hAnsi="Arial"/>
                <w:sz w:val="18"/>
                <w:szCs w:val="18"/>
                <w:color w:val="auto"/>
                <w:w w:val="99"/>
              </w:rPr>
              <w:t>[__/__/__]**</w:t>
            </w:r>
          </w:p>
        </w:tc>
        <w:tc>
          <w:tcPr>
            <w:tcW w:w="240" w:type="dxa"/>
            <w:vAlign w:val="bottom"/>
          </w:tcPr>
          <w:p>
            <w:pPr>
              <w:spacing w:after="0"/>
              <w:rPr>
                <w:sz w:val="24"/>
                <w:szCs w:val="24"/>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27"/>
        </w:trPr>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90"/>
        </w:trPr>
        <w:tc>
          <w:tcPr>
            <w:tcW w:w="2300" w:type="dxa"/>
            <w:vAlign w:val="bottom"/>
            <w:tcBorders>
              <w:bottom w:val="single" w:sz="8" w:color="C0C0C0"/>
            </w:tcBorders>
            <w:shd w:val="clear" w:color="auto" w:fill="C0C0C0"/>
          </w:tcPr>
          <w:p>
            <w:pPr>
              <w:ind w:lef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0C0C0"/>
            </w:tcBorders>
            <w:shd w:val="clear" w:color="auto" w:fill="C0C0C0"/>
          </w:tcPr>
          <w:p>
            <w:pPr>
              <w:spacing w:after="0"/>
              <w:rPr>
                <w:sz w:val="24"/>
                <w:szCs w:val="24"/>
                <w:color w:val="auto"/>
              </w:rPr>
            </w:pPr>
          </w:p>
        </w:tc>
        <w:tc>
          <w:tcPr>
            <w:tcW w:w="2540" w:type="dxa"/>
            <w:vAlign w:val="bottom"/>
            <w:tcBorders>
              <w:bottom w:val="single" w:sz="8" w:color="C0C0C0"/>
            </w:tcBorders>
            <w:gridSpan w:val="3"/>
            <w:shd w:val="clear" w:color="auto" w:fill="C0C0C0"/>
          </w:tcPr>
          <w:p>
            <w:pPr>
              <w:jc w:val="center"/>
              <w:ind w:right="300"/>
              <w:spacing w:after="0"/>
              <w:rPr>
                <w:sz w:val="20"/>
                <w:szCs w:val="20"/>
                <w:color w:val="auto"/>
              </w:rPr>
            </w:pPr>
            <w:r>
              <w:rPr>
                <w:rFonts w:ascii="Arial" w:cs="Arial" w:eastAsia="Arial" w:hAnsi="Arial"/>
                <w:sz w:val="18"/>
                <w:szCs w:val="18"/>
                <w:color w:val="auto"/>
                <w:w w:val="88"/>
              </w:rPr>
              <w:t>On Vest Date</w:t>
            </w:r>
          </w:p>
        </w:tc>
        <w:tc>
          <w:tcPr>
            <w:tcW w:w="2320" w:type="dxa"/>
            <w:vAlign w:val="bottom"/>
            <w:tcBorders>
              <w:bottom w:val="single" w:sz="8" w:color="C0C0C0"/>
            </w:tcBorders>
            <w:shd w:val="clear" w:color="auto" w:fill="C0C0C0"/>
          </w:tcPr>
          <w:p>
            <w:pPr>
              <w:jc w:val="center"/>
              <w:spacing w:after="0"/>
              <w:rPr>
                <w:sz w:val="20"/>
                <w:szCs w:val="20"/>
                <w:color w:val="auto"/>
              </w:rPr>
            </w:pPr>
            <w:r>
              <w:rPr>
                <w:rFonts w:ascii="Arial" w:cs="Arial" w:eastAsia="Arial" w:hAnsi="Arial"/>
                <w:sz w:val="18"/>
                <w:szCs w:val="18"/>
                <w:color w:val="auto"/>
                <w:w w:val="99"/>
              </w:rPr>
              <w:t>[__/__/__]**</w:t>
            </w:r>
          </w:p>
        </w:tc>
        <w:tc>
          <w:tcPr>
            <w:tcW w:w="240" w:type="dxa"/>
            <w:vAlign w:val="bottom"/>
            <w:tcBorders>
              <w:bottom w:val="single" w:sz="8" w:color="C0C0C0"/>
            </w:tcBorders>
            <w:shd w:val="clear" w:color="auto" w:fill="C0C0C0"/>
          </w:tcPr>
          <w:p>
            <w:pPr>
              <w:spacing w:after="0"/>
              <w:rPr>
                <w:sz w:val="24"/>
                <w:szCs w:val="24"/>
                <w:color w:val="auto"/>
              </w:rPr>
            </w:pPr>
          </w:p>
        </w:tc>
        <w:tc>
          <w:tcPr>
            <w:tcW w:w="2600" w:type="dxa"/>
            <w:vAlign w:val="bottom"/>
            <w:tcBorders>
              <w:bottom w:val="single" w:sz="8" w:color="C0C0C0"/>
            </w:tcBorders>
            <w:shd w:val="clear" w:color="auto" w:fill="C0C0C0"/>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284"/>
        </w:trPr>
        <w:tc>
          <w:tcPr>
            <w:tcW w:w="2300" w:type="dxa"/>
            <w:vAlign w:val="bottom"/>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540" w:type="dxa"/>
            <w:vAlign w:val="bottom"/>
            <w:gridSpan w:val="3"/>
          </w:tcPr>
          <w:p>
            <w:pPr>
              <w:jc w:val="center"/>
              <w:ind w:right="300"/>
              <w:spacing w:after="0"/>
              <w:rPr>
                <w:sz w:val="20"/>
                <w:szCs w:val="20"/>
                <w:color w:val="auto"/>
              </w:rPr>
            </w:pPr>
            <w:r>
              <w:rPr>
                <w:rFonts w:ascii="Arial" w:cs="Arial" w:eastAsia="Arial" w:hAnsi="Arial"/>
                <w:sz w:val="18"/>
                <w:szCs w:val="18"/>
                <w:color w:val="auto"/>
                <w:w w:val="88"/>
              </w:rPr>
              <w:t>On Vest Date</w:t>
            </w:r>
          </w:p>
        </w:tc>
        <w:tc>
          <w:tcPr>
            <w:tcW w:w="2320" w:type="dxa"/>
            <w:vAlign w:val="bottom"/>
          </w:tcPr>
          <w:p>
            <w:pPr>
              <w:jc w:val="center"/>
              <w:spacing w:after="0"/>
              <w:rPr>
                <w:sz w:val="20"/>
                <w:szCs w:val="20"/>
                <w:color w:val="auto"/>
              </w:rPr>
            </w:pPr>
            <w:r>
              <w:rPr>
                <w:rFonts w:ascii="Arial" w:cs="Arial" w:eastAsia="Arial" w:hAnsi="Arial"/>
                <w:sz w:val="18"/>
                <w:szCs w:val="18"/>
                <w:color w:val="auto"/>
                <w:w w:val="99"/>
              </w:rPr>
              <w:t>[__/__/__]**</w:t>
            </w:r>
          </w:p>
        </w:tc>
        <w:tc>
          <w:tcPr>
            <w:tcW w:w="240" w:type="dxa"/>
            <w:vAlign w:val="bottom"/>
          </w:tcPr>
          <w:p>
            <w:pPr>
              <w:spacing w:after="0"/>
              <w:rPr>
                <w:sz w:val="24"/>
                <w:szCs w:val="24"/>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580"/>
        </w:trPr>
        <w:tc>
          <w:tcPr>
            <w:tcW w:w="3300" w:type="dxa"/>
            <w:vAlign w:val="bottom"/>
            <w:gridSpan w:val="3"/>
          </w:tcPr>
          <w:p>
            <w:pPr>
              <w:ind w:left="20"/>
              <w:spacing w:after="0"/>
              <w:rPr>
                <w:sz w:val="20"/>
                <w:szCs w:val="20"/>
                <w:color w:val="auto"/>
              </w:rPr>
            </w:pPr>
            <w:r>
              <w:rPr>
                <w:rFonts w:ascii="Arial" w:cs="Arial" w:eastAsia="Arial" w:hAnsi="Arial"/>
                <w:sz w:val="18"/>
                <w:szCs w:val="18"/>
                <w:color w:val="auto"/>
                <w:w w:val="92"/>
              </w:rPr>
              <w:t>The Non-Qualified Stock Option expires on [</w:t>
            </w:r>
          </w:p>
        </w:tc>
        <w:tc>
          <w:tcPr>
            <w:tcW w:w="4340" w:type="dxa"/>
            <w:vAlign w:val="bottom"/>
            <w:gridSpan w:val="4"/>
          </w:tcPr>
          <w:p>
            <w:pPr>
              <w:ind w:left="480"/>
              <w:spacing w:after="0"/>
              <w:rPr>
                <w:sz w:val="20"/>
                <w:szCs w:val="20"/>
                <w:color w:val="auto"/>
              </w:rPr>
            </w:pPr>
            <w:r>
              <w:rPr>
                <w:rFonts w:ascii="Arial" w:cs="Arial" w:eastAsia="Arial" w:hAnsi="Arial"/>
                <w:sz w:val="18"/>
                <w:szCs w:val="18"/>
                <w:color w:val="auto"/>
              </w:rPr>
              <w:t>]*** (the “Expiration Date”).</w:t>
            </w:r>
          </w:p>
        </w:tc>
        <w:tc>
          <w:tcPr>
            <w:tcW w:w="26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454025</wp:posOffset>
            </wp:positionV>
            <wp:extent cx="640334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88">
                      <a:extLst>
                        <a:ext uri="{28A0092B-C50C-407E-A947-70E740481C1C}"/>
                      </a:extLst>
                    </a:blip>
                    <a:srcRect/>
                    <a:stretch>
                      <a:fillRect/>
                    </a:stretch>
                  </pic:blipFill>
                  <pic:spPr bwMode="auto">
                    <a:xfrm>
                      <a:off x="0" y="0"/>
                      <a:ext cx="64033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right="1420"/>
        <w:spacing w:after="0" w:line="263" w:lineRule="auto"/>
        <w:rPr>
          <w:sz w:val="20"/>
          <w:szCs w:val="20"/>
          <w:color w:val="auto"/>
        </w:rPr>
      </w:pPr>
      <w:r>
        <w:rPr>
          <w:rFonts w:ascii="Arial" w:cs="Arial" w:eastAsia="Arial" w:hAnsi="Arial"/>
          <w:sz w:val="18"/>
          <w:szCs w:val="18"/>
          <w:color w:val="auto"/>
        </w:rPr>
        <w:t>You and the Company agree that these options are granted under and governed by the terms and conditions of the Second Amended and Restated Regeneron Pharmaceuticals, Inc. 2014 Long Term Incentive Plan, as amended from time to time, and the enclosed Option Agreement, both of which are attached and made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640334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89">
                      <a:extLst>
                        <a:ext uri="{28A0092B-C50C-407E-A947-70E740481C1C}"/>
                      </a:extLst>
                    </a:blip>
                    <a:srcRect/>
                    <a:stretch>
                      <a:fillRect/>
                    </a:stretch>
                  </pic:blipFill>
                  <pic:spPr bwMode="auto">
                    <a:xfrm>
                      <a:off x="0" y="0"/>
                      <a:ext cx="640334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w:t>
      </w:r>
    </w:p>
    <w:p>
      <w:pPr>
        <w:spacing w:after="0" w:line="308" w:lineRule="exact"/>
        <w:rPr>
          <w:sz w:val="20"/>
          <w:szCs w:val="20"/>
          <w:color w:val="auto"/>
        </w:rPr>
      </w:pPr>
    </w:p>
    <w:p>
      <w:pPr>
        <w:ind w:left="640" w:right="1440" w:hanging="614"/>
        <w:spacing w:after="0" w:line="277" w:lineRule="auto"/>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Options for executive officers will vest in approximately equal annual 25% installments. Full Vest Dates will occur on the first, second, third and fourth anniversaries of the Grant Date.</w:t>
      </w:r>
    </w:p>
    <w:p>
      <w:pPr>
        <w:spacing w:after="0" w:line="318" w:lineRule="exact"/>
        <w:rPr>
          <w:rFonts w:ascii="Arial" w:cs="Arial" w:eastAsia="Arial" w:hAnsi="Arial"/>
          <w:sz w:val="18"/>
          <w:szCs w:val="18"/>
          <w:color w:val="auto"/>
        </w:rPr>
      </w:pPr>
    </w:p>
    <w:p>
      <w:pPr>
        <w:ind w:left="640" w:hanging="614"/>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Date to be 10 years from the Grant Date.</w:t>
      </w:r>
    </w:p>
    <w:p>
      <w:pPr>
        <w:sectPr>
          <w:pgSz w:w="11900" w:h="16838" w:orient="portrait"/>
          <w:cols w:equalWidth="0" w:num="1">
            <w:col w:w="11240"/>
          </w:cols>
          <w:pgMar w:left="320" w:top="773" w:right="3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25"/>
          <w:szCs w:val="25"/>
          <w:b w:val="1"/>
          <w:bCs w:val="1"/>
          <w:color w:val="800000"/>
        </w:rPr>
        <w:t>REGENERON PHARMACEUTICALS, INC.</w:t>
      </w:r>
    </w:p>
    <w:p>
      <w:pPr>
        <w:spacing w:after="0" w:line="127"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Non-Qualified Stock Option</w:t>
      </w:r>
    </w:p>
    <w:p>
      <w:pPr>
        <w:spacing w:after="0" w:line="112"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OPTION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SECOND AMENDED AND RESTATED REGENERON PHARMACEUTICALS,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2014 LONG-TERM INCENTIVE PLAN</w:t>
      </w:r>
    </w:p>
    <w:p>
      <w:pPr>
        <w:spacing w:after="0" w:line="222"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THIS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made as of the date of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by and between Regeneron Pharmaceuticals, Inc., a New York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and the employee named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Grantee</w:t>
      </w:r>
      <w:r>
        <w:rPr>
          <w:rFonts w:ascii="Arial" w:cs="Arial" w:eastAsia="Arial" w:hAnsi="Arial"/>
          <w:sz w:val="17"/>
          <w:szCs w:val="17"/>
          <w:color w:val="auto"/>
        </w:rPr>
        <w:t>”). Any capitalized term used but not defined in this Agreement shall have the meaning given to such term in the Plan (as defined below).</w:t>
      </w:r>
    </w:p>
    <w:p>
      <w:pPr>
        <w:spacing w:after="0" w:line="57"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WHEREAS, the Grantee is an employee of the Company (or a Subsidiary of the Company) and the Company desires to afford the Grantee the opportunity to acquire or enlarge the Grantee’s stock ownership in the Company so that the Grantee may have a direct proprietary interest in the Company’s success; and</w:t>
      </w:r>
    </w:p>
    <w:p>
      <w:pPr>
        <w:spacing w:after="0" w:line="7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WHEREAS, the Committee administering the Second Amended and Restated Regeneron Pharmaceuticals, Inc. 2014 Long-Term Incentive Plan (as amended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xml:space="preserve">”) has granted (as of the effective date of grant specified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to the Grantee a Stock Option to purchase the number of shares of the Company’s common stock, $0.001 par value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as set forth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w:t>
      </w:r>
    </w:p>
    <w:p>
      <w:pPr>
        <w:spacing w:after="0" w:line="7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NOW, THEREFORE, in consideration of the covenants and agreements herein contained, the parties agree as follows:</w:t>
      </w:r>
    </w:p>
    <w:p>
      <w:pPr>
        <w:spacing w:after="0" w:line="113" w:lineRule="exact"/>
        <w:rPr>
          <w:sz w:val="20"/>
          <w:szCs w:val="20"/>
          <w:color w:val="auto"/>
        </w:rPr>
      </w:pPr>
    </w:p>
    <w:p>
      <w:pPr>
        <w:jc w:val="both"/>
        <w:ind w:right="20" w:firstLine="656"/>
        <w:spacing w:after="0" w:line="303" w:lineRule="auto"/>
        <w:tabs>
          <w:tab w:leader="none" w:pos="999"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Grant of Award. </w:t>
      </w:r>
      <w:r>
        <w:rPr>
          <w:rFonts w:ascii="Arial" w:cs="Arial" w:eastAsia="Arial" w:hAnsi="Arial"/>
          <w:sz w:val="16"/>
          <w:szCs w:val="16"/>
          <w:color w:val="auto"/>
        </w:rPr>
        <w:t>Pursuant to Section 7 of the Plan, the Company grants to the Grantee, subject to the terms and conditions of the Plan and</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further to the terms and conditions set forth herein, the option (the “</w:t>
      </w:r>
      <w:r>
        <w:rPr>
          <w:rFonts w:ascii="Arial" w:cs="Arial" w:eastAsia="Arial" w:hAnsi="Arial"/>
          <w:sz w:val="16"/>
          <w:szCs w:val="16"/>
          <w:u w:val="single" w:color="auto"/>
          <w:color w:val="auto"/>
        </w:rPr>
        <w:t>Option</w:t>
      </w:r>
      <w:r>
        <w:rPr>
          <w:rFonts w:ascii="Arial" w:cs="Arial" w:eastAsia="Arial" w:hAnsi="Arial"/>
          <w:sz w:val="16"/>
          <w:szCs w:val="16"/>
          <w:color w:val="auto"/>
        </w:rPr>
        <w:t xml:space="preserve">”) to purchase from the Company all or any part of an aggregate of shares of Common Stock at the purchase price per share as shown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No part of the Option granted hereby is intended to qualify as an Incentive Stock Option under Section 422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w:t>
      </w:r>
    </w:p>
    <w:p>
      <w:pPr>
        <w:spacing w:after="0" w:line="42" w:lineRule="exact"/>
        <w:rPr>
          <w:rFonts w:ascii="Arial" w:cs="Arial" w:eastAsia="Arial" w:hAnsi="Arial"/>
          <w:sz w:val="16"/>
          <w:szCs w:val="16"/>
          <w:b w:val="1"/>
          <w:bCs w:val="1"/>
          <w:color w:val="auto"/>
        </w:rPr>
      </w:pPr>
    </w:p>
    <w:p>
      <w:pPr>
        <w:jc w:val="both"/>
        <w:ind w:firstLine="656"/>
        <w:spacing w:after="0" w:line="289" w:lineRule="auto"/>
        <w:tabs>
          <w:tab w:leader="none" w:pos="960"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Vesting; Exercise. </w:t>
      </w:r>
      <w:r>
        <w:rPr>
          <w:rFonts w:ascii="Arial" w:cs="Arial" w:eastAsia="Arial" w:hAnsi="Arial"/>
          <w:sz w:val="16"/>
          <w:szCs w:val="16"/>
          <w:color w:val="auto"/>
        </w:rPr>
        <w:t>(a) The Option becomes exercisable in installments as provided on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To the extent that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Option has become exercisable with respect to the number of shares of Common Stock as provided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and subject to the terms and conditions of the Plan, including without limitation, Sections 7(c)(1) (if applicable) and 7(c)(2) of the Plan, the Option may thereafter be exercised by the Grantee, in whole or in part, at any time or from time to time prior to the expiration of the Option in accordance with the requirements set forth in Section 7(c)(3) of the Plan, including, without limitation, the filing of such written form of exercise notice as may be provided by the Company, and in accordance with applicable tax and other laws. In addition to the methods of payment described in Section 7(c)(3) of the Plan, the Grantee shall be eligible to pay for shares of Common Stock purchased upon the exercise of the Option by directing the Company to withhold shares of Common Stock that would otherwise be issued pursuant to the Option exercise having an aggregate Fair Market Value (as measured on the date of exercise) equal to the aggregate Option exercise price due upon such exercise. The Company shall have the right to require the Grantee in connection with the exercise of the Option to remit to the Company in cash an amount sufficient to satisfy any federal, state and local withholding tax requirements related thereto.</w:t>
      </w:r>
    </w:p>
    <w:p>
      <w:pPr>
        <w:spacing w:after="0" w:line="57" w:lineRule="exact"/>
        <w:rPr>
          <w:sz w:val="20"/>
          <w:szCs w:val="20"/>
          <w:color w:val="auto"/>
        </w:rPr>
      </w:pPr>
    </w:p>
    <w:p>
      <w:pPr>
        <w:jc w:val="both"/>
        <w:ind w:left="80" w:firstLine="576"/>
        <w:spacing w:after="0" w:line="280" w:lineRule="auto"/>
        <w:tabs>
          <w:tab w:leader="none" w:pos="1292"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indicates each date upon which the Grantee shall become entitled to exercise the Option with respect to the number of shares of Common Stock granted as indicated provided that [(except with respect to retirement on the terms set forth below)]</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the Grantee has not incurred a termination of employment or service with the Company and all Subsidiaries (the Company and all Subsidiaries shall be referred to herein, collectively, as the “</w:t>
      </w:r>
      <w:r>
        <w:rPr>
          <w:rFonts w:ascii="Arial" w:cs="Arial" w:eastAsia="Arial" w:hAnsi="Arial"/>
          <w:sz w:val="16"/>
          <w:szCs w:val="16"/>
          <w:u w:val="single" w:color="auto"/>
          <w:color w:val="auto"/>
        </w:rPr>
        <w:t>Employer</w:t>
      </w:r>
      <w:r>
        <w:rPr>
          <w:rFonts w:ascii="Arial" w:cs="Arial" w:eastAsia="Arial" w:hAnsi="Arial"/>
          <w:sz w:val="16"/>
          <w:szCs w:val="16"/>
          <w:color w:val="auto"/>
        </w:rPr>
        <w:t xml:space="preserve">,” and no termination of employment or service shall be deemed to take place unless the Grantee is no longer employed by or providing service to the Employer) prior to such date. There shall be no proportionate or partial vesting in the periods between the Full Vest Dates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and all vesting shall occur only on such Full Vest Dates. Except as otherwise provided below or in the Plan, no vesting shall occur after such date as the Grantee ceases to be employed by or provide services to the Employer and the entire unvested portion of the Option shall be forfeited at such time. [Notwithstanding the preceding sentence, upon the Grantee’s retirement (as defined in the Company’s employee handbook as in effect on the date hereof), the Option shall continue to vest in installments as provided in the </w:t>
      </w:r>
      <w:r>
        <w:rPr>
          <w:rFonts w:ascii="Arial" w:cs="Arial" w:eastAsia="Arial" w:hAnsi="Arial"/>
          <w:sz w:val="16"/>
          <w:szCs w:val="16"/>
          <w:i w:val="1"/>
          <w:iCs w:val="1"/>
          <w:color w:val="auto"/>
        </w:rPr>
        <w:t>Notice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7145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9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88" w:lineRule="exact"/>
        <w:rPr>
          <w:sz w:val="20"/>
          <w:szCs w:val="20"/>
          <w:color w:val="auto"/>
        </w:rPr>
      </w:pPr>
    </w:p>
    <w:p>
      <w:pPr>
        <w:ind w:left="120" w:hanging="112"/>
        <w:spacing w:after="0"/>
        <w:tabs>
          <w:tab w:leader="none" w:pos="120" w:val="left"/>
        </w:tabs>
        <w:numPr>
          <w:ilvl w:val="0"/>
          <w:numId w:val="70"/>
        </w:numPr>
        <w:rPr>
          <w:rFonts w:ascii="Arial" w:cs="Arial" w:eastAsia="Arial" w:hAnsi="Arial"/>
          <w:sz w:val="23"/>
          <w:szCs w:val="23"/>
          <w:color w:val="auto"/>
          <w:vertAlign w:val="superscript"/>
        </w:rPr>
      </w:pPr>
      <w:r>
        <w:rPr>
          <w:rFonts w:ascii="Arial" w:cs="Arial" w:eastAsia="Arial" w:hAnsi="Arial"/>
          <w:sz w:val="18"/>
          <w:szCs w:val="18"/>
          <w:color w:val="auto"/>
        </w:rPr>
        <w:t>Only applicable to Option Agreements for George D. Yancopoulos, M.D., Ph.D.</w:t>
      </w:r>
    </w:p>
    <w:p>
      <w:pPr>
        <w:sectPr>
          <w:pgSz w:w="11900" w:h="16838" w:orient="portrait"/>
          <w:cols w:equalWidth="0" w:num="1">
            <w:col w:w="11240"/>
          </w:cols>
          <w:pgMar w:left="320" w:top="1007" w:right="339" w:bottom="1440" w:gutter="0" w:footer="0" w:header="0"/>
        </w:sectPr>
      </w:pPr>
    </w:p>
    <w:bookmarkStart w:id="151" w:name="page152"/>
    <w:bookmarkEnd w:id="151"/>
    <w:p>
      <w:pPr>
        <w:jc w:val="both"/>
        <w:ind w:left="80"/>
        <w:spacing w:after="0" w:line="243" w:lineRule="auto"/>
        <w:rPr>
          <w:sz w:val="20"/>
          <w:szCs w:val="20"/>
          <w:color w:val="auto"/>
        </w:rPr>
      </w:pPr>
      <w:r>
        <w:rPr>
          <w:rFonts w:ascii="Arial" w:cs="Arial" w:eastAsia="Arial" w:hAnsi="Arial"/>
          <w:sz w:val="18"/>
          <w:szCs w:val="18"/>
          <w:i w:val="1"/>
          <w:iCs w:val="1"/>
          <w:color w:val="auto"/>
        </w:rPr>
        <w:t xml:space="preserve">of Stock Options </w:t>
      </w:r>
      <w:r>
        <w:rPr>
          <w:rFonts w:ascii="Arial" w:cs="Arial" w:eastAsia="Arial" w:hAnsi="Arial"/>
          <w:sz w:val="18"/>
          <w:szCs w:val="18"/>
          <w:color w:val="auto"/>
        </w:rPr>
        <w:t>as if the Grantee had continued to be employed by or provide services to the Employer.]</w:t>
      </w:r>
      <w:r>
        <w:rPr>
          <w:rFonts w:ascii="Arial" w:cs="Arial" w:eastAsia="Arial" w:hAnsi="Arial"/>
          <w:sz w:val="23"/>
          <w:szCs w:val="23"/>
          <w:color w:val="auto"/>
          <w:vertAlign w:val="superscript"/>
        </w:rPr>
        <w:t>2</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avoidance of doubt and notwithstanding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anything herein or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xml:space="preserve"> to the contrary, any outstanding and unvested portion of the Option shall become fully vested on the date of the Grantee’s death. The provisions of this Section 2(b) are subject to (i) the provisions set forth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xml:space="preserve"> or any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xml:space="preserve"> and (ii) the Committee’s determination in accordance with Section 7(e) of the Plan.</w:t>
      </w:r>
    </w:p>
    <w:p>
      <w:pPr>
        <w:spacing w:after="0" w:line="94" w:lineRule="exact"/>
        <w:rPr>
          <w:sz w:val="20"/>
          <w:szCs w:val="20"/>
          <w:color w:val="auto"/>
        </w:rPr>
      </w:pPr>
    </w:p>
    <w:p>
      <w:pPr>
        <w:jc w:val="both"/>
        <w:ind w:left="80" w:firstLine="653"/>
        <w:spacing w:after="0" w:line="285" w:lineRule="auto"/>
        <w:tabs>
          <w:tab w:leader="none" w:pos="972" w:val="left"/>
        </w:tabs>
        <w:numPr>
          <w:ilvl w:val="1"/>
          <w:numId w:val="71"/>
        </w:numPr>
        <w:rPr>
          <w:rFonts w:ascii="Arial" w:cs="Arial" w:eastAsia="Arial" w:hAnsi="Arial"/>
          <w:sz w:val="16"/>
          <w:szCs w:val="16"/>
          <w:color w:val="auto"/>
        </w:rPr>
      </w:pPr>
      <w:r>
        <w:rPr>
          <w:rFonts w:ascii="Arial" w:cs="Arial" w:eastAsia="Arial" w:hAnsi="Arial"/>
          <w:sz w:val="16"/>
          <w:szCs w:val="16"/>
          <w:color w:val="auto"/>
        </w:rPr>
        <w:t xml:space="preserve">Notwithstanding anything herein (except the following sentence) or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to the contrary, but subject to the provisions of any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the Option shall be fully vested on the date of termination of the Grantee’s employment with the Employer if the Grantee’s employment with the Employer is terminated on or within two years after the occurrence of a Change in Control by the Employer (other than for Cause) or by the Grantee for Good Reason. Except as otherwise provided in any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if the application of the provision in the foregoing sentence, similar provisions in other stock option or restricted stock grants, and other payments and benefits payable to the Grantee upon termination of employment with the Employer (collectively, the “</w:t>
      </w:r>
      <w:r>
        <w:rPr>
          <w:rFonts w:ascii="Arial" w:cs="Arial" w:eastAsia="Arial" w:hAnsi="Arial"/>
          <w:sz w:val="16"/>
          <w:szCs w:val="16"/>
          <w:u w:val="single" w:color="auto"/>
          <w:color w:val="auto"/>
        </w:rPr>
        <w:t>Company Payments</w:t>
      </w:r>
      <w:r>
        <w:rPr>
          <w:rFonts w:ascii="Arial" w:cs="Arial" w:eastAsia="Arial" w:hAnsi="Arial"/>
          <w:sz w:val="16"/>
          <w:szCs w:val="16"/>
          <w:color w:val="auto"/>
        </w:rPr>
        <w:t>”) would result in the Grantee being subject to the excise tax payable under Section 4999 of the Code (the “</w:t>
      </w:r>
      <w:r>
        <w:rPr>
          <w:rFonts w:ascii="Arial" w:cs="Arial" w:eastAsia="Arial" w:hAnsi="Arial"/>
          <w:sz w:val="16"/>
          <w:szCs w:val="16"/>
          <w:u w:val="single" w:color="auto"/>
          <w:color w:val="auto"/>
        </w:rPr>
        <w:t>Excise Tax</w:t>
      </w:r>
      <w:r>
        <w:rPr>
          <w:rFonts w:ascii="Arial" w:cs="Arial" w:eastAsia="Arial" w:hAnsi="Arial"/>
          <w:sz w:val="16"/>
          <w:szCs w:val="16"/>
          <w:color w:val="auto"/>
        </w:rPr>
        <w:t xml:space="preserve">”), the amount of any Company Payments shall be automatically reduced to an amount one dollar less than an amount that would subject the Grantee to the Excise Tax;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reduction shall occur only if the reduced Company Payments received by the Grantee (after taking into account further reductions for applicable federal, state and local income, social security and other taxes) would be greater than the unreduced Company Payments to be received by the Grantee minus (i) the Excise Tax payable with respect to such Company Payments and (ii) all applicable federal, state and local income, social security and other taxes on such Company Payments. If the Company Payments are to be reduced in accordance with the foregoing, the Company Payments shall be reduced as mutually agreed between the Employer and the Grantee or, in the event the parties cannot agree, in the following order: (1) acceleration of vesting of any option where the exercise price exceeds the fair market value of the underlying shares at the time the acceleration would otherwise occur; (2) any lump-sum severance based on a multiple of base salary or bonus; (3) any other cash amounts payable to the Grantee; (4) any benefits valued as parachute payments; and (5) acceleration of vesting of any equity not covered by (1) above.</w:t>
      </w:r>
    </w:p>
    <w:p>
      <w:pPr>
        <w:spacing w:after="0" w:line="200" w:lineRule="exact"/>
        <w:rPr>
          <w:rFonts w:ascii="Arial" w:cs="Arial" w:eastAsia="Arial" w:hAnsi="Arial"/>
          <w:sz w:val="16"/>
          <w:szCs w:val="16"/>
          <w:color w:val="auto"/>
        </w:rPr>
      </w:pPr>
    </w:p>
    <w:p>
      <w:pPr>
        <w:spacing w:after="0" w:line="210" w:lineRule="exact"/>
        <w:rPr>
          <w:rFonts w:ascii="Arial" w:cs="Arial" w:eastAsia="Arial" w:hAnsi="Arial"/>
          <w:sz w:val="16"/>
          <w:szCs w:val="16"/>
          <w:color w:val="auto"/>
        </w:rPr>
      </w:pPr>
    </w:p>
    <w:p>
      <w:pPr>
        <w:jc w:val="both"/>
        <w:ind w:firstLine="656"/>
        <w:spacing w:after="0" w:line="271" w:lineRule="auto"/>
        <w:tabs>
          <w:tab w:leader="none" w:pos="1008"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Option Term. </w:t>
      </w:r>
      <w:r>
        <w:rPr>
          <w:rFonts w:ascii="Arial" w:cs="Arial" w:eastAsia="Arial" w:hAnsi="Arial"/>
          <w:sz w:val="16"/>
          <w:szCs w:val="16"/>
          <w:color w:val="auto"/>
        </w:rPr>
        <w:t>(a) Except as otherwise provided in the next sentence or in the Plan, the Option shall expire on the tenth anniversary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grant of the Option as shown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In the event of termination of employment or service with the Employer, except as set forth in any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or as may be otherwise determined by the Committee in accordance with Section 7(e) of the Plan, the vested portion of the Option shall expire on the earlier of (i) the tenth anniversary of this grant, or (ii)(A) subject to (E) below, three months after such termination if such termination is for any reason other than death, retirement (as defined in the Company’s employee handbook as in effect on the date hereof), or long-term disability, (B) the tenth anniversary of this grant if such termination is due to the Grantee’s retirement (as defined in the Company’s employee handbook as in effect on the date hereof) [or the Grantee’s death]</w:t>
      </w:r>
      <w:r>
        <w:rPr>
          <w:rFonts w:ascii="Arial" w:cs="Arial" w:eastAsia="Arial" w:hAnsi="Arial"/>
          <w:sz w:val="20"/>
          <w:szCs w:val="20"/>
          <w:color w:val="auto"/>
          <w:vertAlign w:val="superscript"/>
        </w:rPr>
        <w:t>3</w:t>
      </w:r>
      <w:r>
        <w:rPr>
          <w:rFonts w:ascii="Arial" w:cs="Arial" w:eastAsia="Arial" w:hAnsi="Arial"/>
          <w:sz w:val="16"/>
          <w:szCs w:val="16"/>
          <w:color w:val="auto"/>
        </w:rPr>
        <w:t xml:space="preserve"> [or the Grantee’s death at a time when the Grantee is eligible for retirement (as defined in the Company’s employee handbook as in effect on the date hereof)]</w:t>
      </w:r>
      <w:r>
        <w:rPr>
          <w:rFonts w:ascii="Arial" w:cs="Arial" w:eastAsia="Arial" w:hAnsi="Arial"/>
          <w:sz w:val="20"/>
          <w:szCs w:val="20"/>
          <w:color w:val="auto"/>
          <w:vertAlign w:val="superscript"/>
        </w:rPr>
        <w:t>4</w:t>
      </w:r>
      <w:r>
        <w:rPr>
          <w:rFonts w:ascii="Arial" w:cs="Arial" w:eastAsia="Arial" w:hAnsi="Arial"/>
          <w:sz w:val="16"/>
          <w:szCs w:val="16"/>
          <w:color w:val="auto"/>
        </w:rPr>
        <w:t>, (C) one year after the termination if such termination is due to the Grantee’s [death at a time when the Grantee is not eligible for retirement (as defined in the Company’s employee handbook as in effect on the date hereof) or due to the Grantee’s]</w:t>
      </w:r>
      <w:r>
        <w:rPr>
          <w:rFonts w:ascii="Arial" w:cs="Arial" w:eastAsia="Arial" w:hAnsi="Arial"/>
          <w:sz w:val="20"/>
          <w:szCs w:val="20"/>
          <w:color w:val="auto"/>
          <w:vertAlign w:val="superscript"/>
        </w:rPr>
        <w:t>5</w:t>
      </w:r>
      <w:r>
        <w:rPr>
          <w:rFonts w:ascii="Arial" w:cs="Arial" w:eastAsia="Arial" w:hAnsi="Arial"/>
          <w:sz w:val="16"/>
          <w:szCs w:val="16"/>
          <w:color w:val="auto"/>
        </w:rPr>
        <w:t xml:space="preserve"> long-term disability, (D) the occurrence of the Cause event if such termination is for Cause or Cause existed at the time of such termination (whether then known or later discovered) or (E) one year after such termination if such termination is at any time within two years after the occurrence of a Change in Control and is by the Employer without Cause or by the Grantee for Good Reason. For the avoidance of doubt, any outstanding and unvested portion of the Option that has become fully vested as a result of termination of the Grantee’s employment or service with the Employer on account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7145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9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1" w:lineRule="exact"/>
        <w:rPr>
          <w:sz w:val="20"/>
          <w:szCs w:val="20"/>
          <w:color w:val="auto"/>
        </w:rPr>
      </w:pPr>
    </w:p>
    <w:p>
      <w:pPr>
        <w:ind w:left="120" w:hanging="112"/>
        <w:spacing w:after="0"/>
        <w:tabs>
          <w:tab w:leader="none" w:pos="120" w:val="left"/>
        </w:tabs>
        <w:numPr>
          <w:ilvl w:val="0"/>
          <w:numId w:val="73"/>
        </w:numPr>
        <w:rPr>
          <w:rFonts w:ascii="Arial" w:cs="Arial" w:eastAsia="Arial" w:hAnsi="Arial"/>
          <w:sz w:val="23"/>
          <w:szCs w:val="23"/>
          <w:color w:val="auto"/>
          <w:vertAlign w:val="superscript"/>
        </w:rPr>
      </w:pPr>
      <w:r>
        <w:rPr>
          <w:rFonts w:ascii="Arial" w:cs="Arial" w:eastAsia="Arial" w:hAnsi="Arial"/>
          <w:sz w:val="18"/>
          <w:szCs w:val="18"/>
          <w:color w:val="auto"/>
        </w:rPr>
        <w:t>Only applicable to Option Agreements for George D. Yancopoulos, M.D., Ph.D.</w:t>
      </w:r>
    </w:p>
    <w:p>
      <w:pPr>
        <w:spacing w:after="0" w:line="1" w:lineRule="exact"/>
        <w:rPr>
          <w:rFonts w:ascii="Arial" w:cs="Arial" w:eastAsia="Arial" w:hAnsi="Arial"/>
          <w:sz w:val="23"/>
          <w:szCs w:val="23"/>
          <w:color w:val="auto"/>
          <w:vertAlign w:val="superscript"/>
        </w:rPr>
      </w:pPr>
    </w:p>
    <w:p>
      <w:pPr>
        <w:ind w:right="5340"/>
        <w:spacing w:after="0" w:line="289" w:lineRule="auto"/>
        <w:rPr>
          <w:rFonts w:ascii="Arial" w:cs="Arial" w:eastAsia="Arial" w:hAnsi="Arial"/>
          <w:sz w:val="23"/>
          <w:szCs w:val="23"/>
          <w:color w:val="auto"/>
          <w:vertAlign w:val="superscript"/>
        </w:rPr>
      </w:pPr>
      <w:r>
        <w:rPr>
          <w:rFonts w:ascii="Arial" w:cs="Arial" w:eastAsia="Arial" w:hAnsi="Arial"/>
          <w:sz w:val="20"/>
          <w:szCs w:val="20"/>
          <w:color w:val="auto"/>
          <w:vertAlign w:val="superscript"/>
        </w:rPr>
        <w:t>3</w:t>
      </w:r>
      <w:r>
        <w:rPr>
          <w:rFonts w:ascii="Arial" w:cs="Arial" w:eastAsia="Arial" w:hAnsi="Arial"/>
          <w:sz w:val="16"/>
          <w:szCs w:val="16"/>
          <w:color w:val="auto"/>
        </w:rPr>
        <w:t xml:space="preserve"> Only applicable to Option Agreements for George D. Yancopoulos, M.D., Ph.D. </w:t>
      </w:r>
      <w:r>
        <w:rPr>
          <w:rFonts w:ascii="Arial" w:cs="Arial" w:eastAsia="Arial" w:hAnsi="Arial"/>
          <w:sz w:val="20"/>
          <w:szCs w:val="20"/>
          <w:color w:val="auto"/>
          <w:vertAlign w:val="superscript"/>
        </w:rPr>
        <w:t>4</w:t>
      </w:r>
      <w:r>
        <w:rPr>
          <w:rFonts w:ascii="Arial" w:cs="Arial" w:eastAsia="Arial" w:hAnsi="Arial"/>
          <w:sz w:val="16"/>
          <w:szCs w:val="16"/>
          <w:color w:val="auto"/>
        </w:rPr>
        <w:t xml:space="preserve"> Not applicable to Option Agreements for George D. Yancopoulos, M.D., Ph.D. </w:t>
      </w:r>
      <w:r>
        <w:rPr>
          <w:rFonts w:ascii="Arial" w:cs="Arial" w:eastAsia="Arial" w:hAnsi="Arial"/>
          <w:sz w:val="20"/>
          <w:szCs w:val="20"/>
          <w:color w:val="auto"/>
          <w:vertAlign w:val="superscript"/>
        </w:rPr>
        <w:t>5</w:t>
      </w:r>
      <w:r>
        <w:rPr>
          <w:rFonts w:ascii="Arial" w:cs="Arial" w:eastAsia="Arial" w:hAnsi="Arial"/>
          <w:sz w:val="16"/>
          <w:szCs w:val="16"/>
          <w:color w:val="auto"/>
        </w:rPr>
        <w:t xml:space="preserve"> Not applicable to Option Agreements for George D. Yancopoulos, M.D., Ph.D.</w:t>
      </w:r>
    </w:p>
    <w:p>
      <w:pPr>
        <w:sectPr>
          <w:pgSz w:w="11900" w:h="16838" w:orient="portrait"/>
          <w:cols w:equalWidth="0" w:num="1">
            <w:col w:w="11240"/>
          </w:cols>
          <w:pgMar w:left="320" w:top="876" w:right="339" w:bottom="1440" w:gutter="0" w:footer="0" w:header="0"/>
        </w:sectPr>
      </w:pPr>
    </w:p>
    <w:bookmarkStart w:id="152" w:name="page153"/>
    <w:bookmarkEnd w:id="152"/>
    <w:p>
      <w:pPr>
        <w:ind w:right="20"/>
        <w:spacing w:after="0" w:line="236" w:lineRule="auto"/>
        <w:rPr>
          <w:sz w:val="20"/>
          <w:szCs w:val="20"/>
          <w:color w:val="auto"/>
        </w:rPr>
      </w:pPr>
      <w:r>
        <w:rPr>
          <w:rFonts w:ascii="Arial" w:cs="Arial" w:eastAsia="Arial" w:hAnsi="Arial"/>
          <w:sz w:val="18"/>
          <w:szCs w:val="18"/>
          <w:color w:val="auto"/>
        </w:rPr>
        <w:t>Grantee’s death pursuant to Section 7(e)(2) of the Plan and Section 2(b) of this Agreement shall expire [one year after such termination]</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[on the tenth anniversary of this grant].</w:t>
      </w:r>
      <w:r>
        <w:rPr>
          <w:rFonts w:ascii="Arial" w:cs="Arial" w:eastAsia="Arial" w:hAnsi="Arial"/>
          <w:sz w:val="23"/>
          <w:szCs w:val="23"/>
          <w:color w:val="auto"/>
          <w:vertAlign w:val="superscript"/>
        </w:rPr>
        <w:t>7</w:t>
      </w:r>
    </w:p>
    <w:p>
      <w:pPr>
        <w:spacing w:after="0" w:line="25" w:lineRule="exact"/>
        <w:rPr>
          <w:sz w:val="20"/>
          <w:szCs w:val="20"/>
          <w:color w:val="auto"/>
        </w:rPr>
      </w:pPr>
    </w:p>
    <w:p>
      <w:pPr>
        <w:jc w:val="both"/>
        <w:ind w:firstLine="656"/>
        <w:spacing w:after="0" w:line="286" w:lineRule="auto"/>
        <w:tabs>
          <w:tab w:leader="none" w:pos="1290" w:val="left"/>
        </w:tabs>
        <w:numPr>
          <w:ilvl w:val="1"/>
          <w:numId w:val="74"/>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shall mean (i) in the case where there is no employment agreement, consulting agreement, change in control agreement or plan, or similar agreement or plan in effect between the Company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(or where there is such an agreement or plan but it does not define “cause” (or words of like import)) (A) the willful and continued failure by the Grantee substantially to perform his or her duties and obligations to the Employer (other than any such failure resulting from his or her incapacity due to physical or mental illness), including without limitation, repeated refusal to follow the reasonable directions of the Employer, violation of the Employer’s Code of Business Conduct and Ethics, knowing violation of law in the course of performance of the duties of the Grantee’s employment with the Employer, repeated absences from work without a reasonable excuse, or intoxication with alcohol or illegal drugs while on the Employer’s premises during regular business hours; (B) fraud or material dishonesty against the Employer; or (C) a conviction or plea of guilty or nolo contendere to a felony or a crime involving material dishonesty; or (ii) in the case where there is an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that defines “cause” (or words of like import), as defined under such agreement or plan. For purposes of this Section 3(b), no act, or failure to act, on a Grantee’s part shall be considered “willful” unless done, or omitted to be done, by the Grantee in bad faith and without reasonable belief that his or her action or omission was in the best interest of the Employer. Any determination of Cause made prior to a Change in Control shall be made by the Committee in its sole discretion.</w:t>
      </w:r>
    </w:p>
    <w:p>
      <w:pPr>
        <w:spacing w:after="0" w:line="62" w:lineRule="exact"/>
        <w:rPr>
          <w:rFonts w:ascii="Arial" w:cs="Arial" w:eastAsia="Arial" w:hAnsi="Arial"/>
          <w:sz w:val="16"/>
          <w:szCs w:val="16"/>
          <w:color w:val="auto"/>
        </w:rPr>
      </w:pPr>
    </w:p>
    <w:p>
      <w:pPr>
        <w:jc w:val="both"/>
        <w:ind w:firstLine="656"/>
        <w:spacing w:after="0" w:line="285" w:lineRule="auto"/>
        <w:tabs>
          <w:tab w:leader="none" w:pos="1293" w:val="left"/>
        </w:tabs>
        <w:numPr>
          <w:ilvl w:val="1"/>
          <w:numId w:val="74"/>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Good Reason</w:t>
      </w:r>
      <w:r>
        <w:rPr>
          <w:rFonts w:ascii="Arial" w:cs="Arial" w:eastAsia="Arial" w:hAnsi="Arial"/>
          <w:sz w:val="16"/>
          <w:szCs w:val="16"/>
          <w:color w:val="auto"/>
        </w:rPr>
        <w:t xml:space="preserve">” shall mean (i) in the case where there is no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(or where there is such an agreement or plan but it does not define “good reason” (or words of like import)) a termination of employment by the Grantee within one hundred and twenty (120) days after the occurrence of one of the following events after the occurrence of a Change in Control unless such events are fully corrected in all material respects by the Employer within thirty</w:t>
      </w:r>
    </w:p>
    <w:p>
      <w:pPr>
        <w:spacing w:after="0" w:line="1" w:lineRule="exact"/>
        <w:rPr>
          <w:rFonts w:ascii="Arial" w:cs="Arial" w:eastAsia="Arial" w:hAnsi="Arial"/>
          <w:sz w:val="16"/>
          <w:szCs w:val="16"/>
          <w:color w:val="auto"/>
        </w:rPr>
      </w:pPr>
    </w:p>
    <w:p>
      <w:pPr>
        <w:jc w:val="both"/>
        <w:ind w:firstLine="8"/>
        <w:spacing w:after="0" w:line="267" w:lineRule="auto"/>
        <w:tabs>
          <w:tab w:leader="none" w:pos="349"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days following written notification by the Grantee to the Employer that Grantee intends to terminate his employment hereunder for one of the reasons set forth below: (A) (1) any material diminution in the Grantee’s duties and responsibilities from those which existed immediately prior to a Change in Control (except in each case in connection with the termination of the Grantee’s employment for Cause or as a result of the Grantee’s death, or temporarily as a result of the Grantee’s illness or other absence), or (2) the assignment to the Grantee of duties and responsibilities materially inconsistent with the position held by the Grantee; (B) any material breach by the Employer of any material provision of any written agreement with the Grantee or failure to timely pay any compensation obligation to the Grantee; (C) a reduction in the Grantee’s annual base salary or target bonus opportunity (if any) from that which existed immediately prior to a Change in Control; or (D) if the Grantee is based at the Employer’s principal executive office, any relocation therefrom or, in any event, a relocation of the Grantee’s primary office of more than fifty (50) miles from the location immediately prior to a Change in Control; or (ii) in the case where there is an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7"/>
          <w:szCs w:val="17"/>
          <w:i w:val="1"/>
          <w:iCs w:val="1"/>
          <w:color w:val="auto"/>
        </w:rPr>
        <w:t>Notice of Grant of Stock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Options </w:t>
      </w:r>
      <w:r>
        <w:rPr>
          <w:rFonts w:ascii="Arial" w:cs="Arial" w:eastAsia="Arial" w:hAnsi="Arial"/>
          <w:sz w:val="17"/>
          <w:szCs w:val="17"/>
          <w:color w:val="auto"/>
        </w:rPr>
        <w:t>that defines “good reason” (or words of like import), as defined under such agreement or plan[;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such definition shall</w:t>
      </w:r>
      <w:r>
        <w:rPr>
          <w:rFonts w:ascii="Arial" w:cs="Arial" w:eastAsia="Arial" w:hAnsi="Arial"/>
          <w:sz w:val="17"/>
          <w:szCs w:val="17"/>
          <w:i w:val="1"/>
          <w:iCs w:val="1"/>
          <w:color w:val="auto"/>
        </w:rPr>
        <w:t xml:space="preserve"> </w:t>
      </w:r>
      <w:r>
        <w:rPr>
          <w:rFonts w:ascii="Arial" w:cs="Arial" w:eastAsia="Arial" w:hAnsi="Arial"/>
          <w:sz w:val="17"/>
          <w:szCs w:val="17"/>
          <w:color w:val="auto"/>
        </w:rPr>
        <w:t>be deemed, solely for purposes of this Agreement, to include as one of the reasons that the employment of Leonard S. Schleifer, M.D., Ph.D. with the Company under the Amended and Restated Employment Agreement, dated as of November 14, 2008, by and between Dr. Schleifer and the Company, as in effect from time to time (the “</w:t>
      </w:r>
      <w:r>
        <w:rPr>
          <w:rFonts w:ascii="Arial" w:cs="Arial" w:eastAsia="Arial" w:hAnsi="Arial"/>
          <w:sz w:val="17"/>
          <w:szCs w:val="17"/>
          <w:u w:val="single" w:color="auto"/>
          <w:color w:val="auto"/>
        </w:rPr>
        <w:t>Employment Agreement</w:t>
      </w:r>
      <w:r>
        <w:rPr>
          <w:rFonts w:ascii="Arial" w:cs="Arial" w:eastAsia="Arial" w:hAnsi="Arial"/>
          <w:sz w:val="17"/>
          <w:szCs w:val="17"/>
          <w:color w:val="auto"/>
        </w:rPr>
        <w:t>”), has ended due to Dr. Schleifer’s Involuntary Termination (as defined in the Employment Agreement)]</w:t>
      </w:r>
      <w:r>
        <w:rPr>
          <w:rFonts w:ascii="Arial" w:cs="Arial" w:eastAsia="Arial" w:hAnsi="Arial"/>
          <w:sz w:val="22"/>
          <w:szCs w:val="22"/>
          <w:color w:val="auto"/>
          <w:vertAlign w:val="superscript"/>
        </w:rPr>
        <w:t>8</w:t>
      </w:r>
      <w:r>
        <w:rPr>
          <w:rFonts w:ascii="Arial" w:cs="Arial" w:eastAsia="Arial" w:hAnsi="Arial"/>
          <w:sz w:val="17"/>
          <w:szCs w:val="17"/>
          <w:color w:val="auto"/>
        </w:rPr>
        <w:t>.</w:t>
      </w:r>
    </w:p>
    <w:p>
      <w:pPr>
        <w:spacing w:after="0" w:line="4" w:lineRule="exact"/>
        <w:rPr>
          <w:sz w:val="20"/>
          <w:szCs w:val="20"/>
          <w:color w:val="auto"/>
        </w:rPr>
      </w:pPr>
    </w:p>
    <w:p>
      <w:pPr>
        <w:jc w:val="both"/>
        <w:ind w:firstLine="656"/>
        <w:spacing w:after="0" w:line="254" w:lineRule="auto"/>
        <w:tabs>
          <w:tab w:leader="none" w:pos="101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Restrictions on Transfer of Option. </w:t>
      </w:r>
      <w:r>
        <w:rPr>
          <w:rFonts w:ascii="Arial" w:cs="Arial" w:eastAsia="Arial" w:hAnsi="Arial"/>
          <w:sz w:val="18"/>
          <w:szCs w:val="18"/>
          <w:color w:val="auto"/>
        </w:rPr>
        <w:t>The Option granted hereby shall not be transferable other than by will or by the laws of descent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During the lifetime of the Grantee, this Option shall be exercisable only by the Grantee. In addition, except as otherwise provided in this Agreement, the Option shall not be assigned, negotiated, pledged or hypothecated in any way (whether by operation of law or otherwise), and the Option shall not be subject to execution, attachment or similar process. Upon any other attempt to transfer, assign, negotiate, pledge or hypothecate the Option, or in the event of any levy upon the option by reason of any execution, attachment, or similar process contrary to the provisions hereof, the Option shall immediately become null and void. Notwithstanding the foregoing provisions of this Section 4, subject to the approval of the Committee in its sole and absolute discretion and to any conditions that the Committee may prescribe, the Grantee may, upon providing written notice to the Company, elect to transfer the Option to members of his or her immediate family, including, but not limited to, children, grandchildren and spouse or to trusts for the benefit of such immediate 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145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9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6" w:lineRule="exact"/>
        <w:rPr>
          <w:sz w:val="20"/>
          <w:szCs w:val="20"/>
          <w:color w:val="auto"/>
        </w:rPr>
      </w:pPr>
    </w:p>
    <w:p>
      <w:pPr>
        <w:ind w:left="120" w:hanging="112"/>
        <w:spacing w:after="0"/>
        <w:tabs>
          <w:tab w:leader="none" w:pos="120" w:val="left"/>
        </w:tabs>
        <w:numPr>
          <w:ilvl w:val="0"/>
          <w:numId w:val="77"/>
        </w:numPr>
        <w:rPr>
          <w:rFonts w:ascii="Arial" w:cs="Arial" w:eastAsia="Arial" w:hAnsi="Arial"/>
          <w:sz w:val="23"/>
          <w:szCs w:val="23"/>
          <w:color w:val="auto"/>
          <w:vertAlign w:val="superscript"/>
        </w:rPr>
      </w:pPr>
      <w:r>
        <w:rPr>
          <w:rFonts w:ascii="Arial" w:cs="Arial" w:eastAsia="Arial" w:hAnsi="Arial"/>
          <w:sz w:val="18"/>
          <w:szCs w:val="18"/>
          <w:color w:val="auto"/>
        </w:rPr>
        <w:t>Not applicable to Option Agreements for George D. Yancopoulos, M.D., Ph.D.</w:t>
      </w:r>
    </w:p>
    <w:p>
      <w:pPr>
        <w:spacing w:after="0" w:line="1" w:lineRule="exact"/>
        <w:rPr>
          <w:rFonts w:ascii="Arial" w:cs="Arial" w:eastAsia="Arial" w:hAnsi="Arial"/>
          <w:sz w:val="23"/>
          <w:szCs w:val="23"/>
          <w:color w:val="auto"/>
          <w:vertAlign w:val="superscript"/>
        </w:rPr>
      </w:pPr>
    </w:p>
    <w:p>
      <w:pPr>
        <w:jc w:val="both"/>
        <w:ind w:right="5340"/>
        <w:spacing w:after="0" w:line="368" w:lineRule="auto"/>
        <w:rPr>
          <w:rFonts w:ascii="Arial" w:cs="Arial" w:eastAsia="Arial" w:hAnsi="Arial"/>
          <w:sz w:val="23"/>
          <w:szCs w:val="23"/>
          <w:color w:val="auto"/>
          <w:vertAlign w:val="superscript"/>
        </w:rPr>
      </w:pPr>
      <w:r>
        <w:rPr>
          <w:rFonts w:ascii="Arial" w:cs="Arial" w:eastAsia="Arial" w:hAnsi="Arial"/>
          <w:sz w:val="20"/>
          <w:szCs w:val="20"/>
          <w:color w:val="auto"/>
          <w:vertAlign w:val="superscript"/>
        </w:rPr>
        <w:t>7</w:t>
      </w:r>
      <w:r>
        <w:rPr>
          <w:rFonts w:ascii="Arial" w:cs="Arial" w:eastAsia="Arial" w:hAnsi="Arial"/>
          <w:sz w:val="16"/>
          <w:szCs w:val="16"/>
          <w:color w:val="auto"/>
        </w:rPr>
        <w:t xml:space="preserve"> Only applicable to Option Agreements for George D. Yancopoulos, M.D., Ph.D. </w:t>
      </w:r>
      <w:r>
        <w:rPr>
          <w:rFonts w:ascii="Arial" w:cs="Arial" w:eastAsia="Arial" w:hAnsi="Arial"/>
          <w:sz w:val="20"/>
          <w:szCs w:val="20"/>
          <w:color w:val="auto"/>
          <w:vertAlign w:val="superscript"/>
        </w:rPr>
        <w:t>8</w:t>
      </w:r>
      <w:r>
        <w:rPr>
          <w:rFonts w:ascii="Arial" w:cs="Arial" w:eastAsia="Arial" w:hAnsi="Arial"/>
          <w:sz w:val="16"/>
          <w:szCs w:val="16"/>
          <w:color w:val="auto"/>
        </w:rPr>
        <w:t xml:space="preserve"> Only applicable to Option Agreements for George D. Yancopoulos, M.D., Ph.D.</w:t>
      </w:r>
    </w:p>
    <w:p>
      <w:pPr>
        <w:sectPr>
          <w:pgSz w:w="11900" w:h="16838" w:orient="portrait"/>
          <w:cols w:equalWidth="0" w:num="1">
            <w:col w:w="11240"/>
          </w:cols>
          <w:pgMar w:left="320" w:top="768" w:right="339" w:bottom="1440" w:gutter="0" w:footer="0" w:header="0"/>
        </w:sectPr>
      </w:pPr>
    </w:p>
    <w:bookmarkStart w:id="153" w:name="page154"/>
    <w:bookmarkEnd w:id="153"/>
    <w:p>
      <w:pPr>
        <w:spacing w:after="0" w:line="277" w:lineRule="auto"/>
        <w:rPr>
          <w:sz w:val="20"/>
          <w:szCs w:val="20"/>
          <w:color w:val="auto"/>
        </w:rPr>
      </w:pPr>
      <w:r>
        <w:rPr>
          <w:rFonts w:ascii="Arial" w:cs="Arial" w:eastAsia="Arial" w:hAnsi="Arial"/>
          <w:sz w:val="18"/>
          <w:szCs w:val="18"/>
          <w:color w:val="auto"/>
        </w:rPr>
        <w:t xml:space="preserve">members or to partnerships in which such family members are the only partners;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transfer may be made in exchange for consideration.</w:t>
      </w:r>
    </w:p>
    <w:p>
      <w:pPr>
        <w:spacing w:after="0" w:line="58" w:lineRule="exact"/>
        <w:rPr>
          <w:sz w:val="20"/>
          <w:szCs w:val="20"/>
          <w:color w:val="auto"/>
        </w:rPr>
      </w:pPr>
    </w:p>
    <w:p>
      <w:pPr>
        <w:jc w:val="both"/>
        <w:ind w:firstLine="656"/>
        <w:spacing w:after="0" w:line="255" w:lineRule="auto"/>
        <w:tabs>
          <w:tab w:leader="none" w:pos="1032"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Rights of a Shareholder. </w:t>
      </w:r>
      <w:r>
        <w:rPr>
          <w:rFonts w:ascii="Arial" w:cs="Arial" w:eastAsia="Arial" w:hAnsi="Arial"/>
          <w:sz w:val="18"/>
          <w:szCs w:val="18"/>
          <w:color w:val="auto"/>
        </w:rPr>
        <w:t>The Grantee shall have no rights as a shareholder with respect to any shares of Common Stock subject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Option prior to the date of issuance to the Grantee of a certificate or certificates or book-entry registration or registrations for such shares. Except as provided in Section 3(c) of the Plan, no adjustment shall be made for dividends in cash or other property, distributions, or other rights with respect to such shares for which the record date is prior to the date upon which the Grantee shall become the holder of record therefor. The Company may, in its sole discretion, determine to deliver any documents related to participation in the Plan or deliverable to the Grantee in the Grantee’s capacity as a shareholder of the Company by electronic means. The Grantee hereby consents to receive any and all such documents by electronic delivery to the extent the Company utilizes such delivery method from time to time.</w:t>
      </w:r>
    </w:p>
    <w:p>
      <w:pPr>
        <w:spacing w:after="0" w:line="80" w:lineRule="exact"/>
        <w:rPr>
          <w:rFonts w:ascii="Arial" w:cs="Arial" w:eastAsia="Arial" w:hAnsi="Arial"/>
          <w:sz w:val="18"/>
          <w:szCs w:val="18"/>
          <w:b w:val="1"/>
          <w:bCs w:val="1"/>
          <w:color w:val="auto"/>
        </w:rPr>
      </w:pPr>
    </w:p>
    <w:p>
      <w:pPr>
        <w:jc w:val="both"/>
        <w:ind w:firstLine="656"/>
        <w:spacing w:after="0" w:line="288" w:lineRule="auto"/>
        <w:tabs>
          <w:tab w:leader="none" w:pos="1057" w:val="left"/>
        </w:tabs>
        <w:numPr>
          <w:ilvl w:val="0"/>
          <w:numId w:val="7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Law and Regulations. </w:t>
      </w:r>
      <w:r>
        <w:rPr>
          <w:rFonts w:ascii="Arial" w:cs="Arial" w:eastAsia="Arial" w:hAnsi="Arial"/>
          <w:sz w:val="16"/>
          <w:szCs w:val="16"/>
          <w:color w:val="auto"/>
        </w:rPr>
        <w:t>This Agreement, the award hereunder and any obligation of the Company hereunder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all applicable federal, state and local laws, rules and regulations and to such approvals by any government or regulatory agency as may be required. The Company shall be under no obligation to effect the registration pursuant to federal securities laws of any interests in the Plan or any shares of Common Stock to be issued hereunder or to effect similar compliance under any state laws. The Company shall not be obligated to cause to be issued or delivered any certificates or register book entries evidencing shares of Common Stock pursuant to this Agreement unless and until the Company is advised by its counsel that the issuance and delivery of such certificates or the registration of such book entries is in compliance with all applicable laws, regulations of governmental authority and the requirements of any securities exchange on which shares of Common Stock are traded. The Committee may require, as a condition of the issuance and delivery of certificates or the registration of book entries evidencing shares of Common Stock pursuant to the terms hereof, that the recipient of such shares make such agreements and representations, and that such certificates and book entries bear or be subject to such legends, as the Committee, in its sole discretion, deems necessary or desirable. Except to the extent preempted by any applicable federal law, this Agreement shall be construed and administered in accordance with the laws of the State of New York without reference to its principles of conflicts of law.</w:t>
      </w:r>
    </w:p>
    <w:p>
      <w:pPr>
        <w:spacing w:after="0" w:line="55" w:lineRule="exact"/>
        <w:rPr>
          <w:rFonts w:ascii="Arial" w:cs="Arial" w:eastAsia="Arial" w:hAnsi="Arial"/>
          <w:sz w:val="16"/>
          <w:szCs w:val="16"/>
          <w:b w:val="1"/>
          <w:bCs w:val="1"/>
          <w:color w:val="auto"/>
        </w:rPr>
      </w:pPr>
    </w:p>
    <w:p>
      <w:pPr>
        <w:jc w:val="both"/>
        <w:ind w:firstLine="656"/>
        <w:spacing w:after="0" w:line="289" w:lineRule="auto"/>
        <w:tabs>
          <w:tab w:leader="none" w:pos="1009" w:val="left"/>
        </w:tabs>
        <w:numPr>
          <w:ilvl w:val="0"/>
          <w:numId w:val="7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Grantee Bound by Plan. </w:t>
      </w:r>
      <w:r>
        <w:rPr>
          <w:rFonts w:ascii="Arial" w:cs="Arial" w:eastAsia="Arial" w:hAnsi="Arial"/>
          <w:sz w:val="17"/>
          <w:szCs w:val="17"/>
          <w:color w:val="auto"/>
        </w:rPr>
        <w:t>The Grantee acknowledges receipt of a copy of the Plan and agrees to be bound by all the terms and provisions</w:t>
      </w:r>
      <w:r>
        <w:rPr>
          <w:rFonts w:ascii="Arial" w:cs="Arial" w:eastAsia="Arial" w:hAnsi="Arial"/>
          <w:sz w:val="17"/>
          <w:szCs w:val="17"/>
          <w:b w:val="1"/>
          <w:bCs w:val="1"/>
          <w:color w:val="auto"/>
        </w:rPr>
        <w:t xml:space="preserve"> </w:t>
      </w:r>
      <w:r>
        <w:rPr>
          <w:rFonts w:ascii="Arial" w:cs="Arial" w:eastAsia="Arial" w:hAnsi="Arial"/>
          <w:sz w:val="17"/>
          <w:szCs w:val="17"/>
          <w:color w:val="auto"/>
        </w:rPr>
        <w:t>thereof, which are incorporated herein by reference. To the extent that this Agreement is silent with respect to, or in any way inconsistent with, the terms of the Plan, the provisions of the Plan shall govern and this Agreement shall be deemed to be modified accordingly.</w:t>
      </w:r>
    </w:p>
    <w:p>
      <w:pPr>
        <w:spacing w:after="0" w:line="49" w:lineRule="exact"/>
        <w:rPr>
          <w:rFonts w:ascii="Arial" w:cs="Arial" w:eastAsia="Arial" w:hAnsi="Arial"/>
          <w:sz w:val="17"/>
          <w:szCs w:val="17"/>
          <w:b w:val="1"/>
          <w:bCs w:val="1"/>
          <w:color w:val="auto"/>
        </w:rPr>
      </w:pPr>
    </w:p>
    <w:p>
      <w:pPr>
        <w:jc w:val="both"/>
        <w:ind w:firstLine="656"/>
        <w:spacing w:after="0" w:line="258" w:lineRule="auto"/>
        <w:tabs>
          <w:tab w:leader="none" w:pos="976"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 or communication given hereunder shall be in writing and shall be deemed given when delivered in person, or by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mail, at the following addresses: (i) if to the Employer, to: Regeneron Pharmaceuticals, Inc., 777 Old Saw Mill River Road, Tarrytown, NY 10591, Attention: Secretary, and (ii) if to the Grantee, to: the Grantee at Regeneron Pharmaceuticals, Inc., 777 Old Saw Mill River Road, Tarrytown, NY 10591, or, if the Grantee has terminated employment, to the last address for the Grantee indicated in the records of the Employer, or such other address as the relevant party shall specify at any time hereafter in accordance with this Section 8.</w:t>
      </w:r>
    </w:p>
    <w:p>
      <w:pPr>
        <w:spacing w:after="0" w:line="75" w:lineRule="exact"/>
        <w:rPr>
          <w:rFonts w:ascii="Arial" w:cs="Arial" w:eastAsia="Arial" w:hAnsi="Arial"/>
          <w:sz w:val="18"/>
          <w:szCs w:val="18"/>
          <w:b w:val="1"/>
          <w:bCs w:val="1"/>
          <w:color w:val="auto"/>
        </w:rPr>
      </w:pPr>
    </w:p>
    <w:p>
      <w:pPr>
        <w:ind w:firstLine="656"/>
        <w:spacing w:after="0" w:line="282" w:lineRule="auto"/>
        <w:tabs>
          <w:tab w:leader="none" w:pos="103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Obligation to Continue Employment. </w:t>
      </w:r>
      <w:r>
        <w:rPr>
          <w:rFonts w:ascii="Arial" w:cs="Arial" w:eastAsia="Arial" w:hAnsi="Arial"/>
          <w:sz w:val="18"/>
          <w:szCs w:val="18"/>
          <w:color w:val="auto"/>
        </w:rPr>
        <w:t>This Agreement does not guarantee that the Employer will employ the Grantee for any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time period, nor does it modify in any respect the Grantee’s employment or compensation.</w:t>
      </w:r>
    </w:p>
    <w:p>
      <w:pPr>
        <w:spacing w:after="0" w:line="53" w:lineRule="exact"/>
        <w:rPr>
          <w:rFonts w:ascii="Arial" w:cs="Arial" w:eastAsia="Arial" w:hAnsi="Arial"/>
          <w:sz w:val="18"/>
          <w:szCs w:val="18"/>
          <w:b w:val="1"/>
          <w:bCs w:val="1"/>
          <w:color w:val="auto"/>
        </w:rPr>
      </w:pPr>
    </w:p>
    <w:p>
      <w:pPr>
        <w:jc w:val="both"/>
        <w:ind w:firstLine="575"/>
        <w:spacing w:after="0" w:line="261" w:lineRule="auto"/>
        <w:tabs>
          <w:tab w:leader="none" w:pos="1125"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Recoupment. </w:t>
      </w:r>
      <w:r>
        <w:rPr>
          <w:rFonts w:ascii="Arial" w:cs="Arial" w:eastAsia="Arial" w:hAnsi="Arial"/>
          <w:sz w:val="18"/>
          <w:szCs w:val="18"/>
          <w:color w:val="auto"/>
        </w:rPr>
        <w:t>By entering into this Agreement and accepting the award hereunder, the Grantee agrees to be bound by the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Policy Regarding Recoupment or Reduction of Incentive Compensation for Compliance Violations, as in effect from time to time (or any successor policy thereto) (the “</w:t>
      </w:r>
      <w:r>
        <w:rPr>
          <w:rFonts w:ascii="Arial" w:cs="Arial" w:eastAsia="Arial" w:hAnsi="Arial"/>
          <w:sz w:val="18"/>
          <w:szCs w:val="18"/>
          <w:u w:val="single" w:color="auto"/>
          <w:color w:val="auto"/>
        </w:rPr>
        <w:t>Recoupment Policy</w:t>
      </w:r>
      <w:r>
        <w:rPr>
          <w:rFonts w:ascii="Arial" w:cs="Arial" w:eastAsia="Arial" w:hAnsi="Arial"/>
          <w:sz w:val="18"/>
          <w:szCs w:val="18"/>
          <w:color w:val="auto"/>
        </w:rPr>
        <w:t>”), and further acknowledges and agrees that the Recoupment Policy shall apply to the Option and any shares of Common Stock issued pursuant thereto.</w:t>
      </w:r>
    </w:p>
    <w:p>
      <w:pPr>
        <w:sectPr>
          <w:pgSz w:w="11900" w:h="16838" w:orient="portrait"/>
          <w:cols w:equalWidth="0" w:num="1">
            <w:col w:w="11240"/>
          </w:cols>
          <w:pgMar w:left="320" w:top="881"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color w:val="auto"/>
        </w:rPr>
        <w:t>Exhibit 10.3.2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6926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93">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3420" w:type="dxa"/>
            <w:vAlign w:val="bottom"/>
            <w:gridSpan w:val="2"/>
          </w:tcPr>
          <w:p>
            <w:pPr>
              <w:ind w:left="540"/>
              <w:spacing w:after="0"/>
              <w:rPr>
                <w:sz w:val="20"/>
                <w:szCs w:val="20"/>
                <w:color w:val="auto"/>
              </w:rPr>
            </w:pPr>
            <w:r>
              <w:rPr>
                <w:rFonts w:ascii="Arial" w:cs="Arial" w:eastAsia="Arial" w:hAnsi="Arial"/>
                <w:sz w:val="18"/>
                <w:szCs w:val="18"/>
                <w:b w:val="1"/>
                <w:bCs w:val="1"/>
                <w:color w:val="auto"/>
              </w:rPr>
              <w:t>Regeneron Pharmaceuticals, Inc.</w:t>
            </w:r>
          </w:p>
        </w:tc>
        <w:tc>
          <w:tcPr>
            <w:tcW w:w="72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310"/>
        </w:trPr>
        <w:tc>
          <w:tcPr>
            <w:tcW w:w="4160" w:type="dxa"/>
            <w:vAlign w:val="bottom"/>
          </w:tcPr>
          <w:p>
            <w:pPr>
              <w:spacing w:after="0"/>
              <w:rPr>
                <w:sz w:val="24"/>
                <w:szCs w:val="24"/>
                <w:color w:val="auto"/>
              </w:rPr>
            </w:pPr>
          </w:p>
        </w:tc>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 xml:space="preserve">ID: </w:t>
            </w:r>
            <w:r>
              <w:rPr>
                <w:rFonts w:ascii="Arial" w:cs="Arial" w:eastAsia="Arial" w:hAnsi="Arial"/>
                <w:sz w:val="18"/>
                <w:szCs w:val="18"/>
                <w:color w:val="auto"/>
              </w:rPr>
              <w:t>[</w:t>
            </w:r>
          </w:p>
        </w:tc>
        <w:tc>
          <w:tcPr>
            <w:tcW w:w="2200" w:type="dxa"/>
            <w:vAlign w:val="bottom"/>
          </w:tcPr>
          <w:p>
            <w:pPr>
              <w:jc w:val="right"/>
              <w:ind w:right="177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11"/>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Notice of Grant of Stock Options</w:t>
            </w:r>
          </w:p>
        </w:tc>
        <w:tc>
          <w:tcPr>
            <w:tcW w:w="3420" w:type="dxa"/>
            <w:vAlign w:val="bottom"/>
            <w:gridSpan w:val="2"/>
          </w:tcPr>
          <w:p>
            <w:pPr>
              <w:ind w:left="540"/>
              <w:spacing w:after="0"/>
              <w:rPr>
                <w:sz w:val="20"/>
                <w:szCs w:val="20"/>
                <w:color w:val="auto"/>
              </w:rPr>
            </w:pPr>
            <w:r>
              <w:rPr>
                <w:rFonts w:ascii="Arial" w:cs="Arial" w:eastAsia="Arial" w:hAnsi="Arial"/>
                <w:sz w:val="18"/>
                <w:szCs w:val="18"/>
                <w:color w:val="auto"/>
              </w:rPr>
              <w:t>777 Old Saw Mill River Road</w:t>
            </w:r>
          </w:p>
        </w:tc>
        <w:tc>
          <w:tcPr>
            <w:tcW w:w="72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11"/>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and Option Agreement for Time-Based Vesting</w:t>
            </w:r>
          </w:p>
        </w:tc>
        <w:tc>
          <w:tcPr>
            <w:tcW w:w="3420" w:type="dxa"/>
            <w:vAlign w:val="bottom"/>
            <w:gridSpan w:val="2"/>
          </w:tcPr>
          <w:p>
            <w:pPr>
              <w:ind w:left="540"/>
              <w:spacing w:after="0"/>
              <w:rPr>
                <w:sz w:val="20"/>
                <w:szCs w:val="20"/>
                <w:color w:val="auto"/>
              </w:rPr>
            </w:pPr>
            <w:r>
              <w:rPr>
                <w:rFonts w:ascii="Arial" w:cs="Arial" w:eastAsia="Arial" w:hAnsi="Arial"/>
                <w:sz w:val="18"/>
                <w:szCs w:val="18"/>
                <w:color w:val="auto"/>
              </w:rPr>
              <w:t>Tarrytown, New York 10591</w:t>
            </w:r>
          </w:p>
        </w:tc>
        <w:tc>
          <w:tcPr>
            <w:tcW w:w="72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10"/>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Option Awards</w:t>
            </w:r>
          </w:p>
        </w:tc>
        <w:tc>
          <w:tcPr>
            <w:tcW w:w="12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38"/>
        </w:trPr>
        <w:tc>
          <w:tcPr>
            <w:tcW w:w="41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2"/>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r>
      <w:tr>
        <w:trPr>
          <w:trHeight w:val="598"/>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[OPTIONEE NAME]</w:t>
            </w:r>
          </w:p>
        </w:tc>
        <w:tc>
          <w:tcPr>
            <w:tcW w:w="3420" w:type="dxa"/>
            <w:vAlign w:val="bottom"/>
            <w:gridSpan w:val="2"/>
          </w:tcPr>
          <w:p>
            <w:pPr>
              <w:ind w:left="540"/>
              <w:spacing w:after="0"/>
              <w:rPr>
                <w:sz w:val="20"/>
                <w:szCs w:val="20"/>
                <w:color w:val="auto"/>
              </w:rPr>
            </w:pPr>
            <w:r>
              <w:rPr>
                <w:rFonts w:ascii="Arial" w:cs="Arial" w:eastAsia="Arial" w:hAnsi="Arial"/>
                <w:sz w:val="18"/>
                <w:szCs w:val="18"/>
                <w:b w:val="1"/>
                <w:bCs w:val="1"/>
                <w:color w:val="auto"/>
              </w:rPr>
              <w:t>Option Number:</w:t>
            </w:r>
          </w:p>
        </w:tc>
        <w:tc>
          <w:tcPr>
            <w:tcW w:w="720" w:type="dxa"/>
            <w:vAlign w:val="bottom"/>
          </w:tcPr>
          <w:p>
            <w:pPr>
              <w:jc w:val="right"/>
              <w:ind w:right="192"/>
              <w:spacing w:after="0"/>
              <w:rPr>
                <w:sz w:val="20"/>
                <w:szCs w:val="20"/>
                <w:color w:val="auto"/>
              </w:rPr>
            </w:pPr>
            <w:r>
              <w:rPr>
                <w:rFonts w:ascii="Arial" w:cs="Arial" w:eastAsia="Arial" w:hAnsi="Arial"/>
                <w:sz w:val="22"/>
                <w:szCs w:val="22"/>
                <w:b w:val="1"/>
                <w:bCs w:val="1"/>
                <w:color w:val="auto"/>
              </w:rPr>
              <w:t>[</w:t>
            </w:r>
          </w:p>
        </w:tc>
        <w:tc>
          <w:tcPr>
            <w:tcW w:w="2620" w:type="dxa"/>
            <w:vAlign w:val="bottom"/>
          </w:tcPr>
          <w:p>
            <w:pPr>
              <w:jc w:val="right"/>
              <w:ind w:right="2152"/>
              <w:spacing w:after="0"/>
              <w:rPr>
                <w:sz w:val="20"/>
                <w:szCs w:val="20"/>
                <w:color w:val="auto"/>
              </w:rPr>
            </w:pPr>
            <w:r>
              <w:rPr>
                <w:rFonts w:ascii="Arial" w:cs="Arial" w:eastAsia="Arial" w:hAnsi="Arial"/>
                <w:sz w:val="22"/>
                <w:szCs w:val="22"/>
                <w:b w:val="1"/>
                <w:bCs w:val="1"/>
                <w:color w:val="auto"/>
              </w:rPr>
              <w:t>]</w:t>
            </w:r>
          </w:p>
        </w:tc>
      </w:tr>
      <w:tr>
        <w:trPr>
          <w:trHeight w:val="311"/>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[OPTIONEE ADDRESS]</w:t>
            </w:r>
          </w:p>
        </w:tc>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Plan:</w:t>
            </w:r>
          </w:p>
        </w:tc>
        <w:tc>
          <w:tcPr>
            <w:tcW w:w="2200" w:type="dxa"/>
            <w:vAlign w:val="bottom"/>
          </w:tcPr>
          <w:p>
            <w:pPr>
              <w:spacing w:after="0"/>
              <w:rPr>
                <w:sz w:val="24"/>
                <w:szCs w:val="24"/>
                <w:color w:val="auto"/>
              </w:rPr>
            </w:pPr>
          </w:p>
        </w:tc>
        <w:tc>
          <w:tcPr>
            <w:tcW w:w="720" w:type="dxa"/>
            <w:vAlign w:val="bottom"/>
          </w:tcPr>
          <w:p>
            <w:pPr>
              <w:jc w:val="right"/>
              <w:ind w:right="192"/>
              <w:spacing w:after="0"/>
              <w:rPr>
                <w:sz w:val="20"/>
                <w:szCs w:val="20"/>
                <w:color w:val="auto"/>
              </w:rPr>
            </w:pPr>
            <w:r>
              <w:rPr>
                <w:rFonts w:ascii="Arial" w:cs="Arial" w:eastAsia="Arial" w:hAnsi="Arial"/>
                <w:sz w:val="22"/>
                <w:szCs w:val="22"/>
                <w:b w:val="1"/>
                <w:bCs w:val="1"/>
                <w:color w:val="auto"/>
              </w:rPr>
              <w:t>[</w:t>
            </w:r>
          </w:p>
        </w:tc>
        <w:tc>
          <w:tcPr>
            <w:tcW w:w="2620" w:type="dxa"/>
            <w:vAlign w:val="bottom"/>
          </w:tcPr>
          <w:p>
            <w:pPr>
              <w:jc w:val="right"/>
              <w:ind w:right="2152"/>
              <w:spacing w:after="0"/>
              <w:rPr>
                <w:sz w:val="20"/>
                <w:szCs w:val="20"/>
                <w:color w:val="auto"/>
              </w:rPr>
            </w:pPr>
            <w:r>
              <w:rPr>
                <w:rFonts w:ascii="Arial" w:cs="Arial" w:eastAsia="Arial" w:hAnsi="Arial"/>
                <w:sz w:val="22"/>
                <w:szCs w:val="22"/>
                <w:b w:val="1"/>
                <w:bCs w:val="1"/>
                <w:color w:val="auto"/>
              </w:rPr>
              <w:t>]</w:t>
            </w:r>
          </w:p>
        </w:tc>
      </w:tr>
      <w:tr>
        <w:trPr>
          <w:trHeight w:val="310"/>
        </w:trPr>
        <w:tc>
          <w:tcPr>
            <w:tcW w:w="4160" w:type="dxa"/>
            <w:vAlign w:val="bottom"/>
          </w:tcPr>
          <w:p>
            <w:pPr>
              <w:spacing w:after="0"/>
              <w:rPr>
                <w:sz w:val="24"/>
                <w:szCs w:val="24"/>
                <w:color w:val="auto"/>
              </w:rPr>
            </w:pPr>
          </w:p>
        </w:tc>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ID:</w:t>
            </w:r>
          </w:p>
        </w:tc>
        <w:tc>
          <w:tcPr>
            <w:tcW w:w="2200" w:type="dxa"/>
            <w:vAlign w:val="bottom"/>
          </w:tcPr>
          <w:p>
            <w:pPr>
              <w:spacing w:after="0"/>
              <w:rPr>
                <w:sz w:val="24"/>
                <w:szCs w:val="24"/>
                <w:color w:val="auto"/>
              </w:rPr>
            </w:pPr>
          </w:p>
        </w:tc>
        <w:tc>
          <w:tcPr>
            <w:tcW w:w="720" w:type="dxa"/>
            <w:vAlign w:val="bottom"/>
          </w:tcPr>
          <w:p>
            <w:pPr>
              <w:jc w:val="right"/>
              <w:ind w:right="192"/>
              <w:spacing w:after="0"/>
              <w:rPr>
                <w:sz w:val="20"/>
                <w:szCs w:val="20"/>
                <w:color w:val="auto"/>
              </w:rPr>
            </w:pPr>
            <w:r>
              <w:rPr>
                <w:rFonts w:ascii="Arial" w:cs="Arial" w:eastAsia="Arial" w:hAnsi="Arial"/>
                <w:sz w:val="22"/>
                <w:szCs w:val="22"/>
                <w:b w:val="1"/>
                <w:bCs w:val="1"/>
                <w:color w:val="auto"/>
              </w:rPr>
              <w:t>[</w:t>
            </w:r>
          </w:p>
        </w:tc>
        <w:tc>
          <w:tcPr>
            <w:tcW w:w="2620" w:type="dxa"/>
            <w:vAlign w:val="bottom"/>
          </w:tcPr>
          <w:p>
            <w:pPr>
              <w:jc w:val="right"/>
              <w:ind w:right="2152"/>
              <w:spacing w:after="0"/>
              <w:rPr>
                <w:sz w:val="20"/>
                <w:szCs w:val="20"/>
                <w:color w:val="auto"/>
              </w:rPr>
            </w:pPr>
            <w:r>
              <w:rPr>
                <w:rFonts w:ascii="Arial" w:cs="Arial" w:eastAsia="Arial" w:hAnsi="Arial"/>
                <w:sz w:val="22"/>
                <w:szCs w:val="22"/>
                <w:b w:val="1"/>
                <w:bCs w:val="1"/>
                <w:color w:val="auto"/>
              </w:rPr>
              <w:t>]</w:t>
            </w:r>
          </w:p>
        </w:tc>
      </w:tr>
      <w:tr>
        <w:trPr>
          <w:trHeight w:val="328"/>
        </w:trPr>
        <w:tc>
          <w:tcPr>
            <w:tcW w:w="4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72" w:lineRule="exact"/>
        <w:rPr>
          <w:sz w:val="20"/>
          <w:szCs w:val="20"/>
          <w:color w:val="auto"/>
        </w:rPr>
      </w:pPr>
    </w:p>
    <w:p>
      <w:pPr>
        <w:ind w:right="900"/>
        <w:spacing w:after="0" w:line="324" w:lineRule="auto"/>
        <w:rPr>
          <w:sz w:val="20"/>
          <w:szCs w:val="20"/>
          <w:color w:val="auto"/>
        </w:rPr>
      </w:pPr>
      <w:r>
        <w:rPr>
          <w:rFonts w:ascii="Arial" w:cs="Arial" w:eastAsia="Arial" w:hAnsi="Arial"/>
          <w:sz w:val="18"/>
          <w:szCs w:val="18"/>
          <w:color w:val="auto"/>
        </w:rPr>
        <w:t>Effective &lt;date&gt; (the “Grant Date”) you have been granted a Non-Qualified Option to buy [ ] shares of Regeneron Pharmaceuticals, Inc. (the “Company”) stock at $[ ] per share.</w:t>
      </w:r>
    </w:p>
    <w:p>
      <w:pPr>
        <w:spacing w:after="0" w:line="35" w:lineRule="exact"/>
        <w:rPr>
          <w:sz w:val="20"/>
          <w:szCs w:val="20"/>
          <w:color w:val="auto"/>
        </w:rPr>
      </w:pPr>
    </w:p>
    <w:p>
      <w:pPr>
        <w:spacing w:after="0"/>
        <w:tabs>
          <w:tab w:leader="none" w:pos="3660" w:val="left"/>
        </w:tabs>
        <w:rPr>
          <w:sz w:val="20"/>
          <w:szCs w:val="20"/>
          <w:color w:val="auto"/>
        </w:rPr>
      </w:pPr>
      <w:r>
        <w:rPr>
          <w:rFonts w:ascii="Arial" w:cs="Arial" w:eastAsia="Arial" w:hAnsi="Arial"/>
          <w:sz w:val="17"/>
          <w:szCs w:val="17"/>
          <w:color w:val="auto"/>
        </w:rPr>
        <w:t>The total option price of the shares granted is $[</w:t>
        <w:tab/>
        <w: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Shares in each period will become fully vested on the date shown.</w:t>
      </w:r>
    </w:p>
    <w:p>
      <w:pPr>
        <w:spacing w:after="0" w:line="194"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2520" w:type="dxa"/>
            <w:vAlign w:val="bottom"/>
            <w:gridSpan w:val="2"/>
          </w:tcPr>
          <w:p>
            <w:pPr>
              <w:spacing w:after="0"/>
              <w:rPr>
                <w:sz w:val="20"/>
                <w:szCs w:val="20"/>
                <w:color w:val="auto"/>
              </w:rPr>
            </w:pPr>
            <w:r>
              <w:rPr>
                <w:rFonts w:ascii="Arial" w:cs="Arial" w:eastAsia="Arial" w:hAnsi="Arial"/>
                <w:sz w:val="18"/>
                <w:szCs w:val="18"/>
                <w:b w:val="1"/>
                <w:bCs w:val="1"/>
                <w:color w:val="auto"/>
              </w:rPr>
              <w:t>Shares</w:t>
            </w:r>
          </w:p>
        </w:tc>
        <w:tc>
          <w:tcPr>
            <w:tcW w:w="760" w:type="dxa"/>
            <w:vAlign w:val="bottom"/>
          </w:tcPr>
          <w:p>
            <w:pPr>
              <w:spacing w:after="0"/>
              <w:rPr>
                <w:sz w:val="20"/>
                <w:szCs w:val="20"/>
                <w:color w:val="auto"/>
              </w:rPr>
            </w:pPr>
          </w:p>
        </w:tc>
        <w:tc>
          <w:tcPr>
            <w:tcW w:w="1800" w:type="dxa"/>
            <w:vAlign w:val="bottom"/>
            <w:gridSpan w:val="2"/>
          </w:tcPr>
          <w:p>
            <w:pPr>
              <w:jc w:val="center"/>
              <w:ind w:right="1060"/>
              <w:spacing w:after="0"/>
              <w:rPr>
                <w:sz w:val="20"/>
                <w:szCs w:val="20"/>
                <w:color w:val="auto"/>
              </w:rPr>
            </w:pPr>
            <w:r>
              <w:rPr>
                <w:rFonts w:ascii="Arial" w:cs="Arial" w:eastAsia="Arial" w:hAnsi="Arial"/>
                <w:sz w:val="18"/>
                <w:szCs w:val="18"/>
                <w:b w:val="1"/>
                <w:bCs w:val="1"/>
                <w:color w:val="auto"/>
                <w:w w:val="86"/>
              </w:rPr>
              <w:t>Vest Type</w:t>
            </w:r>
          </w:p>
        </w:tc>
        <w:tc>
          <w:tcPr>
            <w:tcW w:w="2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Full Vest</w:t>
            </w:r>
          </w:p>
        </w:tc>
        <w:tc>
          <w:tcPr>
            <w:tcW w:w="3000" w:type="dxa"/>
            <w:vAlign w:val="bottom"/>
          </w:tcPr>
          <w:p>
            <w:pPr>
              <w:jc w:val="center"/>
              <w:spacing w:after="0"/>
              <w:rPr>
                <w:sz w:val="20"/>
                <w:szCs w:val="20"/>
                <w:color w:val="auto"/>
              </w:rPr>
            </w:pPr>
            <w:r>
              <w:rPr>
                <w:rFonts w:ascii="Arial" w:cs="Arial" w:eastAsia="Arial" w:hAnsi="Arial"/>
                <w:sz w:val="18"/>
                <w:szCs w:val="18"/>
                <w:b w:val="1"/>
                <w:bCs w:val="1"/>
                <w:color w:val="auto"/>
                <w:w w:val="92"/>
              </w:rPr>
              <w:t>Expiration Date</w:t>
            </w:r>
          </w:p>
        </w:tc>
      </w:tr>
      <w:tr>
        <w:trPr>
          <w:trHeight w:val="27"/>
        </w:trPr>
        <w:tc>
          <w:tcPr>
            <w:tcW w:w="2300" w:type="dxa"/>
            <w:vAlign w:val="bottom"/>
            <w:tcBorders>
              <w:bottom w:val="single" w:sz="8" w:color="auto"/>
            </w:tcBorders>
          </w:tcPr>
          <w:p>
            <w:pPr>
              <w:spacing w:after="0"/>
              <w:rPr>
                <w:sz w:val="2"/>
                <w:szCs w:val="2"/>
                <w:color w:val="auto"/>
              </w:rPr>
            </w:pPr>
          </w:p>
        </w:tc>
        <w:tc>
          <w:tcPr>
            <w:tcW w:w="220" w:type="dxa"/>
            <w:vAlign w:val="bottom"/>
            <w:tcBorders>
              <w:bottom w:val="single" w:sz="8" w:color="C0C0C0"/>
            </w:tcBorders>
          </w:tcPr>
          <w:p>
            <w:pPr>
              <w:spacing w:after="0"/>
              <w:rPr>
                <w:sz w:val="2"/>
                <w:szCs w:val="2"/>
                <w:color w:val="auto"/>
              </w:rPr>
            </w:pPr>
          </w:p>
        </w:tc>
        <w:tc>
          <w:tcPr>
            <w:tcW w:w="2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C0C0C0"/>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220" w:type="dxa"/>
            <w:vAlign w:val="bottom"/>
            <w:tcBorders>
              <w:bottom w:val="single" w:sz="8" w:color="C0C0C0"/>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r>
      <w:tr>
        <w:trPr>
          <w:trHeight w:val="284"/>
        </w:trPr>
        <w:tc>
          <w:tcPr>
            <w:tcW w:w="23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0C0C0"/>
            </w:tcBorders>
            <w:shd w:val="clear" w:color="auto" w:fill="C0C0C0"/>
          </w:tcPr>
          <w:p>
            <w:pPr>
              <w:spacing w:after="0"/>
              <w:rPr>
                <w:sz w:val="24"/>
                <w:szCs w:val="24"/>
                <w:color w:val="auto"/>
              </w:rPr>
            </w:pPr>
          </w:p>
        </w:tc>
        <w:tc>
          <w:tcPr>
            <w:tcW w:w="2560" w:type="dxa"/>
            <w:vAlign w:val="bottom"/>
            <w:tcBorders>
              <w:bottom w:val="single" w:sz="8" w:color="C0C0C0"/>
            </w:tcBorders>
            <w:gridSpan w:val="3"/>
            <w:shd w:val="clear" w:color="auto" w:fill="C0C0C0"/>
          </w:tcPr>
          <w:p>
            <w:pPr>
              <w:jc w:val="center"/>
              <w:ind w:right="280"/>
              <w:spacing w:after="0"/>
              <w:rPr>
                <w:sz w:val="20"/>
                <w:szCs w:val="20"/>
                <w:color w:val="auto"/>
              </w:rPr>
            </w:pPr>
            <w:r>
              <w:rPr>
                <w:rFonts w:ascii="Arial" w:cs="Arial" w:eastAsia="Arial" w:hAnsi="Arial"/>
                <w:sz w:val="18"/>
                <w:szCs w:val="18"/>
                <w:color w:val="auto"/>
                <w:w w:val="88"/>
              </w:rPr>
              <w:t>On Vest Date</w:t>
            </w:r>
          </w:p>
        </w:tc>
        <w:tc>
          <w:tcPr>
            <w:tcW w:w="2320" w:type="dxa"/>
            <w:vAlign w:val="bottom"/>
            <w:tcBorders>
              <w:bottom w:val="single" w:sz="8" w:color="C0C0C0"/>
            </w:tcBorders>
            <w:shd w:val="clear" w:color="auto" w:fill="C0C0C0"/>
          </w:tcPr>
          <w:p>
            <w:pPr>
              <w:jc w:val="center"/>
              <w:spacing w:after="0"/>
              <w:rPr>
                <w:sz w:val="20"/>
                <w:szCs w:val="20"/>
                <w:color w:val="auto"/>
              </w:rPr>
            </w:pPr>
            <w:r>
              <w:rPr>
                <w:rFonts w:ascii="Arial" w:cs="Arial" w:eastAsia="Arial" w:hAnsi="Arial"/>
                <w:sz w:val="18"/>
                <w:szCs w:val="18"/>
                <w:color w:val="auto"/>
                <w:w w:val="99"/>
              </w:rPr>
              <w:t>[__/__/__]**</w:t>
            </w:r>
          </w:p>
        </w:tc>
        <w:tc>
          <w:tcPr>
            <w:tcW w:w="220" w:type="dxa"/>
            <w:vAlign w:val="bottom"/>
            <w:tcBorders>
              <w:bottom w:val="single" w:sz="8" w:color="C0C0C0"/>
            </w:tcBorders>
            <w:shd w:val="clear" w:color="auto" w:fill="C0C0C0"/>
          </w:tcPr>
          <w:p>
            <w:pPr>
              <w:spacing w:after="0"/>
              <w:rPr>
                <w:sz w:val="24"/>
                <w:szCs w:val="24"/>
                <w:color w:val="auto"/>
              </w:rPr>
            </w:pPr>
          </w:p>
        </w:tc>
        <w:tc>
          <w:tcPr>
            <w:tcW w:w="3000" w:type="dxa"/>
            <w:vAlign w:val="bottom"/>
            <w:tcBorders>
              <w:bottom w:val="single" w:sz="8" w:color="C0C0C0"/>
            </w:tcBorders>
            <w:shd w:val="clear" w:color="auto" w:fill="C0C0C0"/>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284"/>
        </w:trPr>
        <w:tc>
          <w:tcPr>
            <w:tcW w:w="230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560" w:type="dxa"/>
            <w:vAlign w:val="bottom"/>
            <w:gridSpan w:val="3"/>
          </w:tcPr>
          <w:p>
            <w:pPr>
              <w:jc w:val="center"/>
              <w:ind w:right="280"/>
              <w:spacing w:after="0"/>
              <w:rPr>
                <w:sz w:val="20"/>
                <w:szCs w:val="20"/>
                <w:color w:val="auto"/>
              </w:rPr>
            </w:pPr>
            <w:r>
              <w:rPr>
                <w:rFonts w:ascii="Arial" w:cs="Arial" w:eastAsia="Arial" w:hAnsi="Arial"/>
                <w:sz w:val="18"/>
                <w:szCs w:val="18"/>
                <w:color w:val="auto"/>
                <w:w w:val="88"/>
              </w:rPr>
              <w:t>On Vest Date</w:t>
            </w:r>
          </w:p>
        </w:tc>
        <w:tc>
          <w:tcPr>
            <w:tcW w:w="2320" w:type="dxa"/>
            <w:vAlign w:val="bottom"/>
          </w:tcPr>
          <w:p>
            <w:pPr>
              <w:jc w:val="center"/>
              <w:spacing w:after="0"/>
              <w:rPr>
                <w:sz w:val="20"/>
                <w:szCs w:val="20"/>
                <w:color w:val="auto"/>
              </w:rPr>
            </w:pPr>
            <w:r>
              <w:rPr>
                <w:rFonts w:ascii="Arial" w:cs="Arial" w:eastAsia="Arial" w:hAnsi="Arial"/>
                <w:sz w:val="18"/>
                <w:szCs w:val="18"/>
                <w:color w:val="auto"/>
                <w:w w:val="99"/>
              </w:rPr>
              <w:t>[__/__/__]**</w:t>
            </w:r>
          </w:p>
        </w:tc>
        <w:tc>
          <w:tcPr>
            <w:tcW w:w="22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27"/>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0" w:type="dxa"/>
            <w:vAlign w:val="bottom"/>
          </w:tcPr>
          <w:p>
            <w:pPr>
              <w:spacing w:after="0"/>
              <w:rPr>
                <w:sz w:val="2"/>
                <w:szCs w:val="2"/>
                <w:color w:val="auto"/>
              </w:rPr>
            </w:pPr>
          </w:p>
        </w:tc>
      </w:tr>
      <w:tr>
        <w:trPr>
          <w:trHeight w:val="290"/>
        </w:trPr>
        <w:tc>
          <w:tcPr>
            <w:tcW w:w="23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0C0C0"/>
            </w:tcBorders>
            <w:shd w:val="clear" w:color="auto" w:fill="C0C0C0"/>
          </w:tcPr>
          <w:p>
            <w:pPr>
              <w:spacing w:after="0"/>
              <w:rPr>
                <w:sz w:val="24"/>
                <w:szCs w:val="24"/>
                <w:color w:val="auto"/>
              </w:rPr>
            </w:pPr>
          </w:p>
        </w:tc>
        <w:tc>
          <w:tcPr>
            <w:tcW w:w="2560" w:type="dxa"/>
            <w:vAlign w:val="bottom"/>
            <w:tcBorders>
              <w:bottom w:val="single" w:sz="8" w:color="C0C0C0"/>
            </w:tcBorders>
            <w:gridSpan w:val="3"/>
            <w:shd w:val="clear" w:color="auto" w:fill="C0C0C0"/>
          </w:tcPr>
          <w:p>
            <w:pPr>
              <w:jc w:val="center"/>
              <w:ind w:right="280"/>
              <w:spacing w:after="0"/>
              <w:rPr>
                <w:sz w:val="20"/>
                <w:szCs w:val="20"/>
                <w:color w:val="auto"/>
              </w:rPr>
            </w:pPr>
            <w:r>
              <w:rPr>
                <w:rFonts w:ascii="Arial" w:cs="Arial" w:eastAsia="Arial" w:hAnsi="Arial"/>
                <w:sz w:val="18"/>
                <w:szCs w:val="18"/>
                <w:color w:val="auto"/>
                <w:w w:val="88"/>
              </w:rPr>
              <w:t>On Vest Date</w:t>
            </w:r>
          </w:p>
        </w:tc>
        <w:tc>
          <w:tcPr>
            <w:tcW w:w="2320" w:type="dxa"/>
            <w:vAlign w:val="bottom"/>
            <w:tcBorders>
              <w:bottom w:val="single" w:sz="8" w:color="C0C0C0"/>
            </w:tcBorders>
            <w:shd w:val="clear" w:color="auto" w:fill="C0C0C0"/>
          </w:tcPr>
          <w:p>
            <w:pPr>
              <w:jc w:val="center"/>
              <w:spacing w:after="0"/>
              <w:rPr>
                <w:sz w:val="20"/>
                <w:szCs w:val="20"/>
                <w:color w:val="auto"/>
              </w:rPr>
            </w:pPr>
            <w:r>
              <w:rPr>
                <w:rFonts w:ascii="Arial" w:cs="Arial" w:eastAsia="Arial" w:hAnsi="Arial"/>
                <w:sz w:val="18"/>
                <w:szCs w:val="18"/>
                <w:color w:val="auto"/>
                <w:w w:val="99"/>
              </w:rPr>
              <w:t>[__/__/__]**</w:t>
            </w:r>
          </w:p>
        </w:tc>
        <w:tc>
          <w:tcPr>
            <w:tcW w:w="220" w:type="dxa"/>
            <w:vAlign w:val="bottom"/>
            <w:tcBorders>
              <w:bottom w:val="single" w:sz="8" w:color="C0C0C0"/>
            </w:tcBorders>
            <w:shd w:val="clear" w:color="auto" w:fill="C0C0C0"/>
          </w:tcPr>
          <w:p>
            <w:pPr>
              <w:spacing w:after="0"/>
              <w:rPr>
                <w:sz w:val="24"/>
                <w:szCs w:val="24"/>
                <w:color w:val="auto"/>
              </w:rPr>
            </w:pPr>
          </w:p>
        </w:tc>
        <w:tc>
          <w:tcPr>
            <w:tcW w:w="3000" w:type="dxa"/>
            <w:vAlign w:val="bottom"/>
            <w:tcBorders>
              <w:bottom w:val="single" w:sz="8" w:color="C0C0C0"/>
            </w:tcBorders>
            <w:shd w:val="clear" w:color="auto" w:fill="C0C0C0"/>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284"/>
        </w:trPr>
        <w:tc>
          <w:tcPr>
            <w:tcW w:w="230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560" w:type="dxa"/>
            <w:vAlign w:val="bottom"/>
            <w:gridSpan w:val="3"/>
          </w:tcPr>
          <w:p>
            <w:pPr>
              <w:jc w:val="center"/>
              <w:ind w:right="280"/>
              <w:spacing w:after="0"/>
              <w:rPr>
                <w:sz w:val="20"/>
                <w:szCs w:val="20"/>
                <w:color w:val="auto"/>
              </w:rPr>
            </w:pPr>
            <w:r>
              <w:rPr>
                <w:rFonts w:ascii="Arial" w:cs="Arial" w:eastAsia="Arial" w:hAnsi="Arial"/>
                <w:sz w:val="18"/>
                <w:szCs w:val="18"/>
                <w:color w:val="auto"/>
                <w:w w:val="88"/>
              </w:rPr>
              <w:t>On Vest Date</w:t>
            </w:r>
          </w:p>
        </w:tc>
        <w:tc>
          <w:tcPr>
            <w:tcW w:w="2320" w:type="dxa"/>
            <w:vAlign w:val="bottom"/>
          </w:tcPr>
          <w:p>
            <w:pPr>
              <w:jc w:val="center"/>
              <w:spacing w:after="0"/>
              <w:rPr>
                <w:sz w:val="20"/>
                <w:szCs w:val="20"/>
                <w:color w:val="auto"/>
              </w:rPr>
            </w:pPr>
            <w:r>
              <w:rPr>
                <w:rFonts w:ascii="Arial" w:cs="Arial" w:eastAsia="Arial" w:hAnsi="Arial"/>
                <w:sz w:val="18"/>
                <w:szCs w:val="18"/>
                <w:color w:val="auto"/>
                <w:w w:val="99"/>
              </w:rPr>
              <w:t>[__/__/__]**</w:t>
            </w:r>
          </w:p>
        </w:tc>
        <w:tc>
          <w:tcPr>
            <w:tcW w:w="22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580"/>
        </w:trPr>
        <w:tc>
          <w:tcPr>
            <w:tcW w:w="3280" w:type="dxa"/>
            <w:vAlign w:val="bottom"/>
            <w:gridSpan w:val="3"/>
          </w:tcPr>
          <w:p>
            <w:pPr>
              <w:spacing w:after="0"/>
              <w:rPr>
                <w:sz w:val="20"/>
                <w:szCs w:val="20"/>
                <w:color w:val="auto"/>
              </w:rPr>
            </w:pPr>
            <w:r>
              <w:rPr>
                <w:rFonts w:ascii="Arial" w:cs="Arial" w:eastAsia="Arial" w:hAnsi="Arial"/>
                <w:sz w:val="18"/>
                <w:szCs w:val="18"/>
                <w:color w:val="auto"/>
                <w:w w:val="92"/>
              </w:rPr>
              <w:t>The Non-Qualified Stock Option expires on [</w:t>
            </w:r>
          </w:p>
        </w:tc>
        <w:tc>
          <w:tcPr>
            <w:tcW w:w="4340" w:type="dxa"/>
            <w:vAlign w:val="bottom"/>
            <w:gridSpan w:val="4"/>
          </w:tcPr>
          <w:p>
            <w:pPr>
              <w:ind w:left="500"/>
              <w:spacing w:after="0"/>
              <w:rPr>
                <w:sz w:val="20"/>
                <w:szCs w:val="20"/>
                <w:color w:val="auto"/>
              </w:rPr>
            </w:pPr>
            <w:r>
              <w:rPr>
                <w:rFonts w:ascii="Arial" w:cs="Arial" w:eastAsia="Arial" w:hAnsi="Arial"/>
                <w:sz w:val="18"/>
                <w:szCs w:val="18"/>
                <w:color w:val="auto"/>
              </w:rPr>
              <w:t>]*** (the “Expiration Date”).</w:t>
            </w:r>
          </w:p>
        </w:tc>
        <w:tc>
          <w:tcPr>
            <w:tcW w:w="30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454025</wp:posOffset>
            </wp:positionV>
            <wp:extent cx="640334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94">
                      <a:extLst>
                        <a:ext uri="{28A0092B-C50C-407E-A947-70E740481C1C}"/>
                      </a:extLst>
                    </a:blip>
                    <a:srcRect/>
                    <a:stretch>
                      <a:fillRect/>
                    </a:stretch>
                  </pic:blipFill>
                  <pic:spPr bwMode="auto">
                    <a:xfrm>
                      <a:off x="0" y="0"/>
                      <a:ext cx="6403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right="1420"/>
        <w:spacing w:after="0" w:line="263" w:lineRule="auto"/>
        <w:rPr>
          <w:sz w:val="20"/>
          <w:szCs w:val="20"/>
          <w:color w:val="auto"/>
        </w:rPr>
      </w:pPr>
      <w:r>
        <w:rPr>
          <w:rFonts w:ascii="Arial" w:cs="Arial" w:eastAsia="Arial" w:hAnsi="Arial"/>
          <w:sz w:val="18"/>
          <w:szCs w:val="18"/>
          <w:color w:val="auto"/>
        </w:rPr>
        <w:t>You and the Company agree that these options are granted under and governed by the terms and conditions of the Second Amended and Restated Regeneron Pharmaceuticals, Inc. 2014 Long Term Incentive Plan, as amended from time to time, and the enclosed Option Agreement, both of which are attached and made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640334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95">
                      <a:extLst>
                        <a:ext uri="{28A0092B-C50C-407E-A947-70E740481C1C}"/>
                      </a:extLst>
                    </a:blip>
                    <a:srcRect/>
                    <a:stretch>
                      <a:fillRect/>
                    </a:stretch>
                  </pic:blipFill>
                  <pic:spPr bwMode="auto">
                    <a:xfrm>
                      <a:off x="0" y="0"/>
                      <a:ext cx="640334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w:t>
      </w:r>
    </w:p>
    <w:p>
      <w:pPr>
        <w:spacing w:after="0" w:line="308" w:lineRule="exact"/>
        <w:rPr>
          <w:sz w:val="20"/>
          <w:szCs w:val="20"/>
          <w:color w:val="auto"/>
        </w:rPr>
      </w:pPr>
    </w:p>
    <w:p>
      <w:pPr>
        <w:ind w:left="480" w:right="220" w:hanging="454"/>
        <w:spacing w:after="0" w:line="277" w:lineRule="auto"/>
        <w:tabs>
          <w:tab w:leader="none" w:pos="4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Options will vest in approximately equal annual 25% installments. Full Vest Dates will occur on the first, second, third and fourth anniversaries of the Grant Date.</w:t>
      </w:r>
    </w:p>
    <w:p>
      <w:pPr>
        <w:spacing w:after="0" w:line="318" w:lineRule="exact"/>
        <w:rPr>
          <w:rFonts w:ascii="Arial" w:cs="Arial" w:eastAsia="Arial" w:hAnsi="Arial"/>
          <w:sz w:val="18"/>
          <w:szCs w:val="18"/>
          <w:color w:val="auto"/>
        </w:rPr>
      </w:pPr>
    </w:p>
    <w:p>
      <w:pPr>
        <w:ind w:left="480" w:hanging="454"/>
        <w:spacing w:after="0"/>
        <w:tabs>
          <w:tab w:leader="none" w:pos="4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Date to be 10 years from the Grant Date.</w:t>
      </w:r>
    </w:p>
    <w:p>
      <w:pPr>
        <w:sectPr>
          <w:pgSz w:w="11900" w:h="16838" w:orient="portrait"/>
          <w:cols w:equalWidth="0" w:num="1">
            <w:col w:w="11240"/>
          </w:cols>
          <w:pgMar w:left="320" w:top="773" w:right="3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25"/>
          <w:szCs w:val="25"/>
          <w:b w:val="1"/>
          <w:bCs w:val="1"/>
          <w:color w:val="800000"/>
        </w:rPr>
        <w:t>REGENERON PHARMACEUTICALS, INC.</w:t>
      </w:r>
    </w:p>
    <w:p>
      <w:pPr>
        <w:spacing w:after="0" w:line="127"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Non-Qualified Stock Option</w:t>
      </w:r>
    </w:p>
    <w:p>
      <w:pPr>
        <w:spacing w:after="0" w:line="112"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OPTION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SECOND AMENDED AND RESTATED REGENERON PHARMACEUTICALS,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2014 LONG-TERM INCENTIVE PLAN</w:t>
      </w:r>
    </w:p>
    <w:p>
      <w:pPr>
        <w:spacing w:after="0" w:line="222"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THIS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made as of the date of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by and between Regeneron Pharmaceuticals, Inc., a New York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and the employee named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Grantee</w:t>
      </w:r>
      <w:r>
        <w:rPr>
          <w:rFonts w:ascii="Arial" w:cs="Arial" w:eastAsia="Arial" w:hAnsi="Arial"/>
          <w:sz w:val="17"/>
          <w:szCs w:val="17"/>
          <w:color w:val="auto"/>
        </w:rPr>
        <w:t>”). Any capitalized term used but not defined in this Agreement shall have the meaning given to such term in the Plan (as defined below).</w:t>
      </w:r>
    </w:p>
    <w:p>
      <w:pPr>
        <w:spacing w:after="0" w:line="57"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WHEREAS, the Grantee is an employee of the Company (or a Subsidiary of the Company) and the Company desires to afford the Grantee the opportunity to acquire or enlarge the Grantee’s stock ownership in the Company so that the Grantee may have a direct proprietary interest in the Company’s success; and</w:t>
      </w:r>
    </w:p>
    <w:p>
      <w:pPr>
        <w:spacing w:after="0" w:line="76"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WHEREAS, the Committee (or the person or persons to whom the Committee has delegated the relevant authority pursuant to Section 4 of the Plan (as defined below) (the Committee or such person or persons being referred to in this Agreement as the “</w:t>
      </w:r>
      <w:r>
        <w:rPr>
          <w:rFonts w:ascii="Arial" w:cs="Arial" w:eastAsia="Arial" w:hAnsi="Arial"/>
          <w:sz w:val="16"/>
          <w:szCs w:val="16"/>
          <w:u w:val="single" w:color="auto"/>
          <w:color w:val="auto"/>
        </w:rPr>
        <w:t>Committee</w:t>
      </w:r>
      <w:r>
        <w:rPr>
          <w:rFonts w:ascii="Arial" w:cs="Arial" w:eastAsia="Arial" w:hAnsi="Arial"/>
          <w:sz w:val="16"/>
          <w:szCs w:val="16"/>
          <w:color w:val="auto"/>
        </w:rPr>
        <w:t>”)) administering the Second Amended and Restated Regeneron Pharmaceuticals, Inc. 2014 Long-Term Incentive Plan (as amended from time to time, the “</w:t>
      </w:r>
      <w:r>
        <w:rPr>
          <w:rFonts w:ascii="Arial" w:cs="Arial" w:eastAsia="Arial" w:hAnsi="Arial"/>
          <w:sz w:val="16"/>
          <w:szCs w:val="16"/>
          <w:u w:val="single" w:color="auto"/>
          <w:color w:val="auto"/>
        </w:rPr>
        <w:t>Plan</w:t>
      </w:r>
      <w:r>
        <w:rPr>
          <w:rFonts w:ascii="Arial" w:cs="Arial" w:eastAsia="Arial" w:hAnsi="Arial"/>
          <w:sz w:val="16"/>
          <w:szCs w:val="16"/>
          <w:color w:val="auto"/>
        </w:rPr>
        <w:t xml:space="preserve">”) has granted (as of the effective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to the Grantee a Stock Option to purchase the number of shares of the Company’s common stock, $0.001 par value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xml:space="preserve">”), as set forth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w:t>
      </w:r>
    </w:p>
    <w:p>
      <w:pPr>
        <w:spacing w:after="0" w:line="5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NOW, THEREFORE, in consideration of the covenants and agreements herein contained, the parties agree as follows:</w:t>
      </w:r>
    </w:p>
    <w:p>
      <w:pPr>
        <w:spacing w:after="0" w:line="113" w:lineRule="exact"/>
        <w:rPr>
          <w:sz w:val="20"/>
          <w:szCs w:val="20"/>
          <w:color w:val="auto"/>
        </w:rPr>
      </w:pPr>
    </w:p>
    <w:p>
      <w:pPr>
        <w:jc w:val="both"/>
        <w:ind w:right="20" w:firstLine="656"/>
        <w:spacing w:after="0" w:line="303" w:lineRule="auto"/>
        <w:tabs>
          <w:tab w:leader="none" w:pos="999"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Grant of Award. </w:t>
      </w:r>
      <w:r>
        <w:rPr>
          <w:rFonts w:ascii="Arial" w:cs="Arial" w:eastAsia="Arial" w:hAnsi="Arial"/>
          <w:sz w:val="16"/>
          <w:szCs w:val="16"/>
          <w:color w:val="auto"/>
        </w:rPr>
        <w:t>Pursuant to Section 7 of the Plan, the Company grants to the Grantee, subject to the terms and conditions of the Plan and</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further to the terms and conditions set forth herein, the option (the “</w:t>
      </w:r>
      <w:r>
        <w:rPr>
          <w:rFonts w:ascii="Arial" w:cs="Arial" w:eastAsia="Arial" w:hAnsi="Arial"/>
          <w:sz w:val="16"/>
          <w:szCs w:val="16"/>
          <w:u w:val="single" w:color="auto"/>
          <w:color w:val="auto"/>
        </w:rPr>
        <w:t>Option</w:t>
      </w:r>
      <w:r>
        <w:rPr>
          <w:rFonts w:ascii="Arial" w:cs="Arial" w:eastAsia="Arial" w:hAnsi="Arial"/>
          <w:sz w:val="16"/>
          <w:szCs w:val="16"/>
          <w:color w:val="auto"/>
        </w:rPr>
        <w:t xml:space="preserve">”) to purchase from the Company all or any part of an aggregate of shares of Common Stock at the purchase price per share as shown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No part of the Option granted hereby is intended to qualify as an Incentive Stock Option under Section 422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w:t>
      </w:r>
    </w:p>
    <w:p>
      <w:pPr>
        <w:spacing w:after="0" w:line="42" w:lineRule="exact"/>
        <w:rPr>
          <w:rFonts w:ascii="Arial" w:cs="Arial" w:eastAsia="Arial" w:hAnsi="Arial"/>
          <w:sz w:val="16"/>
          <w:szCs w:val="16"/>
          <w:b w:val="1"/>
          <w:bCs w:val="1"/>
          <w:color w:val="auto"/>
        </w:rPr>
      </w:pPr>
    </w:p>
    <w:p>
      <w:pPr>
        <w:jc w:val="both"/>
        <w:ind w:firstLine="656"/>
        <w:spacing w:after="0" w:line="289" w:lineRule="auto"/>
        <w:tabs>
          <w:tab w:leader="none" w:pos="960"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Vesting; Exercise. </w:t>
      </w:r>
      <w:r>
        <w:rPr>
          <w:rFonts w:ascii="Arial" w:cs="Arial" w:eastAsia="Arial" w:hAnsi="Arial"/>
          <w:sz w:val="16"/>
          <w:szCs w:val="16"/>
          <w:color w:val="auto"/>
        </w:rPr>
        <w:t>(a) The Option becomes exercisable in installments as provided on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To the extent that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Option has become exercisable with respect to the number of shares of Common Stock as provided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and subject to the terms and conditions of the Plan, including without limitation, Sections 7(c)(1) (if applicable) and 7(c)(2) of the Plan, the Option may thereafter be exercised by the Grantee, in whole or in part, at any time or from time to time prior to the expiration of the Option in accordance with the requirements set forth in Section 7(c)(3) of the Plan, including, without limitation, the filing of such written form of exercise notice as may be provided by the Company, and in accordance with applicable tax and other laws. In addition to the methods of payment described in Section 7(c)(3) of the Plan, the Grantee shall be eligible to pay for shares of Common Stock purchased upon the exercise of the Option by directing the Company to withhold shares of Common Stock that would otherwise be issued pursuant to the Option exercise having an aggregate Fair Market Value (as measured on the date of exercise) equal to the aggregate Option exercise price due upon such exercise. The Company shall have the right to require the Grantee in connection with the exercise of the Option to remit to the Company in cash an amount sufficient to satisfy any federal, state and local withholding tax requirements related thereto.</w:t>
      </w:r>
    </w:p>
    <w:p>
      <w:pPr>
        <w:spacing w:after="0" w:line="57" w:lineRule="exact"/>
        <w:rPr>
          <w:sz w:val="20"/>
          <w:szCs w:val="20"/>
          <w:color w:val="auto"/>
        </w:rPr>
      </w:pPr>
    </w:p>
    <w:p>
      <w:pPr>
        <w:jc w:val="both"/>
        <w:ind w:left="80" w:firstLine="576"/>
        <w:spacing w:after="0" w:line="287" w:lineRule="auto"/>
        <w:tabs>
          <w:tab w:leader="none" w:pos="1292"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indicates each date upon which the Grantee shall become entitled to exercise the Option with respect to the number of shares of Common Stock granted as indicated provided that (except with respect to retirement on the terms set forth below) the Grantee has not incurred a termination of employment or service with the Company and all Subsidiaries (the Company and all Subsidiaries shall be referred to herein, collectively, as the “</w:t>
      </w:r>
      <w:r>
        <w:rPr>
          <w:rFonts w:ascii="Arial" w:cs="Arial" w:eastAsia="Arial" w:hAnsi="Arial"/>
          <w:sz w:val="16"/>
          <w:szCs w:val="16"/>
          <w:u w:val="single" w:color="auto"/>
          <w:color w:val="auto"/>
        </w:rPr>
        <w:t>Employer</w:t>
      </w:r>
      <w:r>
        <w:rPr>
          <w:rFonts w:ascii="Arial" w:cs="Arial" w:eastAsia="Arial" w:hAnsi="Arial"/>
          <w:sz w:val="16"/>
          <w:szCs w:val="16"/>
          <w:color w:val="auto"/>
        </w:rPr>
        <w:t xml:space="preserve">,” and no termination of employment or service shall be deemed to take place unless the Grantee is no longer employed by or providing service to the Employer) prior to such date. There shall be no proportionate or partial vesting in the periods between the Full Vest Dates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and all vesting shall occur only on such Full Vest Dates. Except as otherwise provided below or in the Plan, no vesting shall occur after such date as the Grantee ceases to be employed by or provide services to the Employer and the entire unvested portion of the Option shall be forfeited at such time. Notwithstanding the preceding sentence, upon the Grantee’s retirement (as defined in the Company’s employee handbook as in effect on the date hereof), the Option shall continue to vest in installments as provided in the </w:t>
      </w:r>
      <w:r>
        <w:rPr>
          <w:rFonts w:ascii="Arial" w:cs="Arial" w:eastAsia="Arial" w:hAnsi="Arial"/>
          <w:sz w:val="16"/>
          <w:szCs w:val="16"/>
          <w:i w:val="1"/>
          <w:iCs w:val="1"/>
          <w:color w:val="auto"/>
        </w:rPr>
        <w:t>Notice of Grant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as if the Grantee had continued to be employed by or provide services to the Employer. For the avoidance of doubt and notwithstanding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anything herein or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to the contrary, any outstanding and</w:t>
      </w:r>
    </w:p>
    <w:p>
      <w:pPr>
        <w:sectPr>
          <w:pgSz w:w="11900" w:h="16838" w:orient="portrait"/>
          <w:cols w:equalWidth="0" w:num="1">
            <w:col w:w="11240"/>
          </w:cols>
          <w:pgMar w:left="320" w:top="765" w:right="339" w:bottom="1440" w:gutter="0" w:footer="0" w:header="0"/>
        </w:sectPr>
      </w:pPr>
    </w:p>
    <w:bookmarkStart w:id="156" w:name="page157"/>
    <w:bookmarkEnd w:id="156"/>
    <w:p>
      <w:pPr>
        <w:jc w:val="both"/>
        <w:ind w:left="80"/>
        <w:spacing w:after="0" w:line="259" w:lineRule="auto"/>
        <w:rPr>
          <w:sz w:val="20"/>
          <w:szCs w:val="20"/>
          <w:color w:val="auto"/>
        </w:rPr>
      </w:pPr>
      <w:r>
        <w:rPr>
          <w:rFonts w:ascii="Arial" w:cs="Arial" w:eastAsia="Arial" w:hAnsi="Arial"/>
          <w:sz w:val="18"/>
          <w:szCs w:val="18"/>
          <w:color w:val="auto"/>
        </w:rPr>
        <w:t xml:space="preserve">unvested portion of the Option shall become fully vested on the date of the Grantee’s death. The provisions of this Section 2(b) are subject to (i) the provisions set forth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xml:space="preserve"> or any employment agreement, consulting agreement or similar agreement in effect between the Employer and the Grantee (or otherwise applicable to the Grantee) on the date of grant specified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xml:space="preserve"> and (ii) the Committee’s determination in accordance with Section 7(e) of the Plan.</w:t>
      </w:r>
    </w:p>
    <w:p>
      <w:pPr>
        <w:spacing w:after="0" w:line="79" w:lineRule="exact"/>
        <w:rPr>
          <w:sz w:val="20"/>
          <w:szCs w:val="20"/>
          <w:color w:val="auto"/>
        </w:rPr>
      </w:pPr>
    </w:p>
    <w:p>
      <w:pPr>
        <w:jc w:val="both"/>
        <w:ind w:left="80" w:firstLine="653"/>
        <w:spacing w:after="0" w:line="286" w:lineRule="auto"/>
        <w:tabs>
          <w:tab w:leader="none" w:pos="972" w:val="left"/>
        </w:tabs>
        <w:numPr>
          <w:ilvl w:val="1"/>
          <w:numId w:val="83"/>
        </w:numPr>
        <w:rPr>
          <w:rFonts w:ascii="Arial" w:cs="Arial" w:eastAsia="Arial" w:hAnsi="Arial"/>
          <w:sz w:val="16"/>
          <w:szCs w:val="16"/>
          <w:color w:val="auto"/>
        </w:rPr>
      </w:pPr>
      <w:r>
        <w:rPr>
          <w:rFonts w:ascii="Arial" w:cs="Arial" w:eastAsia="Arial" w:hAnsi="Arial"/>
          <w:sz w:val="16"/>
          <w:szCs w:val="16"/>
          <w:color w:val="auto"/>
        </w:rPr>
        <w:t xml:space="preserve">Notwithstanding anything herein (except the following sentence) or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to the contrary, the Option shall be fully vested on the date of a Change in Control. Except as otherwise provided in any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if the application of the provision in the foregoing sentence, similar provisions in other stock option or restricted stock grants, and other payments and benefits payable to the Grantee upon termination of employment with the Employer (collectively, the “</w:t>
      </w:r>
      <w:r>
        <w:rPr>
          <w:rFonts w:ascii="Arial" w:cs="Arial" w:eastAsia="Arial" w:hAnsi="Arial"/>
          <w:sz w:val="16"/>
          <w:szCs w:val="16"/>
          <w:u w:val="single" w:color="auto"/>
          <w:color w:val="auto"/>
        </w:rPr>
        <w:t>Company Payments</w:t>
      </w:r>
      <w:r>
        <w:rPr>
          <w:rFonts w:ascii="Arial" w:cs="Arial" w:eastAsia="Arial" w:hAnsi="Arial"/>
          <w:sz w:val="16"/>
          <w:szCs w:val="16"/>
          <w:color w:val="auto"/>
        </w:rPr>
        <w:t>”) would result in the Grantee being subject to the excise tax payable under Section 4999 of the Code (the “</w:t>
      </w:r>
      <w:r>
        <w:rPr>
          <w:rFonts w:ascii="Arial" w:cs="Arial" w:eastAsia="Arial" w:hAnsi="Arial"/>
          <w:sz w:val="16"/>
          <w:szCs w:val="16"/>
          <w:u w:val="single" w:color="auto"/>
          <w:color w:val="auto"/>
        </w:rPr>
        <w:t>Excise Tax</w:t>
      </w:r>
      <w:r>
        <w:rPr>
          <w:rFonts w:ascii="Arial" w:cs="Arial" w:eastAsia="Arial" w:hAnsi="Arial"/>
          <w:sz w:val="16"/>
          <w:szCs w:val="16"/>
          <w:color w:val="auto"/>
        </w:rPr>
        <w:t xml:space="preserve">”), the amount of any Company Payments shall be automatically reduced to an amount one dollar less than an amount that would subject the Grantee to the Excise Tax;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reduction shall occur only if the reduced Company Payments received by the Grantee (after taking into account further reductions for applicable federal, state and local income, social security and other taxes) would be greater than the unreduced Company Payments to be received by the Grantee minus (i) the Excise Tax payable with respect to such Company Payments and (ii) all applicable federal, state and local income, social security and other taxes on such Company Payments. If the Company Payments are to be reduced in accordance with the foregoing, the Company Payments shall be reduced as mutually agreed between the Employer and the Grantee or, in the event the parties cannot agree, in the following order: (1) acceleration of vesting of any option where the exercise price exceeds the fair market value of the underlying shares at the time the acceleration would otherwise occur; (2) any lump-sum severance based on a multiple of base salary or bonus; (3) any other cash amounts payable to the Grantee; (4) any benefits valued as parachute payments; and (5) acceleration of vesting of any equity not covered by (1) above.</w:t>
      </w:r>
    </w:p>
    <w:p>
      <w:pPr>
        <w:spacing w:after="0" w:line="190" w:lineRule="exact"/>
        <w:rPr>
          <w:rFonts w:ascii="Arial" w:cs="Arial" w:eastAsia="Arial" w:hAnsi="Arial"/>
          <w:sz w:val="16"/>
          <w:szCs w:val="16"/>
          <w:color w:val="auto"/>
        </w:rPr>
      </w:pPr>
    </w:p>
    <w:p>
      <w:pPr>
        <w:jc w:val="both"/>
        <w:ind w:firstLine="656"/>
        <w:spacing w:after="0" w:line="289" w:lineRule="auto"/>
        <w:tabs>
          <w:tab w:leader="none" w:pos="1008" w:val="left"/>
        </w:tabs>
        <w:numPr>
          <w:ilvl w:val="0"/>
          <w:numId w:val="8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Option Term. </w:t>
      </w:r>
      <w:r>
        <w:rPr>
          <w:rFonts w:ascii="Arial" w:cs="Arial" w:eastAsia="Arial" w:hAnsi="Arial"/>
          <w:sz w:val="16"/>
          <w:szCs w:val="16"/>
          <w:color w:val="auto"/>
        </w:rPr>
        <w:t>(a) Except as otherwise provided in the next sentence or in the Plan, the Option shall expire on the tenth anniversary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grant of the Option as shown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In the event of termination of employment or service with the Employer, except as may be determined by the Committee in accordance with Section 7(e) of the Plan, the vested portion of the Option shall expire on the earlier of (i) the tenth anniversary of this grant, or (ii)(A) subject to (E) below, three months after such termination if such termination is for any reason other than death, retirement (as defined in the Company’s employee handbook as in effect on the date hereof), or long-term disability; (B) the tenth anniversary of this grant if such termination is due to the Grantee’s retirement (as defined in the Company’s employee handbook as in effect on the date hereof) or the Grantee’s death; (C) one year after the termination if such termination is due to the Grantee’s long-term disability; (D) the occurrence of the Cause event if such termination is for Cause or Cause existed at the time of such termination (whether then known or later discovered); or (E) one year after such termination if</w:t>
      </w:r>
    </w:p>
    <w:p>
      <w:pPr>
        <w:jc w:val="both"/>
        <w:spacing w:after="0" w:line="259" w:lineRule="auto"/>
        <w:rPr>
          <w:sz w:val="20"/>
          <w:szCs w:val="20"/>
          <w:color w:val="auto"/>
        </w:rPr>
      </w:pPr>
      <w:r>
        <w:rPr>
          <w:rFonts w:ascii="Arial" w:cs="Arial" w:eastAsia="Arial" w:hAnsi="Arial"/>
          <w:sz w:val="18"/>
          <w:szCs w:val="18"/>
          <w:color w:val="auto"/>
        </w:rPr>
        <w:t>such termination is at any time within two years after the occurrence of a Change in Control and is not due to death, retirement, or long-term disability. For the avoidance of doubt, any outstanding and unvested portion of the Option that has become fully vested as a result of termination of the Grantee’s employment or service with the Employer on account of the Grantee’s death pursuant to Section 7(e)(2) of the Plan and Section 2(b) of this Agreement shall expire on the tenth anniversary of this grant.</w:t>
      </w:r>
    </w:p>
    <w:p>
      <w:pPr>
        <w:spacing w:after="0" w:line="79" w:lineRule="exact"/>
        <w:rPr>
          <w:sz w:val="20"/>
          <w:szCs w:val="20"/>
          <w:color w:val="auto"/>
        </w:rPr>
      </w:pPr>
    </w:p>
    <w:p>
      <w:pPr>
        <w:jc w:val="both"/>
        <w:ind w:firstLine="656"/>
        <w:spacing w:after="0" w:line="286" w:lineRule="auto"/>
        <w:tabs>
          <w:tab w:leader="none" w:pos="1290" w:val="left"/>
        </w:tabs>
        <w:numPr>
          <w:ilvl w:val="0"/>
          <w:numId w:val="85"/>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shall mean (i) in the case where there is no employment agreement, consulting agreement, change in control agreement or plan, or similar agreement or plan in effect between the Company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(or where there is such an agreement or plan but it does not define “cause” (or words of like import)) (A) the willful and continued failure by the Grantee substantially to perform his or her duties and obligations to the Employer (other than any such failure resulting from his or her incapacity due to physical or mental illness), including without limitation, repeated refusal to follow the reasonable directions of the Employer, violation of the Employer’s Code of Business Conduct and Ethics, knowing violation of law in the course of performance of the duties of the Grantee’s employment with the Employer, repeated absences from work without a reasonable excuse, or intoxication with alcohol or illegal drugs while on the Employer’s premises during regular business hours; (B) fraud or material dishonesty against the Employer; or (C) a conviction or plea of guilty or nolo contendere to a felony or a crime involving material dishonesty; or (ii) in the case where there is an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that defines “cause” (or words of like import), as defined under such agreement or plan. For purposes of this Section 3(b), no act, or failure to act, on a Grantee’s part shall be considered “willful” unless done, or omitted to be done, by the Grantee in bad faith and without reasonable belief that his or her action or omission was in the best interest of the Employer. Any determination of Cause made prior to a Change in Control shall be made by the Committee in its sole discretion.</w:t>
      </w:r>
    </w:p>
    <w:p>
      <w:pPr>
        <w:sectPr>
          <w:pgSz w:w="11900" w:h="16838" w:orient="portrait"/>
          <w:cols w:equalWidth="0" w:num="1">
            <w:col w:w="11240"/>
          </w:cols>
          <w:pgMar w:left="320" w:top="881" w:right="339" w:bottom="1440" w:gutter="0" w:footer="0" w:header="0"/>
        </w:sectPr>
      </w:pPr>
    </w:p>
    <w:bookmarkStart w:id="157" w:name="page158"/>
    <w:bookmarkEnd w:id="157"/>
    <w:p>
      <w:pPr>
        <w:jc w:val="both"/>
        <w:ind w:left="-575" w:firstLine="656"/>
        <w:spacing w:after="0" w:line="270" w:lineRule="auto"/>
        <w:tabs>
          <w:tab w:leader="none" w:pos="435" w:val="left"/>
        </w:tabs>
        <w:numPr>
          <w:ilvl w:val="0"/>
          <w:numId w:val="8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Restrictions on Transfer of Option. </w:t>
      </w:r>
      <w:r>
        <w:rPr>
          <w:rFonts w:ascii="Arial" w:cs="Arial" w:eastAsia="Arial" w:hAnsi="Arial"/>
          <w:sz w:val="17"/>
          <w:szCs w:val="17"/>
          <w:color w:val="auto"/>
        </w:rPr>
        <w:t>The Option granted hereby shall not be transferable other than by will or by the laws of descent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distribution. During the lifetime of the Grantee, this Option shall be exercisable only by the Grantee. In addition, except as otherwise provided in this Agreement, the Option shall not be assigned, negotiated, pledged or hypothecated in any way (whether by operation of law or otherwise), and the Option shall not be subject to execution, attachment or similar process. Upon any other attempt to transfer, assign, negotiate, pledge or hypothecate the Option, or in the event of any levy upon the option by reason of any execution, attachment, or similar process contrary to the provisions hereof, the Option shall immediately become null and void. Notwithstanding the foregoing provisions of this Section 4, subject to the approval of the Committee in its sole and absolute discretion and to any conditions that the Committee may prescribe, the Grantee may, upon providing written notice to the Company, elect to transfer the Option to members of his or her immediate family, including, but not limited to, children, grandchildren and spouse or to trusts for the benefit of such immediate family members or to partnerships in which such family members are the only partners;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transfer may be made in exchange for consideration.</w:t>
      </w:r>
    </w:p>
    <w:p>
      <w:pPr>
        <w:spacing w:after="0" w:line="68" w:lineRule="exact"/>
        <w:rPr>
          <w:rFonts w:ascii="Arial" w:cs="Arial" w:eastAsia="Arial" w:hAnsi="Arial"/>
          <w:sz w:val="17"/>
          <w:szCs w:val="17"/>
          <w:b w:val="1"/>
          <w:bCs w:val="1"/>
          <w:color w:val="auto"/>
        </w:rPr>
      </w:pPr>
    </w:p>
    <w:p>
      <w:pPr>
        <w:jc w:val="both"/>
        <w:ind w:left="-575" w:firstLine="656"/>
        <w:spacing w:after="0" w:line="255" w:lineRule="auto"/>
        <w:tabs>
          <w:tab w:leader="none" w:pos="457"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Rights of a Shareholder. </w:t>
      </w:r>
      <w:r>
        <w:rPr>
          <w:rFonts w:ascii="Arial" w:cs="Arial" w:eastAsia="Arial" w:hAnsi="Arial"/>
          <w:sz w:val="18"/>
          <w:szCs w:val="18"/>
          <w:color w:val="auto"/>
        </w:rPr>
        <w:t>The Grantee shall have no rights as a shareholder with respect to any shares of Common Stock subject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Option prior to the date of issuance to the Grantee of a certificate or certificates or book-entry registration or registrations for such shares. Except as provided in Section 3(c) of the Plan, no adjustment shall be made for dividends in cash or other property, distributions, or other rights with respect to such shares for which the record date is prior to the date upon which the Grantee shall become the holder of record therefor. The Company may, in its sole discretion, determine to deliver any documents related to participation in the Plan or deliverable to the Grantee in the Grantee’s capacity as a shareholder of the Company by electronic means. The Grantee hereby consents to receive any and all such documents by electronic delivery to the extent the Company utilizes such delivery method from time to time.</w:t>
      </w:r>
    </w:p>
    <w:p>
      <w:pPr>
        <w:spacing w:after="0" w:line="80" w:lineRule="exact"/>
        <w:rPr>
          <w:rFonts w:ascii="Arial" w:cs="Arial" w:eastAsia="Arial" w:hAnsi="Arial"/>
          <w:sz w:val="18"/>
          <w:szCs w:val="18"/>
          <w:b w:val="1"/>
          <w:bCs w:val="1"/>
          <w:color w:val="auto"/>
        </w:rPr>
      </w:pPr>
    </w:p>
    <w:p>
      <w:pPr>
        <w:jc w:val="both"/>
        <w:ind w:left="-575" w:firstLine="656"/>
        <w:spacing w:after="0" w:line="288" w:lineRule="auto"/>
        <w:tabs>
          <w:tab w:leader="none" w:pos="482"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Law and Regulations. </w:t>
      </w:r>
      <w:r>
        <w:rPr>
          <w:rFonts w:ascii="Arial" w:cs="Arial" w:eastAsia="Arial" w:hAnsi="Arial"/>
          <w:sz w:val="16"/>
          <w:szCs w:val="16"/>
          <w:color w:val="auto"/>
        </w:rPr>
        <w:t>This Agreement, the award hereunder and any obligation of the Company hereunder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all applicable federal, state and local laws, rules and regulations and to such approvals by any government or regulatory agency as may be required. The Company shall be under no obligation to effect the registration pursuant to federal securities laws of any interests in the Plan or any shares of Common Stock to be issued hereunder or to effect similar compliance under any state laws. The Company shall not be obligated to cause to be issued or delivered any certificates or register book entries evidencing shares of Common Stock pursuant to this Agreement unless and until the Company is advised by its counsel that the issuance and delivery of such certificates or the registration of such book entries is in compliance with all applicable laws, regulations of governmental authority and the requirements of any securities exchange on which shares of Common Stock are traded. The Committee may require, as a condition of the issuance and delivery of certificates or the registration of book entries evidencing shares of Common Stock pursuant to the terms hereof, that the recipient of such shares make such agreements and representations, and that such certificates and book entries bear or be subject to such legends, as the Committee, in its sole discretion, deems necessary or desirable. Except to the extent preempted by any applicable federal law, this Agreement shall be construed and administered in accordance with the laws of the State of New York without reference to its principles of conflicts of law.</w:t>
      </w:r>
    </w:p>
    <w:p>
      <w:pPr>
        <w:spacing w:after="0" w:line="55" w:lineRule="exact"/>
        <w:rPr>
          <w:rFonts w:ascii="Arial" w:cs="Arial" w:eastAsia="Arial" w:hAnsi="Arial"/>
          <w:sz w:val="16"/>
          <w:szCs w:val="16"/>
          <w:b w:val="1"/>
          <w:bCs w:val="1"/>
          <w:color w:val="auto"/>
        </w:rPr>
      </w:pPr>
    </w:p>
    <w:p>
      <w:pPr>
        <w:jc w:val="both"/>
        <w:ind w:left="-575" w:firstLine="656"/>
        <w:spacing w:after="0" w:line="289" w:lineRule="auto"/>
        <w:tabs>
          <w:tab w:leader="none" w:pos="434" w:val="left"/>
        </w:tabs>
        <w:numPr>
          <w:ilvl w:val="0"/>
          <w:numId w:val="8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Grantee Bound by Plan. </w:t>
      </w:r>
      <w:r>
        <w:rPr>
          <w:rFonts w:ascii="Arial" w:cs="Arial" w:eastAsia="Arial" w:hAnsi="Arial"/>
          <w:sz w:val="17"/>
          <w:szCs w:val="17"/>
          <w:color w:val="auto"/>
        </w:rPr>
        <w:t>The Grantee acknowledges receipt of a copy of the Plan and agrees to be bound by all the terms and provisions</w:t>
      </w:r>
      <w:r>
        <w:rPr>
          <w:rFonts w:ascii="Arial" w:cs="Arial" w:eastAsia="Arial" w:hAnsi="Arial"/>
          <w:sz w:val="17"/>
          <w:szCs w:val="17"/>
          <w:b w:val="1"/>
          <w:bCs w:val="1"/>
          <w:color w:val="auto"/>
        </w:rPr>
        <w:t xml:space="preserve"> </w:t>
      </w:r>
      <w:r>
        <w:rPr>
          <w:rFonts w:ascii="Arial" w:cs="Arial" w:eastAsia="Arial" w:hAnsi="Arial"/>
          <w:sz w:val="17"/>
          <w:szCs w:val="17"/>
          <w:color w:val="auto"/>
        </w:rPr>
        <w:t>thereof, which are incorporated herein by reference. To the extent that this Agreement is silent with respect to, or in any way inconsistent with, the terms of the Plan, the provisions of the Plan shall govern and this Agreement shall be deemed to be modified accordingly.</w:t>
      </w:r>
    </w:p>
    <w:p>
      <w:pPr>
        <w:spacing w:after="0" w:line="49" w:lineRule="exact"/>
        <w:rPr>
          <w:rFonts w:ascii="Arial" w:cs="Arial" w:eastAsia="Arial" w:hAnsi="Arial"/>
          <w:sz w:val="17"/>
          <w:szCs w:val="17"/>
          <w:b w:val="1"/>
          <w:bCs w:val="1"/>
          <w:color w:val="auto"/>
        </w:rPr>
      </w:pPr>
    </w:p>
    <w:p>
      <w:pPr>
        <w:jc w:val="both"/>
        <w:ind w:left="-575" w:firstLine="656"/>
        <w:spacing w:after="0" w:line="258" w:lineRule="auto"/>
        <w:tabs>
          <w:tab w:leader="none" w:pos="401"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 or communication given hereunder shall be in writing and shall be deemed given when delivered in person, or by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mail, at the following addresses: (i) if to the Employer, to: Regeneron Pharmaceuticals, Inc., 777 Old Saw Mill River Road, Tarrytown, NY 10591, Attention: Secretary, and (ii) if to the Grantee, to: the Grantee at Regeneron Pharmaceuticals, Inc., 777 Old Saw Mill River Road, Tarrytown, NY 10591, or, if the Grantee has terminated employment, to the last address for the Grantee indicated in the records of the Employer, or such other address as the relevant party shall specify at any time hereafter in accordance with this Section 8.</w:t>
      </w:r>
    </w:p>
    <w:p>
      <w:pPr>
        <w:spacing w:after="0" w:line="75" w:lineRule="exact"/>
        <w:rPr>
          <w:rFonts w:ascii="Arial" w:cs="Arial" w:eastAsia="Arial" w:hAnsi="Arial"/>
          <w:sz w:val="18"/>
          <w:szCs w:val="18"/>
          <w:b w:val="1"/>
          <w:bCs w:val="1"/>
          <w:color w:val="auto"/>
        </w:rPr>
      </w:pPr>
    </w:p>
    <w:p>
      <w:pPr>
        <w:ind w:left="-575" w:firstLine="656"/>
        <w:spacing w:after="0" w:line="282" w:lineRule="auto"/>
        <w:tabs>
          <w:tab w:leader="none" w:pos="455"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Obligation to Continue Employment. </w:t>
      </w:r>
      <w:r>
        <w:rPr>
          <w:rFonts w:ascii="Arial" w:cs="Arial" w:eastAsia="Arial" w:hAnsi="Arial"/>
          <w:sz w:val="18"/>
          <w:szCs w:val="18"/>
          <w:color w:val="auto"/>
        </w:rPr>
        <w:t>This Agreement does not guarantee that the Employer will employ the Grantee for any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time period, nor does it modify in any respect the Grantee’s employment or compensation.</w:t>
      </w:r>
    </w:p>
    <w:p>
      <w:pPr>
        <w:spacing w:after="0" w:line="53" w:lineRule="exact"/>
        <w:rPr>
          <w:rFonts w:ascii="Arial" w:cs="Arial" w:eastAsia="Arial" w:hAnsi="Arial"/>
          <w:sz w:val="18"/>
          <w:szCs w:val="18"/>
          <w:b w:val="1"/>
          <w:bCs w:val="1"/>
          <w:color w:val="auto"/>
        </w:rPr>
      </w:pPr>
    </w:p>
    <w:p>
      <w:pPr>
        <w:jc w:val="both"/>
        <w:ind w:left="-575" w:firstLine="575"/>
        <w:spacing w:after="0" w:line="261" w:lineRule="auto"/>
        <w:tabs>
          <w:tab w:leader="none" w:pos="55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Recoupment. </w:t>
      </w:r>
      <w:r>
        <w:rPr>
          <w:rFonts w:ascii="Arial" w:cs="Arial" w:eastAsia="Arial" w:hAnsi="Arial"/>
          <w:sz w:val="18"/>
          <w:szCs w:val="18"/>
          <w:color w:val="auto"/>
        </w:rPr>
        <w:t>By entering into this Agreement and accepting the award hereunder, the Grantee agrees to be bound by the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Policy Regarding Recoupment or Reduction of Incentive Compensation for Compliance Violations, as in effect from time to time (or any successor policy thereto) (the “</w:t>
      </w:r>
      <w:r>
        <w:rPr>
          <w:rFonts w:ascii="Arial" w:cs="Arial" w:eastAsia="Arial" w:hAnsi="Arial"/>
          <w:sz w:val="18"/>
          <w:szCs w:val="18"/>
          <w:u w:val="single" w:color="auto"/>
          <w:color w:val="auto"/>
        </w:rPr>
        <w:t>Recoupment Policy</w:t>
      </w:r>
      <w:r>
        <w:rPr>
          <w:rFonts w:ascii="Arial" w:cs="Arial" w:eastAsia="Arial" w:hAnsi="Arial"/>
          <w:sz w:val="18"/>
          <w:szCs w:val="18"/>
          <w:color w:val="auto"/>
        </w:rPr>
        <w:t>”), and further acknowledges and agrees that the Recoupment Policy shall apply to the Option and any shares of Common Stock issued pursuant thereto.</w:t>
      </w:r>
    </w:p>
    <w:p>
      <w:pPr>
        <w:sectPr>
          <w:pgSz w:w="11900" w:h="16838" w:orient="portrait"/>
          <w:cols w:equalWidth="0" w:num="1">
            <w:col w:w="10665"/>
          </w:cols>
          <w:pgMar w:left="895" w:top="877"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color w:val="auto"/>
        </w:rPr>
        <w:t>Exhibit 10.3.3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642048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96">
                      <a:extLst>
                        <a:ext uri="{28A0092B-C50C-407E-A947-70E740481C1C}"/>
                      </a:extLst>
                    </a:blip>
                    <a:srcRect/>
                    <a:stretch>
                      <a:fillRect/>
                    </a:stretch>
                  </pic:blipFill>
                  <pic:spPr bwMode="auto">
                    <a:xfrm>
                      <a:off x="0" y="0"/>
                      <a:ext cx="64204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Regeneron Pharmaceuticals, Inc.</w:t>
      </w:r>
    </w:p>
    <w:p>
      <w:pPr>
        <w:sectPr>
          <w:pgSz w:w="11900" w:h="16838" w:orient="portrait"/>
          <w:cols w:equalWidth="0" w:num="1">
            <w:col w:w="11240"/>
          </w:cols>
          <w:pgMar w:left="320" w:top="773" w:right="339" w:bottom="1440" w:gutter="0" w:footer="0" w:header="0"/>
        </w:sectPr>
      </w:pP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ID:</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00" w:lineRule="exact"/>
        <w:rPr>
          <w:sz w:val="20"/>
          <w:szCs w:val="20"/>
          <w:color w:val="auto"/>
        </w:rPr>
      </w:pPr>
    </w:p>
    <w:p>
      <w:pPr>
        <w:sectPr>
          <w:pgSz w:w="11900" w:h="16838" w:orient="portrait"/>
          <w:cols w:equalWidth="0" w:num="3">
            <w:col w:w="4880" w:space="40"/>
            <w:col w:w="60" w:space="600"/>
            <w:col w:w="5660"/>
          </w:cols>
          <w:pgMar w:left="320" w:top="773" w:right="339" w:bottom="1440" w:gutter="0" w:footer="0" w:header="0"/>
          <w:type w:val="continuous"/>
        </w:sectPr>
      </w:pPr>
    </w:p>
    <w:p>
      <w:pPr>
        <w:ind w:left="20"/>
        <w:spacing w:after="0"/>
        <w:rPr>
          <w:sz w:val="20"/>
          <w:szCs w:val="20"/>
          <w:color w:val="auto"/>
        </w:rPr>
      </w:pPr>
      <w:r>
        <w:rPr>
          <w:rFonts w:ascii="Arial" w:cs="Arial" w:eastAsia="Arial" w:hAnsi="Arial"/>
          <w:sz w:val="16"/>
          <w:szCs w:val="16"/>
          <w:b w:val="1"/>
          <w:bCs w:val="1"/>
          <w:color w:val="auto"/>
        </w:rPr>
        <w:t>Notice of Grant of Award and Restricted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777 Old Saw Mill River Road</w:t>
      </w:r>
    </w:p>
    <w:p>
      <w:pPr>
        <w:spacing w:after="0" w:line="123" w:lineRule="exact"/>
        <w:rPr>
          <w:sz w:val="20"/>
          <w:szCs w:val="20"/>
          <w:color w:val="auto"/>
        </w:rPr>
      </w:pPr>
    </w:p>
    <w:p>
      <w:pPr>
        <w:sectPr>
          <w:pgSz w:w="11900" w:h="16838" w:orient="portrait"/>
          <w:cols w:equalWidth="0" w:num="2">
            <w:col w:w="3900" w:space="720"/>
            <w:col w:w="6620"/>
          </w:cols>
          <w:pgMar w:left="320" w:top="773" w:right="339" w:bottom="1440" w:gutter="0" w:footer="0" w:header="0"/>
          <w:type w:val="continuous"/>
        </w:sectPr>
      </w:pPr>
    </w:p>
    <w:p>
      <w:pPr>
        <w:ind w:left="20"/>
        <w:spacing w:after="0"/>
        <w:rPr>
          <w:sz w:val="20"/>
          <w:szCs w:val="20"/>
          <w:color w:val="auto"/>
        </w:rPr>
      </w:pPr>
      <w:r>
        <w:rPr>
          <w:rFonts w:ascii="Arial" w:cs="Arial" w:eastAsia="Arial" w:hAnsi="Arial"/>
          <w:sz w:val="16"/>
          <w:szCs w:val="16"/>
          <w:b w:val="1"/>
          <w:bCs w:val="1"/>
          <w:color w:val="auto"/>
        </w:rPr>
        <w:t>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Tarrytown, New York 10591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440690</wp:posOffset>
            </wp:positionV>
            <wp:extent cx="642048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97">
                      <a:extLst>
                        <a:ext uri="{28A0092B-C50C-407E-A947-70E740481C1C}"/>
                      </a:extLst>
                    </a:blip>
                    <a:srcRect/>
                    <a:stretch>
                      <a:fillRect/>
                    </a:stretch>
                  </pic:blipFill>
                  <pic:spPr bwMode="auto">
                    <a:xfrm>
                      <a:off x="0" y="0"/>
                      <a:ext cx="64204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00" w:space="720"/>
            <w:col w:w="6620"/>
          </w:cols>
          <w:pgMar w:left="320" w:top="77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800" w:type="dxa"/>
            <w:vAlign w:val="bottom"/>
          </w:tcPr>
          <w:p>
            <w:pPr>
              <w:ind w:left="20"/>
              <w:spacing w:after="0"/>
              <w:rPr>
                <w:sz w:val="20"/>
                <w:szCs w:val="20"/>
                <w:color w:val="auto"/>
              </w:rPr>
            </w:pPr>
            <w:r>
              <w:rPr>
                <w:rFonts w:ascii="Arial" w:cs="Arial" w:eastAsia="Arial" w:hAnsi="Arial"/>
                <w:sz w:val="18"/>
                <w:szCs w:val="18"/>
                <w:b w:val="1"/>
                <w:bCs w:val="1"/>
                <w:color w:val="auto"/>
              </w:rPr>
              <w:t>[NAME]</w:t>
            </w:r>
          </w:p>
        </w:tc>
        <w:tc>
          <w:tcPr>
            <w:tcW w:w="3060" w:type="dxa"/>
            <w:vAlign w:val="bottom"/>
          </w:tcPr>
          <w:p>
            <w:pPr>
              <w:ind w:left="1820"/>
              <w:spacing w:after="0"/>
              <w:rPr>
                <w:sz w:val="20"/>
                <w:szCs w:val="20"/>
                <w:color w:val="auto"/>
              </w:rPr>
            </w:pPr>
            <w:r>
              <w:rPr>
                <w:rFonts w:ascii="Arial" w:cs="Arial" w:eastAsia="Arial" w:hAnsi="Arial"/>
                <w:sz w:val="18"/>
                <w:szCs w:val="18"/>
                <w:b w:val="1"/>
                <w:bCs w:val="1"/>
                <w:color w:val="auto"/>
              </w:rPr>
              <w:t>RSA Number:</w:t>
            </w:r>
          </w:p>
        </w:tc>
        <w:tc>
          <w:tcPr>
            <w:tcW w:w="500" w:type="dxa"/>
            <w:vAlign w:val="bottom"/>
          </w:tcPr>
          <w:p>
            <w:pPr>
              <w:jc w:val="right"/>
              <w:ind w:right="192"/>
              <w:spacing w:after="0"/>
              <w:rPr>
                <w:sz w:val="20"/>
                <w:szCs w:val="20"/>
                <w:color w:val="auto"/>
              </w:rPr>
            </w:pPr>
            <w:r>
              <w:rPr>
                <w:rFonts w:ascii="Arial" w:cs="Arial" w:eastAsia="Arial" w:hAnsi="Arial"/>
                <w:sz w:val="22"/>
                <w:szCs w:val="22"/>
                <w:b w:val="1"/>
                <w:bCs w:val="1"/>
                <w:color w:val="auto"/>
              </w:rPr>
              <w:t>[</w:t>
            </w:r>
          </w:p>
        </w:tc>
        <w:tc>
          <w:tcPr>
            <w:tcW w:w="3760" w:type="dxa"/>
            <w:vAlign w:val="bottom"/>
          </w:tcPr>
          <w:p>
            <w:pPr>
              <w:jc w:val="right"/>
              <w:ind w:right="3272"/>
              <w:spacing w:after="0"/>
              <w:rPr>
                <w:sz w:val="20"/>
                <w:szCs w:val="20"/>
                <w:color w:val="auto"/>
              </w:rPr>
            </w:pPr>
            <w:r>
              <w:rPr>
                <w:rFonts w:ascii="Arial" w:cs="Arial" w:eastAsia="Arial" w:hAnsi="Arial"/>
                <w:sz w:val="22"/>
                <w:szCs w:val="22"/>
                <w:b w:val="1"/>
                <w:bCs w:val="1"/>
                <w:color w:val="auto"/>
              </w:rPr>
              <w:t>]</w:t>
            </w:r>
          </w:p>
        </w:tc>
      </w:tr>
      <w:tr>
        <w:trPr>
          <w:trHeight w:val="311"/>
        </w:trPr>
        <w:tc>
          <w:tcPr>
            <w:tcW w:w="2800" w:type="dxa"/>
            <w:vAlign w:val="bottom"/>
          </w:tcPr>
          <w:p>
            <w:pPr>
              <w:ind w:left="20"/>
              <w:spacing w:after="0"/>
              <w:rPr>
                <w:sz w:val="20"/>
                <w:szCs w:val="20"/>
                <w:color w:val="auto"/>
              </w:rPr>
            </w:pPr>
            <w:r>
              <w:rPr>
                <w:rFonts w:ascii="Arial" w:cs="Arial" w:eastAsia="Arial" w:hAnsi="Arial"/>
                <w:sz w:val="18"/>
                <w:szCs w:val="18"/>
                <w:b w:val="1"/>
                <w:bCs w:val="1"/>
                <w:color w:val="auto"/>
              </w:rPr>
              <w:t>[ADDRESS]</w:t>
            </w:r>
          </w:p>
        </w:tc>
        <w:tc>
          <w:tcPr>
            <w:tcW w:w="3060" w:type="dxa"/>
            <w:vAlign w:val="bottom"/>
          </w:tcPr>
          <w:p>
            <w:pPr>
              <w:ind w:left="1820"/>
              <w:spacing w:after="0"/>
              <w:rPr>
                <w:sz w:val="20"/>
                <w:szCs w:val="20"/>
                <w:color w:val="auto"/>
              </w:rPr>
            </w:pPr>
            <w:r>
              <w:rPr>
                <w:rFonts w:ascii="Arial" w:cs="Arial" w:eastAsia="Arial" w:hAnsi="Arial"/>
                <w:sz w:val="18"/>
                <w:szCs w:val="18"/>
                <w:b w:val="1"/>
                <w:bCs w:val="1"/>
                <w:color w:val="auto"/>
              </w:rPr>
              <w:t>Plan:</w:t>
            </w:r>
          </w:p>
        </w:tc>
        <w:tc>
          <w:tcPr>
            <w:tcW w:w="500" w:type="dxa"/>
            <w:vAlign w:val="bottom"/>
          </w:tcPr>
          <w:p>
            <w:pPr>
              <w:jc w:val="right"/>
              <w:ind w:right="192"/>
              <w:spacing w:after="0"/>
              <w:rPr>
                <w:sz w:val="20"/>
                <w:szCs w:val="20"/>
                <w:color w:val="auto"/>
              </w:rPr>
            </w:pPr>
            <w:r>
              <w:rPr>
                <w:rFonts w:ascii="Arial" w:cs="Arial" w:eastAsia="Arial" w:hAnsi="Arial"/>
                <w:sz w:val="22"/>
                <w:szCs w:val="22"/>
                <w:b w:val="1"/>
                <w:bCs w:val="1"/>
                <w:color w:val="auto"/>
              </w:rPr>
              <w:t>[</w:t>
            </w:r>
          </w:p>
        </w:tc>
        <w:tc>
          <w:tcPr>
            <w:tcW w:w="3760" w:type="dxa"/>
            <w:vAlign w:val="bottom"/>
          </w:tcPr>
          <w:p>
            <w:pPr>
              <w:jc w:val="right"/>
              <w:ind w:right="3272"/>
              <w:spacing w:after="0"/>
              <w:rPr>
                <w:sz w:val="20"/>
                <w:szCs w:val="20"/>
                <w:color w:val="auto"/>
              </w:rPr>
            </w:pPr>
            <w:r>
              <w:rPr>
                <w:rFonts w:ascii="Arial" w:cs="Arial" w:eastAsia="Arial" w:hAnsi="Arial"/>
                <w:sz w:val="22"/>
                <w:szCs w:val="22"/>
                <w:b w:val="1"/>
                <w:bCs w:val="1"/>
                <w:color w:val="auto"/>
              </w:rPr>
              <w:t>]</w:t>
            </w:r>
          </w:p>
        </w:tc>
      </w:tr>
      <w:tr>
        <w:trPr>
          <w:trHeight w:val="310"/>
        </w:trPr>
        <w:tc>
          <w:tcPr>
            <w:tcW w:w="2800" w:type="dxa"/>
            <w:vAlign w:val="bottom"/>
          </w:tcPr>
          <w:p>
            <w:pPr>
              <w:spacing w:after="0"/>
              <w:rPr>
                <w:sz w:val="24"/>
                <w:szCs w:val="24"/>
                <w:color w:val="auto"/>
              </w:rPr>
            </w:pPr>
          </w:p>
        </w:tc>
        <w:tc>
          <w:tcPr>
            <w:tcW w:w="3060" w:type="dxa"/>
            <w:vAlign w:val="bottom"/>
          </w:tcPr>
          <w:p>
            <w:pPr>
              <w:ind w:left="1820"/>
              <w:spacing w:after="0"/>
              <w:rPr>
                <w:sz w:val="20"/>
                <w:szCs w:val="20"/>
                <w:color w:val="auto"/>
              </w:rPr>
            </w:pPr>
            <w:r>
              <w:rPr>
                <w:rFonts w:ascii="Arial" w:cs="Arial" w:eastAsia="Arial" w:hAnsi="Arial"/>
                <w:sz w:val="18"/>
                <w:szCs w:val="18"/>
                <w:b w:val="1"/>
                <w:bCs w:val="1"/>
                <w:color w:val="auto"/>
              </w:rPr>
              <w:t>ID:</w:t>
            </w:r>
          </w:p>
        </w:tc>
        <w:tc>
          <w:tcPr>
            <w:tcW w:w="500" w:type="dxa"/>
            <w:vAlign w:val="bottom"/>
          </w:tcPr>
          <w:p>
            <w:pPr>
              <w:jc w:val="right"/>
              <w:ind w:right="192"/>
              <w:spacing w:after="0"/>
              <w:rPr>
                <w:sz w:val="20"/>
                <w:szCs w:val="20"/>
                <w:color w:val="auto"/>
              </w:rPr>
            </w:pPr>
            <w:r>
              <w:rPr>
                <w:rFonts w:ascii="Arial" w:cs="Arial" w:eastAsia="Arial" w:hAnsi="Arial"/>
                <w:sz w:val="22"/>
                <w:szCs w:val="22"/>
                <w:b w:val="1"/>
                <w:bCs w:val="1"/>
                <w:color w:val="auto"/>
              </w:rPr>
              <w:t>[</w:t>
            </w:r>
          </w:p>
        </w:tc>
        <w:tc>
          <w:tcPr>
            <w:tcW w:w="3760" w:type="dxa"/>
            <w:vAlign w:val="bottom"/>
          </w:tcPr>
          <w:p>
            <w:pPr>
              <w:jc w:val="right"/>
              <w:ind w:right="3272"/>
              <w:spacing w:after="0"/>
              <w:rPr>
                <w:sz w:val="20"/>
                <w:szCs w:val="20"/>
                <w:color w:val="auto"/>
              </w:rPr>
            </w:pPr>
            <w:r>
              <w:rPr>
                <w:rFonts w:ascii="Arial" w:cs="Arial" w:eastAsia="Arial" w:hAnsi="Arial"/>
                <w:sz w:val="22"/>
                <w:szCs w:val="22"/>
                <w:b w:val="1"/>
                <w:bCs w:val="1"/>
                <w:color w:val="auto"/>
              </w:rPr>
              <w:t>]</w:t>
            </w:r>
          </w:p>
        </w:tc>
      </w:tr>
      <w:tr>
        <w:trPr>
          <w:trHeight w:val="328"/>
        </w:trPr>
        <w:tc>
          <w:tcPr>
            <w:tcW w:w="28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tabs>
          <w:tab w:leader="none" w:pos="5460" w:val="left"/>
        </w:tabs>
        <w:rPr>
          <w:sz w:val="20"/>
          <w:szCs w:val="20"/>
          <w:color w:val="auto"/>
        </w:rPr>
      </w:pPr>
      <w:r>
        <w:rPr>
          <w:rFonts w:ascii="Arial" w:cs="Arial" w:eastAsia="Arial" w:hAnsi="Arial"/>
          <w:sz w:val="18"/>
          <w:szCs w:val="18"/>
          <w:color w:val="auto"/>
        </w:rPr>
        <w:t>Effective &lt;date&gt; (the “Grant Date”) you have been granted an award of [</w:t>
      </w:r>
      <w:r>
        <w:rPr>
          <w:sz w:val="20"/>
          <w:szCs w:val="20"/>
          <w:color w:val="auto"/>
        </w:rPr>
        <w:tab/>
      </w:r>
      <w:r>
        <w:rPr>
          <w:rFonts w:ascii="Arial" w:cs="Arial" w:eastAsia="Arial" w:hAnsi="Arial"/>
          <w:sz w:val="16"/>
          <w:szCs w:val="16"/>
          <w:color w:val="auto"/>
        </w:rPr>
        <w:t>] shares of Regeneron Pharmaceuticals, Inc. (the “Company”) common stock.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These shares are restricted until the vest date(s) shown below.</w:t>
      </w:r>
    </w:p>
    <w:p>
      <w:pPr>
        <w:spacing w:after="0" w:line="76" w:lineRule="exact"/>
        <w:rPr>
          <w:sz w:val="20"/>
          <w:szCs w:val="20"/>
          <w:color w:val="auto"/>
        </w:rPr>
      </w:pPr>
    </w:p>
    <w:p>
      <w:pPr>
        <w:spacing w:after="0"/>
        <w:tabs>
          <w:tab w:leader="none" w:pos="3280" w:val="left"/>
        </w:tabs>
        <w:rPr>
          <w:sz w:val="20"/>
          <w:szCs w:val="20"/>
          <w:color w:val="auto"/>
        </w:rPr>
      </w:pPr>
      <w:r>
        <w:rPr>
          <w:rFonts w:ascii="Arial" w:cs="Arial" w:eastAsia="Arial" w:hAnsi="Arial"/>
          <w:sz w:val="18"/>
          <w:szCs w:val="18"/>
          <w:color w:val="auto"/>
        </w:rPr>
        <w:t>The current total value of the award is $[</w:t>
      </w:r>
      <w:r>
        <w:rPr>
          <w:sz w:val="20"/>
          <w:szCs w:val="20"/>
          <w:color w:val="auto"/>
        </w:rPr>
        <w:tab/>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award will vest in full on the date(s) shown.</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0" w:type="dxa"/>
            <w:vAlign w:val="bottom"/>
          </w:tcPr>
          <w:p>
            <w:pPr>
              <w:ind w:left="20"/>
              <w:spacing w:after="0"/>
              <w:rPr>
                <w:sz w:val="20"/>
                <w:szCs w:val="20"/>
                <w:color w:val="auto"/>
              </w:rPr>
            </w:pPr>
            <w:r>
              <w:rPr>
                <w:rFonts w:ascii="Arial" w:cs="Arial" w:eastAsia="Arial" w:hAnsi="Arial"/>
                <w:sz w:val="13"/>
                <w:szCs w:val="13"/>
                <w:b w:val="1"/>
                <w:bCs w:val="1"/>
                <w:color w:val="auto"/>
              </w:rPr>
              <w:t>Shares</w:t>
            </w:r>
          </w:p>
        </w:tc>
        <w:tc>
          <w:tcPr>
            <w:tcW w:w="4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40" w:type="dxa"/>
            <w:vAlign w:val="bottom"/>
          </w:tcPr>
          <w:p>
            <w:pPr>
              <w:jc w:val="right"/>
              <w:ind w:right="1761"/>
              <w:spacing w:after="0"/>
              <w:rPr>
                <w:sz w:val="20"/>
                <w:szCs w:val="20"/>
                <w:color w:val="auto"/>
              </w:rPr>
            </w:pPr>
            <w:r>
              <w:rPr>
                <w:rFonts w:ascii="Arial" w:cs="Arial" w:eastAsia="Arial" w:hAnsi="Arial"/>
                <w:sz w:val="13"/>
                <w:szCs w:val="13"/>
                <w:b w:val="1"/>
                <w:bCs w:val="1"/>
                <w:color w:val="auto"/>
              </w:rPr>
              <w:t>Full Vest Date</w:t>
            </w:r>
          </w:p>
        </w:tc>
      </w:tr>
      <w:tr>
        <w:trPr>
          <w:trHeight w:val="28"/>
        </w:trPr>
        <w:tc>
          <w:tcPr>
            <w:tcW w:w="52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320" w:type="dxa"/>
            <w:vAlign w:val="bottom"/>
            <w:tcBorders>
              <w:bottom w:val="single" w:sz="8" w:color="C0C0C0"/>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277"/>
        </w:trPr>
        <w:tc>
          <w:tcPr>
            <w:tcW w:w="520" w:type="dxa"/>
            <w:vAlign w:val="bottom"/>
            <w:shd w:val="clear" w:color="auto" w:fill="C0C0C0"/>
          </w:tcPr>
          <w:p>
            <w:pPr>
              <w:ind w:left="20"/>
              <w:spacing w:after="0"/>
              <w:rPr>
                <w:sz w:val="20"/>
                <w:szCs w:val="20"/>
                <w:color w:val="auto"/>
              </w:rPr>
            </w:pPr>
            <w:r>
              <w:rPr>
                <w:rFonts w:ascii="Arial" w:cs="Arial" w:eastAsia="Arial" w:hAnsi="Arial"/>
                <w:sz w:val="18"/>
                <w:szCs w:val="18"/>
                <w:color w:val="auto"/>
              </w:rPr>
              <w:t>[</w:t>
            </w:r>
          </w:p>
        </w:tc>
        <w:tc>
          <w:tcPr>
            <w:tcW w:w="4760" w:type="dxa"/>
            <w:vAlign w:val="bottom"/>
            <w:shd w:val="clear" w:color="auto" w:fill="C0C0C0"/>
          </w:tcPr>
          <w:p>
            <w:pPr>
              <w:jc w:val="right"/>
              <w:ind w:right="44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0C0C0"/>
          </w:tcPr>
          <w:p>
            <w:pPr>
              <w:spacing w:after="0"/>
              <w:rPr>
                <w:sz w:val="24"/>
                <w:szCs w:val="24"/>
                <w:color w:val="auto"/>
              </w:rPr>
            </w:pPr>
          </w:p>
        </w:tc>
        <w:tc>
          <w:tcPr>
            <w:tcW w:w="260" w:type="dxa"/>
            <w:vAlign w:val="bottom"/>
            <w:shd w:val="clear" w:color="auto" w:fill="C0C0C0"/>
          </w:tcPr>
          <w:p>
            <w:pPr>
              <w:jc w:val="right"/>
              <w:ind w:right="90"/>
              <w:spacing w:after="0"/>
              <w:rPr>
                <w:sz w:val="20"/>
                <w:szCs w:val="20"/>
                <w:color w:val="auto"/>
              </w:rPr>
            </w:pPr>
            <w:r>
              <w:rPr>
                <w:rFonts w:ascii="Arial" w:cs="Arial" w:eastAsia="Arial" w:hAnsi="Arial"/>
                <w:sz w:val="18"/>
                <w:szCs w:val="18"/>
                <w:color w:val="auto"/>
              </w:rPr>
              <w:t>[</w:t>
            </w:r>
          </w:p>
        </w:tc>
        <w:tc>
          <w:tcPr>
            <w:tcW w:w="4240" w:type="dxa"/>
            <w:vAlign w:val="bottom"/>
            <w:shd w:val="clear" w:color="auto" w:fill="C0C0C0"/>
          </w:tcPr>
          <w:p>
            <w:pPr>
              <w:jc w:val="right"/>
              <w:ind w:right="3841"/>
              <w:spacing w:after="0"/>
              <w:rPr>
                <w:sz w:val="20"/>
                <w:szCs w:val="20"/>
                <w:color w:val="auto"/>
              </w:rPr>
            </w:pPr>
            <w:r>
              <w:rPr>
                <w:rFonts w:ascii="Arial" w:cs="Arial" w:eastAsia="Arial" w:hAnsi="Arial"/>
                <w:sz w:val="18"/>
                <w:szCs w:val="18"/>
                <w:color w:val="auto"/>
              </w:rPr>
              <w:t>]*</w:t>
            </w:r>
          </w:p>
        </w:tc>
      </w:tr>
      <w:tr>
        <w:trPr>
          <w:trHeight w:val="27"/>
        </w:trPr>
        <w:tc>
          <w:tcPr>
            <w:tcW w:w="520" w:type="dxa"/>
            <w:vAlign w:val="bottom"/>
            <w:shd w:val="clear" w:color="auto" w:fill="C0C0C0"/>
          </w:tcPr>
          <w:p>
            <w:pPr>
              <w:spacing w:after="0"/>
              <w:rPr>
                <w:sz w:val="2"/>
                <w:szCs w:val="2"/>
                <w:color w:val="auto"/>
              </w:rPr>
            </w:pPr>
          </w:p>
        </w:tc>
        <w:tc>
          <w:tcPr>
            <w:tcW w:w="4760" w:type="dxa"/>
            <w:vAlign w:val="bottom"/>
            <w:shd w:val="clear" w:color="auto" w:fill="C0C0C0"/>
          </w:tcPr>
          <w:p>
            <w:pPr>
              <w:spacing w:after="0"/>
              <w:rPr>
                <w:sz w:val="2"/>
                <w:szCs w:val="2"/>
                <w:color w:val="auto"/>
              </w:rPr>
            </w:pPr>
          </w:p>
        </w:tc>
        <w:tc>
          <w:tcPr>
            <w:tcW w:w="320" w:type="dxa"/>
            <w:vAlign w:val="bottom"/>
            <w:shd w:val="clear" w:color="auto" w:fill="C0C0C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4240" w:type="dxa"/>
            <w:vAlign w:val="bottom"/>
            <w:shd w:val="clear" w:color="auto" w:fill="C0C0C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640334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98">
                      <a:extLst>
                        <a:ext uri="{28A0092B-C50C-407E-A947-70E740481C1C}"/>
                      </a:extLst>
                    </a:blip>
                    <a:srcRect/>
                    <a:stretch>
                      <a:fillRect/>
                    </a:stretch>
                  </pic:blipFill>
                  <pic:spPr bwMode="auto">
                    <a:xfrm>
                      <a:off x="0" y="0"/>
                      <a:ext cx="6403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right="1540"/>
        <w:spacing w:after="0" w:line="263" w:lineRule="auto"/>
        <w:rPr>
          <w:sz w:val="20"/>
          <w:szCs w:val="20"/>
          <w:color w:val="auto"/>
        </w:rPr>
      </w:pPr>
      <w:r>
        <w:rPr>
          <w:rFonts w:ascii="Arial" w:cs="Arial" w:eastAsia="Arial" w:hAnsi="Arial"/>
          <w:sz w:val="18"/>
          <w:szCs w:val="18"/>
          <w:color w:val="auto"/>
        </w:rPr>
        <w:t>You and the Company agree that this award is granted under and governed by the terms and conditions of the Second Amended and Restated Regeneron Pharmaceuticals, Inc. 2014 Long Term Incentive Plan, as amended from time to time, and the enclosed Restricted Stock Agreement, both of which are attached and made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640334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99">
                      <a:extLst>
                        <a:ext uri="{28A0092B-C50C-407E-A947-70E740481C1C}"/>
                      </a:extLst>
                    </a:blip>
                    <a:srcRect/>
                    <a:stretch>
                      <a:fillRect/>
                    </a:stretch>
                  </pic:blipFill>
                  <pic:spPr bwMode="auto">
                    <a:xfrm>
                      <a:off x="0" y="0"/>
                      <a:ext cx="640334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w:t>
      </w:r>
    </w:p>
    <w:p>
      <w:pPr>
        <w:spacing w:after="0" w:line="308" w:lineRule="exact"/>
        <w:rPr>
          <w:sz w:val="20"/>
          <w:szCs w:val="20"/>
          <w:color w:val="auto"/>
        </w:rPr>
      </w:pPr>
    </w:p>
    <w:p>
      <w:pPr>
        <w:ind w:left="520" w:right="1260" w:hanging="494"/>
        <w:spacing w:after="0" w:line="259" w:lineRule="auto"/>
        <w:tabs>
          <w:tab w:leader="none" w:pos="5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Awards designated as annual awards will vest 50% on the second anniversary of the Grant Date and 50% on the fourth anniversary of the Grant Date. Awards to Senior Vice Presidents and Executive Vice Presidents designated as special awards will vest in their entirety on the fifth anniversary of the Grant Date. Awards to Vice Presidents designated as special awards will vest in their entirety on the fourth anniversary of the Grant Date.</w:t>
      </w:r>
    </w:p>
    <w:p>
      <w:pPr>
        <w:sectPr>
          <w:pgSz w:w="11900" w:h="16838" w:orient="portrait"/>
          <w:cols w:equalWidth="0" w:num="1">
            <w:col w:w="11240"/>
          </w:cols>
          <w:pgMar w:left="320" w:top="773" w:right="339" w:bottom="1440" w:gutter="0" w:footer="0" w:header="0"/>
          <w:type w:val="continuous"/>
        </w:sectPr>
      </w:pPr>
    </w:p>
    <w:bookmarkStart w:id="159" w:name="page160"/>
    <w:bookmarkEnd w:id="159"/>
    <w:p>
      <w:pPr>
        <w:jc w:val="center"/>
        <w:spacing w:after="0"/>
        <w:rPr>
          <w:sz w:val="20"/>
          <w:szCs w:val="20"/>
          <w:color w:val="auto"/>
        </w:rPr>
      </w:pPr>
      <w:r>
        <w:rPr>
          <w:rFonts w:ascii="Arial" w:cs="Arial" w:eastAsia="Arial" w:hAnsi="Arial"/>
          <w:sz w:val="25"/>
          <w:szCs w:val="25"/>
          <w:b w:val="1"/>
          <w:bCs w:val="1"/>
          <w:color w:val="800000"/>
        </w:rPr>
        <w:t>REGENERON PHARMACEUTICALS, INC.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SECOND AMENDED AND RESTATED REGENERON PHARMACEUTICALS,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2014 LONG-TERM INCENTIVE PLAN</w:t>
      </w:r>
    </w:p>
    <w:p>
      <w:pPr>
        <w:spacing w:after="0" w:line="303"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THIS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made as of the date on the </w:t>
      </w:r>
      <w:r>
        <w:rPr>
          <w:rFonts w:ascii="Arial" w:cs="Arial" w:eastAsia="Arial" w:hAnsi="Arial"/>
          <w:sz w:val="17"/>
          <w:szCs w:val="17"/>
          <w:i w:val="1"/>
          <w:iCs w:val="1"/>
          <w:color w:val="auto"/>
        </w:rPr>
        <w:t>Notice of Grant of Restricted Stock</w:t>
      </w:r>
      <w:r>
        <w:rPr>
          <w:rFonts w:ascii="Arial" w:cs="Arial" w:eastAsia="Arial" w:hAnsi="Arial"/>
          <w:sz w:val="17"/>
          <w:szCs w:val="17"/>
          <w:color w:val="auto"/>
        </w:rPr>
        <w:t>, by and between Regeneron Pharmaceuticals, Inc., a New York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and the employee named on the </w:t>
      </w:r>
      <w:r>
        <w:rPr>
          <w:rFonts w:ascii="Arial" w:cs="Arial" w:eastAsia="Arial" w:hAnsi="Arial"/>
          <w:sz w:val="17"/>
          <w:szCs w:val="17"/>
          <w:i w:val="1"/>
          <w:iCs w:val="1"/>
          <w:color w:val="auto"/>
        </w:rPr>
        <w:t>Notice of Grant of Restricted Stock</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Recipient</w:t>
      </w:r>
      <w:r>
        <w:rPr>
          <w:rFonts w:ascii="Arial" w:cs="Arial" w:eastAsia="Arial" w:hAnsi="Arial"/>
          <w:sz w:val="17"/>
          <w:szCs w:val="17"/>
          <w:color w:val="auto"/>
        </w:rPr>
        <w:t>”). Any capitalized term used but not defined in this Agreement shall have the meaning given to such term in the Plan (as defined below).</w:t>
      </w:r>
    </w:p>
    <w:p>
      <w:pPr>
        <w:spacing w:after="0" w:line="57"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WHEREAS, the Recipient is an employee of the Company (or a Subsidiary of the Company) and the Company desires to afford the Recipient the opportunity to acquire or enlarge the Recipient’s stock ownership in the Company so that the Recipient may have a direct proprietary interest in the Company’s success; and</w:t>
      </w:r>
    </w:p>
    <w:p>
      <w:pPr>
        <w:spacing w:after="0" w:line="7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WHEREAS, the Committee administering the Second Amended and Restated Regeneron Pharmaceuticals, Inc. 2014 Long-Term Incentive Plan (as amended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xml:space="preserve">”) has granted (as of the effective date of grant specified in the </w:t>
      </w:r>
      <w:r>
        <w:rPr>
          <w:rFonts w:ascii="Arial" w:cs="Arial" w:eastAsia="Arial" w:hAnsi="Arial"/>
          <w:sz w:val="18"/>
          <w:szCs w:val="18"/>
          <w:i w:val="1"/>
          <w:iCs w:val="1"/>
          <w:color w:val="auto"/>
        </w:rPr>
        <w:t>Notice of Grant of Restricted Stock</w:t>
      </w:r>
      <w:r>
        <w:rPr>
          <w:rFonts w:ascii="Arial" w:cs="Arial" w:eastAsia="Arial" w:hAnsi="Arial"/>
          <w:sz w:val="18"/>
          <w:szCs w:val="18"/>
          <w:color w:val="auto"/>
        </w:rPr>
        <w:t xml:space="preserve">) to the Recipient the shares of Restricted Stock as set forth in the </w:t>
      </w:r>
      <w:r>
        <w:rPr>
          <w:rFonts w:ascii="Arial" w:cs="Arial" w:eastAsia="Arial" w:hAnsi="Arial"/>
          <w:sz w:val="18"/>
          <w:szCs w:val="18"/>
          <w:i w:val="1"/>
          <w:iCs w:val="1"/>
          <w:color w:val="auto"/>
        </w:rPr>
        <w:t>Notice of Grant of Restricted Stock</w:t>
      </w:r>
      <w:r>
        <w:rPr>
          <w:rFonts w:ascii="Arial" w:cs="Arial" w:eastAsia="Arial" w:hAnsi="Arial"/>
          <w:sz w:val="18"/>
          <w:szCs w:val="18"/>
          <w:color w:val="auto"/>
        </w:rPr>
        <w:t>.</w:t>
      </w:r>
    </w:p>
    <w:p>
      <w:pPr>
        <w:spacing w:after="0" w:line="76"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NOW, THEREFORE, in consideration of the covenants and agreements herein contained, the parties agree as follows:</w:t>
      </w:r>
    </w:p>
    <w:p>
      <w:pPr>
        <w:spacing w:after="0" w:line="113" w:lineRule="exact"/>
        <w:rPr>
          <w:sz w:val="20"/>
          <w:szCs w:val="20"/>
          <w:color w:val="auto"/>
        </w:rPr>
      </w:pPr>
    </w:p>
    <w:p>
      <w:pPr>
        <w:jc w:val="both"/>
        <w:ind w:firstLine="1304"/>
        <w:spacing w:after="0" w:line="303" w:lineRule="auto"/>
        <w:tabs>
          <w:tab w:leader="none" w:pos="1944" w:val="left"/>
        </w:tabs>
        <w:numPr>
          <w:ilvl w:val="0"/>
          <w:numId w:val="88"/>
        </w:numPr>
        <w:rPr>
          <w:rFonts w:ascii="Arial" w:cs="Arial" w:eastAsia="Arial" w:hAnsi="Arial"/>
          <w:sz w:val="16"/>
          <w:szCs w:val="16"/>
          <w:color w:val="auto"/>
        </w:rPr>
      </w:pPr>
      <w:r>
        <w:rPr>
          <w:rFonts w:ascii="Arial" w:cs="Arial" w:eastAsia="Arial" w:hAnsi="Arial"/>
          <w:sz w:val="16"/>
          <w:szCs w:val="16"/>
          <w:b w:val="1"/>
          <w:bCs w:val="1"/>
          <w:color w:val="auto"/>
        </w:rPr>
        <w:t>Grant of Award</w:t>
      </w:r>
      <w:r>
        <w:rPr>
          <w:rFonts w:ascii="Arial" w:cs="Arial" w:eastAsia="Arial" w:hAnsi="Arial"/>
          <w:sz w:val="16"/>
          <w:szCs w:val="16"/>
          <w:color w:val="auto"/>
        </w:rPr>
        <w:t>. Pursuant to Section 8 of the Plan, the Company grants to the Recipient, subject to the terms and conditions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Plan and subject further to the terms and conditions set forth herein, the number of shares of Restricted Stock as shown on the </w:t>
      </w:r>
      <w:r>
        <w:rPr>
          <w:rFonts w:ascii="Arial" w:cs="Arial" w:eastAsia="Arial" w:hAnsi="Arial"/>
          <w:sz w:val="16"/>
          <w:szCs w:val="16"/>
          <w:i w:val="1"/>
          <w:iCs w:val="1"/>
          <w:color w:val="auto"/>
        </w:rPr>
        <w:t>Notice of Grant of</w:t>
      </w:r>
      <w:r>
        <w:rPr>
          <w:rFonts w:ascii="Arial" w:cs="Arial" w:eastAsia="Arial" w:hAnsi="Arial"/>
          <w:sz w:val="16"/>
          <w:szCs w:val="16"/>
          <w:color w:val="auto"/>
        </w:rPr>
        <w:t xml:space="preserve"> </w:t>
      </w:r>
      <w:r>
        <w:rPr>
          <w:rFonts w:ascii="Arial" w:cs="Arial" w:eastAsia="Arial" w:hAnsi="Arial"/>
          <w:sz w:val="16"/>
          <w:szCs w:val="16"/>
          <w:i w:val="1"/>
          <w:iCs w:val="1"/>
          <w:color w:val="auto"/>
        </w:rPr>
        <w:t>Restricted Stock</w:t>
      </w:r>
      <w:r>
        <w:rPr>
          <w:rFonts w:ascii="Arial" w:cs="Arial" w:eastAsia="Arial" w:hAnsi="Arial"/>
          <w:sz w:val="16"/>
          <w:szCs w:val="16"/>
          <w:color w:val="auto"/>
        </w:rPr>
        <w:t>. The Recipient’s grant and record of Restricted Stock share ownership shall be kept on the books of the Company until the restrictions on</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 have lapsed. At the Recipient’s request, vested shares may be evidenced by stock certificates or book-entry registration.</w:t>
      </w:r>
    </w:p>
    <w:p>
      <w:pPr>
        <w:spacing w:after="0" w:line="42" w:lineRule="exact"/>
        <w:rPr>
          <w:rFonts w:ascii="Arial" w:cs="Arial" w:eastAsia="Arial" w:hAnsi="Arial"/>
          <w:sz w:val="16"/>
          <w:szCs w:val="16"/>
          <w:color w:val="auto"/>
        </w:rPr>
      </w:pPr>
    </w:p>
    <w:p>
      <w:pPr>
        <w:jc w:val="both"/>
        <w:ind w:firstLine="1304"/>
        <w:spacing w:after="0" w:line="254" w:lineRule="auto"/>
        <w:tabs>
          <w:tab w:leader="none" w:pos="1944" w:val="left"/>
        </w:tabs>
        <w:numPr>
          <w:ilvl w:val="0"/>
          <w:numId w:val="88"/>
        </w:numPr>
        <w:rPr>
          <w:rFonts w:ascii="Arial" w:cs="Arial" w:eastAsia="Arial" w:hAnsi="Arial"/>
          <w:sz w:val="17"/>
          <w:szCs w:val="17"/>
          <w:color w:val="auto"/>
        </w:rPr>
      </w:pPr>
      <w:r>
        <w:rPr>
          <w:rFonts w:ascii="Arial" w:cs="Arial" w:eastAsia="Arial" w:hAnsi="Arial"/>
          <w:sz w:val="17"/>
          <w:szCs w:val="17"/>
          <w:b w:val="1"/>
          <w:bCs w:val="1"/>
          <w:color w:val="auto"/>
        </w:rPr>
        <w:t>Vesting</w:t>
      </w:r>
      <w:r>
        <w:rPr>
          <w:rFonts w:ascii="Arial" w:cs="Arial" w:eastAsia="Arial" w:hAnsi="Arial"/>
          <w:sz w:val="17"/>
          <w:szCs w:val="17"/>
          <w:color w:val="auto"/>
        </w:rPr>
        <w:t>. (a) The shares of Restricted Stock granted to the Recipient shall vest in installments as provided in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Notice of Grant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of Restricted Stock</w:t>
      </w:r>
      <w:r>
        <w:rPr>
          <w:rFonts w:ascii="Arial" w:cs="Arial" w:eastAsia="Arial" w:hAnsi="Arial"/>
          <w:sz w:val="17"/>
          <w:szCs w:val="17"/>
          <w:color w:val="auto"/>
        </w:rPr>
        <w:t>. The vesting schedule in the</w:t>
      </w:r>
      <w:r>
        <w:rPr>
          <w:rFonts w:ascii="Arial" w:cs="Arial" w:eastAsia="Arial" w:hAnsi="Arial"/>
          <w:sz w:val="17"/>
          <w:szCs w:val="17"/>
          <w:i w:val="1"/>
          <w:iCs w:val="1"/>
          <w:color w:val="auto"/>
        </w:rPr>
        <w:t xml:space="preserve"> Notice of Grant of Restricted Stock </w:t>
      </w:r>
      <w:r>
        <w:rPr>
          <w:rFonts w:ascii="Arial" w:cs="Arial" w:eastAsia="Arial" w:hAnsi="Arial"/>
          <w:sz w:val="17"/>
          <w:szCs w:val="17"/>
          <w:color w:val="auto"/>
        </w:rPr>
        <w:t>indicates each date upon which the restrictions on transfer on the</w:t>
      </w:r>
      <w:r>
        <w:rPr>
          <w:rFonts w:ascii="Arial" w:cs="Arial" w:eastAsia="Arial" w:hAnsi="Arial"/>
          <w:sz w:val="17"/>
          <w:szCs w:val="17"/>
          <w:i w:val="1"/>
          <w:iCs w:val="1"/>
          <w:color w:val="auto"/>
        </w:rPr>
        <w:t xml:space="preserve"> </w:t>
      </w:r>
      <w:r>
        <w:rPr>
          <w:rFonts w:ascii="Arial" w:cs="Arial" w:eastAsia="Arial" w:hAnsi="Arial"/>
          <w:sz w:val="17"/>
          <w:szCs w:val="17"/>
          <w:color w:val="auto"/>
        </w:rPr>
        <w:t>specified number of shares of Restricted Stock shall lapse, entitling the Recipient to freely transfer such shares, provided that the Recipient has not [(except with respect to retirement on the terms set forth below)]</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incurred a termination of employment with the Company and all Subsidiaries (the Company and its Subsidiaries shall be referred to herein, collectively, as the “</w:t>
      </w:r>
      <w:r>
        <w:rPr>
          <w:rFonts w:ascii="Arial" w:cs="Arial" w:eastAsia="Arial" w:hAnsi="Arial"/>
          <w:sz w:val="17"/>
          <w:szCs w:val="17"/>
          <w:u w:val="single" w:color="auto"/>
          <w:color w:val="auto"/>
        </w:rPr>
        <w:t>Employer</w:t>
      </w:r>
      <w:r>
        <w:rPr>
          <w:rFonts w:ascii="Arial" w:cs="Arial" w:eastAsia="Arial" w:hAnsi="Arial"/>
          <w:sz w:val="17"/>
          <w:szCs w:val="17"/>
          <w:color w:val="auto"/>
        </w:rPr>
        <w:t xml:space="preserve">”). There shall be no proportionate or partial vesting in the periods between the Full Vest Dates specified in the </w:t>
      </w:r>
      <w:r>
        <w:rPr>
          <w:rFonts w:ascii="Arial" w:cs="Arial" w:eastAsia="Arial" w:hAnsi="Arial"/>
          <w:sz w:val="17"/>
          <w:szCs w:val="17"/>
          <w:i w:val="1"/>
          <w:iCs w:val="1"/>
          <w:color w:val="auto"/>
        </w:rPr>
        <w:t>Notice of Grant of Restricted Stock</w:t>
      </w:r>
      <w:r>
        <w:rPr>
          <w:rFonts w:ascii="Arial" w:cs="Arial" w:eastAsia="Arial" w:hAnsi="Arial"/>
          <w:sz w:val="17"/>
          <w:szCs w:val="17"/>
          <w:color w:val="auto"/>
        </w:rPr>
        <w:t xml:space="preserve"> and all vesting shall occur only on such Full Vest Dates. No vesting shall occur after the termination of the Recipient’s employment with the Employer for any reason [(except with respect to retirement on the terms set forth below)]</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The provisions of this Section 2(a) are subject to (i) the provisions set forth in the </w:t>
      </w:r>
      <w:r>
        <w:rPr>
          <w:rFonts w:ascii="Arial" w:cs="Arial" w:eastAsia="Arial" w:hAnsi="Arial"/>
          <w:sz w:val="17"/>
          <w:szCs w:val="17"/>
          <w:i w:val="1"/>
          <w:iCs w:val="1"/>
          <w:color w:val="auto"/>
        </w:rPr>
        <w:t>Notice of Grant of Restricted Stock</w:t>
      </w:r>
      <w:r>
        <w:rPr>
          <w:rFonts w:ascii="Arial" w:cs="Arial" w:eastAsia="Arial" w:hAnsi="Arial"/>
          <w:sz w:val="17"/>
          <w:szCs w:val="17"/>
          <w:color w:val="auto"/>
        </w:rPr>
        <w:t xml:space="preserve"> or any employment agreement, consulting agreement, change in control agreement or plan, or similar agreement or plan in effect between the Employer and the Recipient (or otherwise applicable to the Recipient) on the date of grant specified in the </w:t>
      </w:r>
      <w:r>
        <w:rPr>
          <w:rFonts w:ascii="Arial" w:cs="Arial" w:eastAsia="Arial" w:hAnsi="Arial"/>
          <w:sz w:val="17"/>
          <w:szCs w:val="17"/>
          <w:i w:val="1"/>
          <w:iCs w:val="1"/>
          <w:color w:val="auto"/>
        </w:rPr>
        <w:t>Notice of Grant of Restricted Stock</w:t>
      </w:r>
      <w:r>
        <w:rPr>
          <w:rFonts w:ascii="Arial" w:cs="Arial" w:eastAsia="Arial" w:hAnsi="Arial"/>
          <w:sz w:val="17"/>
          <w:szCs w:val="17"/>
          <w:color w:val="auto"/>
        </w:rPr>
        <w:t xml:space="preserve"> and (ii) the Committee’s determination in accordance with Section 8(h) of the Plan.</w:t>
      </w:r>
    </w:p>
    <w:p>
      <w:pPr>
        <w:spacing w:after="0" w:line="91" w:lineRule="exact"/>
        <w:rPr>
          <w:sz w:val="20"/>
          <w:szCs w:val="20"/>
          <w:color w:val="auto"/>
        </w:rPr>
      </w:pPr>
    </w:p>
    <w:p>
      <w:pPr>
        <w:jc w:val="both"/>
        <w:ind w:firstLine="1304"/>
        <w:spacing w:after="0" w:line="259" w:lineRule="auto"/>
        <w:tabs>
          <w:tab w:leader="none" w:pos="1771"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Notwithstanding anything herein (except the following sentence) or in the </w:t>
      </w:r>
      <w:r>
        <w:rPr>
          <w:rFonts w:ascii="Arial" w:cs="Arial" w:eastAsia="Arial" w:hAnsi="Arial"/>
          <w:sz w:val="18"/>
          <w:szCs w:val="18"/>
          <w:i w:val="1"/>
          <w:iCs w:val="1"/>
          <w:color w:val="auto"/>
        </w:rPr>
        <w:t>Notice of Grant of Restricted Stock</w:t>
      </w:r>
      <w:r>
        <w:rPr>
          <w:rFonts w:ascii="Arial" w:cs="Arial" w:eastAsia="Arial" w:hAnsi="Arial"/>
          <w:sz w:val="18"/>
          <w:szCs w:val="18"/>
          <w:color w:val="auto"/>
        </w:rPr>
        <w:t xml:space="preserve"> to the contrary, but subject to the provisions of any employment agreement, consulting agreement, change in control agreement or plan, or similar agreement or plan in effect between the Employer and the Recipient (or otherwise applicable to the Recipient) on the date of grant specified in the </w:t>
      </w:r>
      <w:r>
        <w:rPr>
          <w:rFonts w:ascii="Arial" w:cs="Arial" w:eastAsia="Arial" w:hAnsi="Arial"/>
          <w:sz w:val="18"/>
          <w:szCs w:val="18"/>
          <w:i w:val="1"/>
          <w:iCs w:val="1"/>
          <w:color w:val="auto"/>
        </w:rPr>
        <w:t>Notice of Grant of Restricted Stock</w:t>
      </w:r>
      <w:r>
        <w:rPr>
          <w:rFonts w:ascii="Arial" w:cs="Arial" w:eastAsia="Arial" w:hAnsi="Arial"/>
          <w:sz w:val="18"/>
          <w:szCs w:val="18"/>
          <w:color w:val="auto"/>
        </w:rPr>
        <w:t>, the Restricted Stock granted to Recipient shall be fully vested on the date the Recipient’s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17145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0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ind w:left="120" w:hanging="112"/>
        <w:spacing w:after="0"/>
        <w:tabs>
          <w:tab w:leader="none" w:pos="120" w:val="left"/>
        </w:tabs>
        <w:numPr>
          <w:ilvl w:val="0"/>
          <w:numId w:val="90"/>
        </w:numPr>
        <w:rPr>
          <w:rFonts w:ascii="Arial" w:cs="Arial" w:eastAsia="Arial" w:hAnsi="Arial"/>
          <w:sz w:val="23"/>
          <w:szCs w:val="23"/>
          <w:color w:val="auto"/>
          <w:vertAlign w:val="superscript"/>
        </w:rPr>
      </w:pPr>
      <w:r>
        <w:rPr>
          <w:rFonts w:ascii="Arial" w:cs="Arial" w:eastAsia="Arial" w:hAnsi="Arial"/>
          <w:sz w:val="18"/>
          <w:szCs w:val="18"/>
          <w:color w:val="auto"/>
        </w:rPr>
        <w:t>Only applicable to Restricted Stock Agreements for George D. Yancopoulos, M.D., Ph.D.</w:t>
      </w:r>
    </w:p>
    <w:p>
      <w:pPr>
        <w:spacing w:after="0" w:line="1" w:lineRule="exact"/>
        <w:rPr>
          <w:rFonts w:ascii="Arial" w:cs="Arial" w:eastAsia="Arial" w:hAnsi="Arial"/>
          <w:sz w:val="23"/>
          <w:szCs w:val="23"/>
          <w:color w:val="auto"/>
          <w:vertAlign w:val="superscript"/>
        </w:rPr>
      </w:pPr>
    </w:p>
    <w:p>
      <w:pPr>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2</w:t>
      </w:r>
      <w:r>
        <w:rPr>
          <w:rFonts w:ascii="Arial" w:cs="Arial" w:eastAsia="Arial" w:hAnsi="Arial"/>
          <w:sz w:val="18"/>
          <w:szCs w:val="18"/>
          <w:color w:val="auto"/>
        </w:rPr>
        <w:t xml:space="preserve"> Only applicable to Restricted Stock Agreements for George D. Yancopoulos, M.D., Ph.D.</w:t>
      </w:r>
    </w:p>
    <w:p>
      <w:pPr>
        <w:sectPr>
          <w:pgSz w:w="11900" w:h="16838" w:orient="portrait"/>
          <w:cols w:equalWidth="0" w:num="1">
            <w:col w:w="11240"/>
          </w:cols>
          <w:pgMar w:left="320" w:top="1413" w:right="339" w:bottom="1440" w:gutter="0" w:footer="0" w:header="0"/>
        </w:sectPr>
      </w:pPr>
    </w:p>
    <w:bookmarkStart w:id="160" w:name="page161"/>
    <w:bookmarkEnd w:id="160"/>
    <w:p>
      <w:pPr>
        <w:spacing w:after="0" w:line="9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employment with the Employer is terminated if the Recipient’s employment with the Employer is terminated on or within two years after the occurrence of a Change in Control by the Employer (other than for Cause) or by the Recipient for Good Reason. Except as otherwise provided in any employment agreement, consulting agreement, change in control agreement or plan, or similar agreement or plan in effect between the Employer and the Recipient (or otherwise applicable to the Recipient) on the date of grant specified in the </w:t>
      </w:r>
      <w:r>
        <w:rPr>
          <w:rFonts w:ascii="Arial" w:cs="Arial" w:eastAsia="Arial" w:hAnsi="Arial"/>
          <w:sz w:val="16"/>
          <w:szCs w:val="16"/>
          <w:i w:val="1"/>
          <w:iCs w:val="1"/>
          <w:color w:val="auto"/>
        </w:rPr>
        <w:t>Notice of Grant of Restricted Stock</w:t>
      </w:r>
      <w:r>
        <w:rPr>
          <w:rFonts w:ascii="Arial" w:cs="Arial" w:eastAsia="Arial" w:hAnsi="Arial"/>
          <w:sz w:val="16"/>
          <w:szCs w:val="16"/>
          <w:color w:val="auto"/>
        </w:rPr>
        <w:t>, if the application of the provision in the foregoing sentence, similar provisions in other stock option or restricted stock grants, and other payments and benefits payable to the Recipient upon termination of employment with the Employer (collectively, the “</w:t>
      </w:r>
      <w:r>
        <w:rPr>
          <w:rFonts w:ascii="Arial" w:cs="Arial" w:eastAsia="Arial" w:hAnsi="Arial"/>
          <w:sz w:val="16"/>
          <w:szCs w:val="16"/>
          <w:u w:val="single" w:color="auto"/>
          <w:color w:val="auto"/>
        </w:rPr>
        <w:t>Company Payments</w:t>
      </w:r>
      <w:r>
        <w:rPr>
          <w:rFonts w:ascii="Arial" w:cs="Arial" w:eastAsia="Arial" w:hAnsi="Arial"/>
          <w:sz w:val="16"/>
          <w:szCs w:val="16"/>
          <w:color w:val="auto"/>
        </w:rPr>
        <w:t>”) would result in the Recipient being subject to excise tax (the “</w:t>
      </w:r>
      <w:r>
        <w:rPr>
          <w:rFonts w:ascii="Arial" w:cs="Arial" w:eastAsia="Arial" w:hAnsi="Arial"/>
          <w:sz w:val="16"/>
          <w:szCs w:val="16"/>
          <w:u w:val="single" w:color="auto"/>
          <w:color w:val="auto"/>
        </w:rPr>
        <w:t>Excise Tax</w:t>
      </w:r>
      <w:r>
        <w:rPr>
          <w:rFonts w:ascii="Arial" w:cs="Arial" w:eastAsia="Arial" w:hAnsi="Arial"/>
          <w:sz w:val="16"/>
          <w:szCs w:val="16"/>
          <w:color w:val="auto"/>
        </w:rPr>
        <w:t>”) payable under Section 4999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xml:space="preserve">”), the amount of any Company Payments shall be automatically reduced to an amount one dollar less than an amount that would subject the Recipient to the Excise Tax;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reduction shall occur only if the reduced Company Payments received by the Recipient (after taking into account further reductions for applicable federal, state and local income, social security and other taxes) would be greater than the unreduced Company Payments to be received by the Recipient minus (i) the Excise Tax payable with respect to such Company Payments and (ii) all applicable federal, state and local income, social security and other taxes on such Company Payments. If the Company Payments are to be reduced in accordance with the foregoing, the Company Payments shall be reduced as mutually agreed between the Employer and the Recipient or, in the event the parties cannot agree, in the following order: (1) acceleration of vesting of any option where the exercise price exceeds the fair market value of the underlying shares at the time the acceleration would otherwise occur; (2) any lump-sum severance based on a multiple of base salary or bonus; (3) any other cash amounts payable to the Recipient; (4) any benefits valued as parachute payments; and (5) acceleration of vesting of any equity not covered by (1) above.</w:t>
      </w:r>
    </w:p>
    <w:p>
      <w:pPr>
        <w:spacing w:after="0" w:line="68" w:lineRule="exact"/>
        <w:rPr>
          <w:sz w:val="20"/>
          <w:szCs w:val="20"/>
          <w:color w:val="auto"/>
        </w:rPr>
      </w:pPr>
    </w:p>
    <w:p>
      <w:pPr>
        <w:jc w:val="both"/>
        <w:ind w:firstLine="8"/>
        <w:spacing w:after="0" w:line="286" w:lineRule="auto"/>
        <w:tabs>
          <w:tab w:leader="none" w:pos="717" w:val="left"/>
        </w:tabs>
        <w:numPr>
          <w:ilvl w:val="0"/>
          <w:numId w:val="91"/>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shall mean (i) in the case where there is no employment agreement, consulting agreement, change in control agreement or plan, or similar agreement or plan in effect between the Employer and the Recipient (or otherwise applicable to the Recipient) on the date of grant specified in the </w:t>
      </w:r>
      <w:r>
        <w:rPr>
          <w:rFonts w:ascii="Arial" w:cs="Arial" w:eastAsia="Arial" w:hAnsi="Arial"/>
          <w:sz w:val="16"/>
          <w:szCs w:val="16"/>
          <w:i w:val="1"/>
          <w:iCs w:val="1"/>
          <w:color w:val="auto"/>
        </w:rPr>
        <w:t>Notice of Grant of Restricted Stock</w:t>
      </w:r>
      <w:r>
        <w:rPr>
          <w:rFonts w:ascii="Arial" w:cs="Arial" w:eastAsia="Arial" w:hAnsi="Arial"/>
          <w:sz w:val="16"/>
          <w:szCs w:val="16"/>
          <w:color w:val="auto"/>
        </w:rPr>
        <w:t xml:space="preserve"> (or where there is such an agreement or plan but it does not define “cause” (or words of like import)) (A) the willful and continued failure by the Recipient substantially to perform his or her duties and obligations to the Employer (other than any such failure resulting from his or her incapacity due to physical or mental illness), including without limitation, repeated refusal to follow the reasonable directions of the Employer, violation of the Employer’s Code of Business Conduct and Ethics, knowing violation of law in the course of performance of the duties of the Recipient’s employment with the Employer, repeated absences from work without a reasonable excuse, or intoxication with alcohol or illegal drugs while on the Employer’s premises during regular business hours; (B) fraud or material dishonesty against the Employer; or (C) a conviction or plea of guilty or nolo contendere to a felony or a crime involving material dishonesty; or (ii) in the case where there is an employment agreement, consulting agreement, change in control agreement or plan, or similar agreement or plan in effect between the Employer and the Recipient (or otherwise applicable to the Recipient) on the date of grant specified on the </w:t>
      </w:r>
      <w:r>
        <w:rPr>
          <w:rFonts w:ascii="Arial" w:cs="Arial" w:eastAsia="Arial" w:hAnsi="Arial"/>
          <w:sz w:val="16"/>
          <w:szCs w:val="16"/>
          <w:i w:val="1"/>
          <w:iCs w:val="1"/>
          <w:color w:val="auto"/>
        </w:rPr>
        <w:t>Notice of Grant of Restricted Stock</w:t>
      </w:r>
      <w:r>
        <w:rPr>
          <w:rFonts w:ascii="Arial" w:cs="Arial" w:eastAsia="Arial" w:hAnsi="Arial"/>
          <w:sz w:val="16"/>
          <w:szCs w:val="16"/>
          <w:color w:val="auto"/>
        </w:rPr>
        <w:t xml:space="preserve"> that defines “cause” (or words of like import), as defined under such agreement or plan. For purposes of this Section 2(c), no act, or failure to act, on the Recipient’s part shall be considered “willful” unless done, or omitted to be done, by the Recipient in bad faith and without reasonable belief that his or her action or omission was in the best interest of the Employer. Any determination of Cause made prior to a Change in Control shall be made by the Committee in its sole discretion.</w:t>
      </w:r>
    </w:p>
    <w:p>
      <w:pPr>
        <w:spacing w:after="0" w:line="62" w:lineRule="exact"/>
        <w:rPr>
          <w:rFonts w:ascii="Arial" w:cs="Arial" w:eastAsia="Arial" w:hAnsi="Arial"/>
          <w:sz w:val="16"/>
          <w:szCs w:val="16"/>
          <w:color w:val="auto"/>
        </w:rPr>
      </w:pPr>
    </w:p>
    <w:p>
      <w:pPr>
        <w:jc w:val="both"/>
        <w:ind w:firstLine="8"/>
        <w:spacing w:after="0" w:line="269" w:lineRule="auto"/>
        <w:tabs>
          <w:tab w:leader="none" w:pos="507" w:val="left"/>
        </w:tabs>
        <w:numPr>
          <w:ilvl w:val="0"/>
          <w:numId w:val="91"/>
        </w:numPr>
        <w:rPr>
          <w:rFonts w:ascii="Arial" w:cs="Arial" w:eastAsia="Arial" w:hAnsi="Arial"/>
          <w:sz w:val="17"/>
          <w:szCs w:val="17"/>
          <w:color w:val="auto"/>
        </w:rPr>
      </w:pPr>
      <w:r>
        <w:rPr>
          <w:rFonts w:ascii="Arial" w:cs="Arial" w:eastAsia="Arial" w:hAnsi="Arial"/>
          <w:sz w:val="17"/>
          <w:szCs w:val="17"/>
          <w:color w:val="auto"/>
        </w:rPr>
        <w:t>For purposes of this Agreement, “</w:t>
      </w:r>
      <w:r>
        <w:rPr>
          <w:rFonts w:ascii="Arial" w:cs="Arial" w:eastAsia="Arial" w:hAnsi="Arial"/>
          <w:sz w:val="17"/>
          <w:szCs w:val="17"/>
          <w:u w:val="single" w:color="auto"/>
          <w:color w:val="auto"/>
        </w:rPr>
        <w:t>Good Reason</w:t>
      </w:r>
      <w:r>
        <w:rPr>
          <w:rFonts w:ascii="Arial" w:cs="Arial" w:eastAsia="Arial" w:hAnsi="Arial"/>
          <w:sz w:val="17"/>
          <w:szCs w:val="17"/>
          <w:color w:val="auto"/>
        </w:rPr>
        <w:t xml:space="preserve">” shall mean (i) in the case where there is no employment agreement, consulting agreement, change in control agreement or plan, or similar agreement or plan in effect between the Employer and the Recipient (or otherwise applicable to the Recipient) on the date of grant specified in the </w:t>
      </w:r>
      <w:r>
        <w:rPr>
          <w:rFonts w:ascii="Arial" w:cs="Arial" w:eastAsia="Arial" w:hAnsi="Arial"/>
          <w:sz w:val="17"/>
          <w:szCs w:val="17"/>
          <w:i w:val="1"/>
          <w:iCs w:val="1"/>
          <w:color w:val="auto"/>
        </w:rPr>
        <w:t>Notice of Grant of Restricted Stock</w:t>
      </w:r>
      <w:r>
        <w:rPr>
          <w:rFonts w:ascii="Arial" w:cs="Arial" w:eastAsia="Arial" w:hAnsi="Arial"/>
          <w:sz w:val="17"/>
          <w:szCs w:val="17"/>
          <w:color w:val="auto"/>
        </w:rPr>
        <w:t xml:space="preserve"> (or where there is such an agreement or plan but it does not define “good reason” (or words of like import)) a termination of employment by the Recipient within one hundred twenty (120) days after the occurrence of one of the following events after the occurrence of a Change in Control unless such events are fully corrected in all material respects by the Employer within thirty (30) days following written notification by the Recipient to the Employer that Recipient intends to terminate his employment hereunder for one of the reasons set forth below: (A) (1) any material diminution in the Recipient’s duties and responsibilities from those which existed immediately prior to a Change in Control (except in each case in connection with the termination of the Recipient’s employment for Cause or as a result of the Recipient’s death, or temporarily as a result of the Recipient’s illness or other absence), or (2) the assignment to the Recipient of duties and responsibilities materially inconsistent with the position held by the Recipient; (B) any material breach by the Employer of any</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material provision of any written agreement with the Recipient or failure to timely pay any compensation obligation to the Recipient; (C) a reduction in the Recipient’s annual base salary or target bonus opportunity (if any) from that which existed immediately prior to a Change in Control; or (D) if the Recipient is based at the Employer’s principal executive office, any relocation therefrom or, in any event, a relocation of the Recipient’s primary office of more than fifty (50) miles from the location immediately prior to a Change in Control; or (ii) in the case where there is an employment agreement, consulting agreement, change in control agreement or plan, or similar agreement or plan in effect between the Employer and the Recipient (or otherwise applicable to the Recipient) on the date on the </w:t>
      </w:r>
      <w:r>
        <w:rPr>
          <w:rFonts w:ascii="Arial" w:cs="Arial" w:eastAsia="Arial" w:hAnsi="Arial"/>
          <w:sz w:val="17"/>
          <w:szCs w:val="17"/>
          <w:i w:val="1"/>
          <w:iCs w:val="1"/>
          <w:color w:val="auto"/>
        </w:rPr>
        <w:t>Notice of Grant of Restricted Stock</w:t>
      </w:r>
      <w:r>
        <w:rPr>
          <w:rFonts w:ascii="Arial" w:cs="Arial" w:eastAsia="Arial" w:hAnsi="Arial"/>
          <w:sz w:val="17"/>
          <w:szCs w:val="17"/>
          <w:color w:val="auto"/>
        </w:rPr>
        <w:t xml:space="preserve"> that defines “good reason” (or words of like import), as defined under such agreement or plan[;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such definition shall be deemed, solely for purposes of this Agreement, to include as one of the reasons that the employment of Leonard S. Schleifer, M.D. Ph.D. with the Company under the Amended and Restated Employment Agreement, dated as of November 14, 2008, by and between Dr. Schleifer and the Company, as in effect from time to time (the “</w:t>
      </w:r>
      <w:r>
        <w:rPr>
          <w:rFonts w:ascii="Arial" w:cs="Arial" w:eastAsia="Arial" w:hAnsi="Arial"/>
          <w:sz w:val="17"/>
          <w:szCs w:val="17"/>
          <w:u w:val="single" w:color="auto"/>
          <w:color w:val="auto"/>
        </w:rPr>
        <w:t>Employment Agreement</w:t>
      </w:r>
      <w:r>
        <w:rPr>
          <w:rFonts w:ascii="Arial" w:cs="Arial" w:eastAsia="Arial" w:hAnsi="Arial"/>
          <w:sz w:val="17"/>
          <w:szCs w:val="17"/>
          <w:color w:val="auto"/>
        </w:rPr>
        <w:t>”), has ended due to Dr. Schleifer’s Involuntary Termination (as defined in the Employment Agreement)]</w:t>
      </w:r>
      <w:r>
        <w:rPr>
          <w:rFonts w:ascii="Arial" w:cs="Arial" w:eastAsia="Arial" w:hAnsi="Arial"/>
          <w:sz w:val="22"/>
          <w:szCs w:val="22"/>
          <w:color w:val="auto"/>
          <w:vertAlign w:val="superscript"/>
        </w:rPr>
        <w:t>3</w:t>
      </w:r>
      <w:r>
        <w:rPr>
          <w:rFonts w:ascii="Arial" w:cs="Arial" w:eastAsia="Arial" w:hAnsi="Arial"/>
          <w:sz w:val="17"/>
          <w:szCs w:val="17"/>
          <w:color w:val="auto"/>
        </w:rPr>
        <w:t>.</w:t>
      </w:r>
    </w:p>
    <w:p>
      <w:pPr>
        <w:jc w:val="both"/>
        <w:ind w:firstLine="1304"/>
        <w:spacing w:after="0" w:line="236" w:lineRule="auto"/>
        <w:tabs>
          <w:tab w:leader="none" w:pos="1944"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Termination of Service</w:t>
      </w:r>
      <w:r>
        <w:rPr>
          <w:rFonts w:ascii="Arial" w:cs="Arial" w:eastAsia="Arial" w:hAnsi="Arial"/>
          <w:sz w:val="18"/>
          <w:szCs w:val="18"/>
          <w:color w:val="auto"/>
        </w:rPr>
        <w:t>. Subject to the terms of the Plan and Section 2(b) hereof, if the Recipient’s employment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is terminated for any reason (other than as set forth in Section 2(b) hereof and as a result of Recipient’s [retirement on the terms set forth below or]</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death), the Recipient shall forfeit any or all of the shares of Restricted Stock that have not vested in accordance with Section 2 hereof (the “</w:t>
      </w:r>
      <w:r>
        <w:rPr>
          <w:rFonts w:ascii="Arial" w:cs="Arial" w:eastAsia="Arial" w:hAnsi="Arial"/>
          <w:sz w:val="18"/>
          <w:szCs w:val="18"/>
          <w:u w:val="single" w:color="auto"/>
          <w:color w:val="auto"/>
        </w:rPr>
        <w:t>Unvested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 xml:space="preserve">”). [Notwithstanding the preceding sentence, upon the Recipient’s retirement (as defined in the Company’s employee handbook as in effect on the date hereof), shares of Restricted Stock granted to the Recipient shall continue to vest in installments as provided in the </w:t>
      </w:r>
      <w:r>
        <w:rPr>
          <w:rFonts w:ascii="Arial" w:cs="Arial" w:eastAsia="Arial" w:hAnsi="Arial"/>
          <w:sz w:val="18"/>
          <w:szCs w:val="18"/>
          <w:i w:val="1"/>
          <w:iCs w:val="1"/>
          <w:color w:val="auto"/>
        </w:rPr>
        <w:t>Notice of Grant of Restricted Stock</w:t>
      </w:r>
      <w:r>
        <w:rPr>
          <w:rFonts w:ascii="Arial" w:cs="Arial" w:eastAsia="Arial" w:hAnsi="Arial"/>
          <w:sz w:val="18"/>
          <w:szCs w:val="18"/>
          <w:color w:val="auto"/>
        </w:rPr>
        <w:t xml:space="preserve"> as if the Recipient had continued to be employed by or provide services to the Employer.]</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Shares of Restricted Stock granted to the Recipient in the Notice of Grant of Restricted Stock shall become fully vested as of the date of death of the Recipient, provided that the Recipient is employed by the Employer on the date of his/her death.</w:t>
      </w:r>
    </w:p>
    <w:p>
      <w:pPr>
        <w:spacing w:after="0" w:line="94" w:lineRule="exact"/>
        <w:rPr>
          <w:rFonts w:ascii="Arial" w:cs="Arial" w:eastAsia="Arial" w:hAnsi="Arial"/>
          <w:sz w:val="18"/>
          <w:szCs w:val="18"/>
          <w:color w:val="auto"/>
        </w:rPr>
      </w:pPr>
    </w:p>
    <w:p>
      <w:pPr>
        <w:ind w:firstLine="1304"/>
        <w:spacing w:after="0" w:line="312" w:lineRule="auto"/>
        <w:tabs>
          <w:tab w:leader="none" w:pos="1944" w:val="left"/>
        </w:tabs>
        <w:numPr>
          <w:ilvl w:val="0"/>
          <w:numId w:val="92"/>
        </w:numPr>
        <w:rPr>
          <w:rFonts w:ascii="Arial" w:cs="Arial" w:eastAsia="Arial" w:hAnsi="Arial"/>
          <w:sz w:val="17"/>
          <w:szCs w:val="17"/>
          <w:color w:val="auto"/>
        </w:rPr>
      </w:pPr>
      <w:r>
        <w:rPr>
          <w:rFonts w:ascii="Arial" w:cs="Arial" w:eastAsia="Arial" w:hAnsi="Arial"/>
          <w:sz w:val="17"/>
          <w:szCs w:val="17"/>
          <w:b w:val="1"/>
          <w:bCs w:val="1"/>
          <w:color w:val="auto"/>
        </w:rPr>
        <w:t>Restrictions on Transfer</w:t>
      </w:r>
      <w:r>
        <w:rPr>
          <w:rFonts w:ascii="Arial" w:cs="Arial" w:eastAsia="Arial" w:hAnsi="Arial"/>
          <w:sz w:val="17"/>
          <w:szCs w:val="17"/>
          <w:color w:val="auto"/>
        </w:rPr>
        <w:t>. Unvested Shares may not be transferred or otherwise disposed of by the Recipient including by</w:t>
      </w:r>
      <w:r>
        <w:rPr>
          <w:rFonts w:ascii="Arial" w:cs="Arial" w:eastAsia="Arial" w:hAnsi="Arial"/>
          <w:sz w:val="17"/>
          <w:szCs w:val="17"/>
          <w:b w:val="1"/>
          <w:bCs w:val="1"/>
          <w:color w:val="auto"/>
        </w:rPr>
        <w:t xml:space="preserve"> </w:t>
      </w:r>
      <w:r>
        <w:rPr>
          <w:rFonts w:ascii="Arial" w:cs="Arial" w:eastAsia="Arial" w:hAnsi="Arial"/>
          <w:sz w:val="17"/>
          <w:szCs w:val="17"/>
          <w:color w:val="auto"/>
        </w:rPr>
        <w:t>way of sale, assignment, transfer, pledge, hypothecation or otherwise, except as permitted by the Committee in its sole discretion.</w:t>
      </w:r>
    </w:p>
    <w:p>
      <w:pPr>
        <w:spacing w:after="0" w:line="31" w:lineRule="exact"/>
        <w:rPr>
          <w:rFonts w:ascii="Arial" w:cs="Arial" w:eastAsia="Arial" w:hAnsi="Arial"/>
          <w:sz w:val="17"/>
          <w:szCs w:val="17"/>
          <w:color w:val="auto"/>
        </w:rPr>
      </w:pPr>
    </w:p>
    <w:p>
      <w:pPr>
        <w:jc w:val="both"/>
        <w:ind w:firstLine="1304"/>
        <w:spacing w:after="0" w:line="266" w:lineRule="auto"/>
        <w:tabs>
          <w:tab w:leader="none" w:pos="1944"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Securities Laws Requirements</w:t>
      </w:r>
      <w:r>
        <w:rPr>
          <w:rFonts w:ascii="Arial" w:cs="Arial" w:eastAsia="Arial" w:hAnsi="Arial"/>
          <w:sz w:val="18"/>
          <w:szCs w:val="18"/>
          <w:color w:val="auto"/>
        </w:rPr>
        <w:t>. The Company shall not be obligated to transfer any Unvested Shares or other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Stock to the Recipient, if such transfer, in the opinion of counsel for the Company, would violate the Securities Act (or any other federal or state statutes having similar requirements as may be in effect at that time).</w:t>
      </w:r>
    </w:p>
    <w:p>
      <w:pPr>
        <w:spacing w:after="0" w:line="67" w:lineRule="exact"/>
        <w:rPr>
          <w:rFonts w:ascii="Arial" w:cs="Arial" w:eastAsia="Arial" w:hAnsi="Arial"/>
          <w:sz w:val="18"/>
          <w:szCs w:val="18"/>
          <w:color w:val="auto"/>
        </w:rPr>
      </w:pPr>
    </w:p>
    <w:p>
      <w:pPr>
        <w:jc w:val="both"/>
        <w:ind w:firstLine="1304"/>
        <w:spacing w:after="0" w:line="274" w:lineRule="auto"/>
        <w:tabs>
          <w:tab w:leader="none" w:pos="1944" w:val="left"/>
        </w:tabs>
        <w:numPr>
          <w:ilvl w:val="0"/>
          <w:numId w:val="92"/>
        </w:numPr>
        <w:rPr>
          <w:rFonts w:ascii="Arial" w:cs="Arial" w:eastAsia="Arial" w:hAnsi="Arial"/>
          <w:sz w:val="17"/>
          <w:szCs w:val="17"/>
          <w:color w:val="auto"/>
        </w:rPr>
      </w:pPr>
      <w:r>
        <w:rPr>
          <w:rFonts w:ascii="Arial" w:cs="Arial" w:eastAsia="Arial" w:hAnsi="Arial"/>
          <w:sz w:val="17"/>
          <w:szCs w:val="17"/>
          <w:b w:val="1"/>
          <w:bCs w:val="1"/>
          <w:color w:val="auto"/>
        </w:rPr>
        <w:t>Invalid Transfers</w:t>
      </w:r>
      <w:r>
        <w:rPr>
          <w:rFonts w:ascii="Arial" w:cs="Arial" w:eastAsia="Arial" w:hAnsi="Arial"/>
          <w:sz w:val="17"/>
          <w:szCs w:val="17"/>
          <w:color w:val="auto"/>
        </w:rPr>
        <w:t>. No purported sale, assignment, mortgage, hypothecation, transfer, pledge, encumbrance, gift, transfer in trust</w:t>
      </w:r>
      <w:r>
        <w:rPr>
          <w:rFonts w:ascii="Arial" w:cs="Arial" w:eastAsia="Arial" w:hAnsi="Arial"/>
          <w:sz w:val="17"/>
          <w:szCs w:val="17"/>
          <w:b w:val="1"/>
          <w:bCs w:val="1"/>
          <w:color w:val="auto"/>
        </w:rPr>
        <w:t xml:space="preserve"> </w:t>
      </w:r>
      <w:r>
        <w:rPr>
          <w:rFonts w:ascii="Arial" w:cs="Arial" w:eastAsia="Arial" w:hAnsi="Arial"/>
          <w:sz w:val="17"/>
          <w:szCs w:val="17"/>
          <w:color w:val="auto"/>
        </w:rPr>
        <w:t>(voting or other) or other disposition of, or creation of a security interest in or lien on, any of the shares of Restricted Stock by any holder thereof in violation of the provisions of this Agreement or the Certificate of Incorporation or the By-Laws of the Company, shall be valid, and the Company will not transfer any of said shares of Restricted Stock on its books nor will any of said shares of Restricted Stock be entitled to vote, nor will any dividends be paid thereon, unless and until there has been full compliance with said provisions to the satisfaction of the Company. The foregoing restrictions are in addition to and not in lieu of any other remedies, legal or equitable, available to enforce said provisions.</w:t>
      </w:r>
    </w:p>
    <w:p>
      <w:pPr>
        <w:spacing w:after="0" w:line="65" w:lineRule="exact"/>
        <w:rPr>
          <w:rFonts w:ascii="Arial" w:cs="Arial" w:eastAsia="Arial" w:hAnsi="Arial"/>
          <w:sz w:val="17"/>
          <w:szCs w:val="17"/>
          <w:color w:val="auto"/>
        </w:rPr>
      </w:pPr>
    </w:p>
    <w:p>
      <w:pPr>
        <w:jc w:val="both"/>
        <w:ind w:firstLine="1304"/>
        <w:spacing w:after="0" w:line="273" w:lineRule="auto"/>
        <w:tabs>
          <w:tab w:leader="none" w:pos="1944" w:val="left"/>
        </w:tabs>
        <w:numPr>
          <w:ilvl w:val="0"/>
          <w:numId w:val="92"/>
        </w:numPr>
        <w:rPr>
          <w:rFonts w:ascii="Arial" w:cs="Arial" w:eastAsia="Arial" w:hAnsi="Arial"/>
          <w:sz w:val="17"/>
          <w:szCs w:val="17"/>
          <w:color w:val="auto"/>
        </w:rPr>
      </w:pPr>
      <w:r>
        <w:rPr>
          <w:rFonts w:ascii="Arial" w:cs="Arial" w:eastAsia="Arial" w:hAnsi="Arial"/>
          <w:sz w:val="17"/>
          <w:szCs w:val="17"/>
          <w:b w:val="1"/>
          <w:bCs w:val="1"/>
          <w:color w:val="auto"/>
        </w:rPr>
        <w:t>Taxes</w:t>
      </w:r>
      <w:r>
        <w:rPr>
          <w:rFonts w:ascii="Arial" w:cs="Arial" w:eastAsia="Arial" w:hAnsi="Arial"/>
          <w:sz w:val="17"/>
          <w:szCs w:val="17"/>
          <w:color w:val="auto"/>
        </w:rPr>
        <w:t>. The Recipient shall promptly notify the Company of any election made pursuant to Section 83(b) of the Code. The</w:t>
      </w:r>
      <w:r>
        <w:rPr>
          <w:rFonts w:ascii="Arial" w:cs="Arial" w:eastAsia="Arial" w:hAnsi="Arial"/>
          <w:sz w:val="17"/>
          <w:szCs w:val="17"/>
          <w:b w:val="1"/>
          <w:bCs w:val="1"/>
          <w:color w:val="auto"/>
        </w:rPr>
        <w:t xml:space="preserve"> </w:t>
      </w:r>
      <w:r>
        <w:rPr>
          <w:rFonts w:ascii="Arial" w:cs="Arial" w:eastAsia="Arial" w:hAnsi="Arial"/>
          <w:sz w:val="17"/>
          <w:szCs w:val="17"/>
          <w:color w:val="auto"/>
        </w:rPr>
        <w:t>Recipient shall pay to the Company, at the time the Recipient recognizes taxable income in respect to the shares of Restricted Stock as a result of having made an election under Section 83(b) of the Code in connection with such grant, an amount equal to the federal, state and/or local taxes the Company determines it is required to withhold under applicable tax laws with respect to the shares of Restricted Stock. The Recipient may satisfy the foregoing requirement by making a payment to the Company in cash or, with the consent of the Company, by authorizing the Company to withhold cash otherwise due to the Recipient. In all other cases (except as may be otherwise determined by the Board of Directors or the Committee from time to time (including following the date hereof)), any such withholding obligation shall be satisfied by surrendering to the Company a portion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17145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0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89" w:lineRule="exact"/>
        <w:rPr>
          <w:sz w:val="20"/>
          <w:szCs w:val="20"/>
          <w:color w:val="auto"/>
        </w:rPr>
      </w:pPr>
    </w:p>
    <w:p>
      <w:pPr>
        <w:ind w:left="120" w:hanging="112"/>
        <w:spacing w:after="0"/>
        <w:tabs>
          <w:tab w:leader="none" w:pos="120" w:val="left"/>
        </w:tabs>
        <w:numPr>
          <w:ilvl w:val="0"/>
          <w:numId w:val="93"/>
        </w:numPr>
        <w:rPr>
          <w:rFonts w:ascii="Arial" w:cs="Arial" w:eastAsia="Arial" w:hAnsi="Arial"/>
          <w:sz w:val="23"/>
          <w:szCs w:val="23"/>
          <w:color w:val="auto"/>
          <w:vertAlign w:val="superscript"/>
        </w:rPr>
      </w:pPr>
      <w:r>
        <w:rPr>
          <w:rFonts w:ascii="Arial" w:cs="Arial" w:eastAsia="Arial" w:hAnsi="Arial"/>
          <w:sz w:val="18"/>
          <w:szCs w:val="18"/>
          <w:color w:val="auto"/>
        </w:rPr>
        <w:t>Only applicable to Restricted Stock Agreements for George D. Yancopoulos, M.D., Ph.D.</w:t>
      </w:r>
    </w:p>
    <w:p>
      <w:pPr>
        <w:spacing w:after="0" w:line="1" w:lineRule="exact"/>
        <w:rPr>
          <w:rFonts w:ascii="Arial" w:cs="Arial" w:eastAsia="Arial" w:hAnsi="Arial"/>
          <w:sz w:val="23"/>
          <w:szCs w:val="23"/>
          <w:color w:val="auto"/>
          <w:vertAlign w:val="superscript"/>
        </w:rPr>
      </w:pPr>
    </w:p>
    <w:p>
      <w:pPr>
        <w:jc w:val="both"/>
        <w:ind w:right="4660"/>
        <w:spacing w:after="0" w:line="368" w:lineRule="auto"/>
        <w:rPr>
          <w:rFonts w:ascii="Arial" w:cs="Arial" w:eastAsia="Arial" w:hAnsi="Arial"/>
          <w:sz w:val="23"/>
          <w:szCs w:val="23"/>
          <w:color w:val="auto"/>
          <w:vertAlign w:val="superscript"/>
        </w:rPr>
      </w:pPr>
      <w:r>
        <w:rPr>
          <w:rFonts w:ascii="Arial" w:cs="Arial" w:eastAsia="Arial" w:hAnsi="Arial"/>
          <w:sz w:val="20"/>
          <w:szCs w:val="20"/>
          <w:color w:val="auto"/>
          <w:vertAlign w:val="superscript"/>
        </w:rPr>
        <w:t>4</w:t>
      </w:r>
      <w:r>
        <w:rPr>
          <w:rFonts w:ascii="Arial" w:cs="Arial" w:eastAsia="Arial" w:hAnsi="Arial"/>
          <w:sz w:val="16"/>
          <w:szCs w:val="16"/>
          <w:color w:val="auto"/>
        </w:rPr>
        <w:t xml:space="preserve"> Only applicable to Restricted Stock Agreements for George D. Yancopoulos, M.D., Ph.D. </w:t>
      </w:r>
      <w:r>
        <w:rPr>
          <w:rFonts w:ascii="Arial" w:cs="Arial" w:eastAsia="Arial" w:hAnsi="Arial"/>
          <w:sz w:val="20"/>
          <w:szCs w:val="20"/>
          <w:color w:val="auto"/>
          <w:vertAlign w:val="superscript"/>
        </w:rPr>
        <w:t>5</w:t>
      </w:r>
      <w:r>
        <w:rPr>
          <w:rFonts w:ascii="Arial" w:cs="Arial" w:eastAsia="Arial" w:hAnsi="Arial"/>
          <w:sz w:val="16"/>
          <w:szCs w:val="16"/>
          <w:color w:val="auto"/>
        </w:rPr>
        <w:t xml:space="preserve"> Only applicable to Restricted Stock Agreements for George D. Yancopoulos, M.D., Ph.D.</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shares of Restricted Stock the vesting of which gives rise to the withholding obligation (but only to the extent of the minimum withholding required by law). Shares so surrendered by the Recipient shall be credited against any such withholding obligation at the Fair Market Value of such shares on the date of such vesting (and the amount equal to the Fair Market Value of such shares shall be remitted by the Company to the appropriate tax authorities). The Recipient understands that he or she (and not the Company) shall be responsible for any tax liability that may arise as a result of the transactions contemplated by this Agreement.</w:t>
      </w:r>
    </w:p>
    <w:p>
      <w:pPr>
        <w:spacing w:after="0" w:line="80"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color w:val="auto"/>
        </w:rPr>
        <w:t>THE RECIPIENT ACKNOWLEDGES THAT IT IS THE RECIPIENT'S SOLE RESPONSIBILITY, AND NOT THE COMPANY’S, TO FILE TIMELY THE ELECTION UNDER SECTION 83(b) OF THE CODE, IN THE EVENT THAT THE RECIPIENT DESIRES TO MAKE THE ELECTION.</w:t>
      </w:r>
    </w:p>
    <w:p>
      <w:pPr>
        <w:spacing w:after="0" w:line="72" w:lineRule="exact"/>
        <w:rPr>
          <w:sz w:val="20"/>
          <w:szCs w:val="20"/>
          <w:color w:val="auto"/>
        </w:rPr>
      </w:pPr>
    </w:p>
    <w:p>
      <w:pPr>
        <w:jc w:val="both"/>
        <w:ind w:firstLine="1304"/>
        <w:spacing w:after="0" w:line="274" w:lineRule="auto"/>
        <w:tabs>
          <w:tab w:leader="none" w:pos="1944" w:val="left"/>
        </w:tabs>
        <w:numPr>
          <w:ilvl w:val="0"/>
          <w:numId w:val="94"/>
        </w:numPr>
        <w:rPr>
          <w:rFonts w:ascii="Arial" w:cs="Arial" w:eastAsia="Arial" w:hAnsi="Arial"/>
          <w:sz w:val="17"/>
          <w:szCs w:val="17"/>
          <w:color w:val="auto"/>
        </w:rPr>
      </w:pPr>
      <w:r>
        <w:rPr>
          <w:rFonts w:ascii="Arial" w:cs="Arial" w:eastAsia="Arial" w:hAnsi="Arial"/>
          <w:sz w:val="17"/>
          <w:szCs w:val="17"/>
          <w:b w:val="1"/>
          <w:bCs w:val="1"/>
          <w:color w:val="auto"/>
        </w:rPr>
        <w:t>Rights as a Shareholder</w:t>
      </w:r>
      <w:r>
        <w:rPr>
          <w:rFonts w:ascii="Arial" w:cs="Arial" w:eastAsia="Arial" w:hAnsi="Arial"/>
          <w:sz w:val="17"/>
          <w:szCs w:val="17"/>
          <w:color w:val="auto"/>
        </w:rPr>
        <w:t>. Pursuant to Section 8(e) of the Plan, the Company shall hold in escrow all dividends, if any, that are</w:t>
      </w:r>
      <w:r>
        <w:rPr>
          <w:rFonts w:ascii="Arial" w:cs="Arial" w:eastAsia="Arial" w:hAnsi="Arial"/>
          <w:sz w:val="17"/>
          <w:szCs w:val="17"/>
          <w:b w:val="1"/>
          <w:bCs w:val="1"/>
          <w:color w:val="auto"/>
        </w:rPr>
        <w:t xml:space="preserve"> </w:t>
      </w:r>
      <w:r>
        <w:rPr>
          <w:rFonts w:ascii="Arial" w:cs="Arial" w:eastAsia="Arial" w:hAnsi="Arial"/>
          <w:sz w:val="17"/>
          <w:szCs w:val="17"/>
          <w:color w:val="auto"/>
        </w:rPr>
        <w:t>paid with respect to the Unvested Shares until all restrictions on such shares have lapsed. Pursuant to Section 8(f) of the Plan, the Recipient agrees (i) that the right to vote any Unvested Shares will be held by the Company and (ii) to execute an irrevocable proxy in favor of the Company in such form supplied by the Company. The Company may, in its sole discretion, determine to deliver any documents related to participation in the Plan or deliverable to the Recipient in the Recipient’s capacity as a shareholder of the Company by electronic means. The Recipient hereby consents to receive any and all such documents by electronic delivery to the extent the Company utilizes such delivery method from time to time.</w:t>
      </w:r>
    </w:p>
    <w:p>
      <w:pPr>
        <w:spacing w:after="0" w:line="65" w:lineRule="exact"/>
        <w:rPr>
          <w:rFonts w:ascii="Arial" w:cs="Arial" w:eastAsia="Arial" w:hAnsi="Arial"/>
          <w:sz w:val="17"/>
          <w:szCs w:val="17"/>
          <w:color w:val="auto"/>
        </w:rPr>
      </w:pPr>
    </w:p>
    <w:p>
      <w:pPr>
        <w:jc w:val="both"/>
        <w:ind w:firstLine="1304"/>
        <w:spacing w:after="0" w:line="255" w:lineRule="auto"/>
        <w:tabs>
          <w:tab w:leader="none" w:pos="1944"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Compliance with Law and Regulations</w:t>
      </w:r>
      <w:r>
        <w:rPr>
          <w:rFonts w:ascii="Arial" w:cs="Arial" w:eastAsia="Arial" w:hAnsi="Arial"/>
          <w:sz w:val="18"/>
          <w:szCs w:val="18"/>
          <w:color w:val="auto"/>
        </w:rPr>
        <w:t>. This Agreement, the award hereunder and any obligation of the Company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subject to all applicable federal, state and local laws, rules and regulations and to such approvals by any government or regulatory agency as may be required. The Company may require, as a condition of the issuance and delivery of certificates or the registration of book entries evidencing Restricted Stock pursuant to the terms hereof, that the certificates or book entries bear or be subject to such legends as set forth in the Plan, in addition to any other legends required under federal and state securities laws or as otherwise determined by the Committee. Except to the extent preempted by any federal law, this Agreement shall be construed and administered in accordance with the laws of the State of New York without reference to its principles of conflicts of law.</w:t>
      </w:r>
    </w:p>
    <w:p>
      <w:pPr>
        <w:spacing w:after="0" w:line="80" w:lineRule="exact"/>
        <w:rPr>
          <w:rFonts w:ascii="Arial" w:cs="Arial" w:eastAsia="Arial" w:hAnsi="Arial"/>
          <w:sz w:val="18"/>
          <w:szCs w:val="18"/>
          <w:color w:val="auto"/>
        </w:rPr>
      </w:pPr>
    </w:p>
    <w:p>
      <w:pPr>
        <w:jc w:val="both"/>
        <w:ind w:firstLine="1304"/>
        <w:spacing w:after="0" w:line="314" w:lineRule="auto"/>
        <w:tabs>
          <w:tab w:leader="none" w:pos="1939" w:val="left"/>
        </w:tabs>
        <w:numPr>
          <w:ilvl w:val="0"/>
          <w:numId w:val="94"/>
        </w:numPr>
        <w:rPr>
          <w:rFonts w:ascii="Arial" w:cs="Arial" w:eastAsia="Arial" w:hAnsi="Arial"/>
          <w:sz w:val="16"/>
          <w:szCs w:val="16"/>
          <w:color w:val="auto"/>
        </w:rPr>
      </w:pPr>
      <w:r>
        <w:rPr>
          <w:rFonts w:ascii="Arial" w:cs="Arial" w:eastAsia="Arial" w:hAnsi="Arial"/>
          <w:sz w:val="16"/>
          <w:szCs w:val="16"/>
          <w:b w:val="1"/>
          <w:bCs w:val="1"/>
          <w:color w:val="auto"/>
        </w:rPr>
        <w:t>Recipient Bound by Plan</w:t>
      </w:r>
      <w:r>
        <w:rPr>
          <w:rFonts w:ascii="Arial" w:cs="Arial" w:eastAsia="Arial" w:hAnsi="Arial"/>
          <w:sz w:val="16"/>
          <w:szCs w:val="16"/>
          <w:color w:val="auto"/>
        </w:rPr>
        <w:t>. The Recipient acknowledges receipt of a copy of this Agreement and the Plan and agrees to be</w:t>
      </w:r>
      <w:r>
        <w:rPr>
          <w:rFonts w:ascii="Arial" w:cs="Arial" w:eastAsia="Arial" w:hAnsi="Arial"/>
          <w:sz w:val="16"/>
          <w:szCs w:val="16"/>
          <w:b w:val="1"/>
          <w:bCs w:val="1"/>
          <w:color w:val="auto"/>
        </w:rPr>
        <w:t xml:space="preserve"> </w:t>
      </w:r>
      <w:r>
        <w:rPr>
          <w:rFonts w:ascii="Arial" w:cs="Arial" w:eastAsia="Arial" w:hAnsi="Arial"/>
          <w:sz w:val="16"/>
          <w:szCs w:val="16"/>
          <w:color w:val="auto"/>
        </w:rPr>
        <w:t>bound by all the terms and provisions thereof, which are incorporated herein by reference. To the extent that this Agreement is silent with respect to, or in any way inconsistent with, the terms of the Plan, the provisions of the Plan shall govern and this Agreement shall be deemed to be modified accordingly.</w:t>
      </w:r>
    </w:p>
    <w:p>
      <w:pPr>
        <w:spacing w:after="0" w:line="33" w:lineRule="exact"/>
        <w:rPr>
          <w:rFonts w:ascii="Arial" w:cs="Arial" w:eastAsia="Arial" w:hAnsi="Arial"/>
          <w:sz w:val="16"/>
          <w:szCs w:val="16"/>
          <w:color w:val="auto"/>
        </w:rPr>
      </w:pPr>
    </w:p>
    <w:p>
      <w:pPr>
        <w:jc w:val="both"/>
        <w:ind w:firstLine="1304"/>
        <w:spacing w:after="0" w:line="277" w:lineRule="auto"/>
        <w:tabs>
          <w:tab w:leader="none" w:pos="1933" w:val="left"/>
        </w:tabs>
        <w:numPr>
          <w:ilvl w:val="0"/>
          <w:numId w:val="94"/>
        </w:numPr>
        <w:rPr>
          <w:rFonts w:ascii="Arial" w:cs="Arial" w:eastAsia="Arial" w:hAnsi="Arial"/>
          <w:sz w:val="17"/>
          <w:szCs w:val="17"/>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Any notice or communication given hereunder shall be in writing and shall be deemed given when delivered in person,</w:t>
      </w:r>
      <w:r>
        <w:rPr>
          <w:rFonts w:ascii="Arial" w:cs="Arial" w:eastAsia="Arial" w:hAnsi="Arial"/>
          <w:sz w:val="17"/>
          <w:szCs w:val="17"/>
          <w:b w:val="1"/>
          <w:bCs w:val="1"/>
          <w:color w:val="auto"/>
        </w:rPr>
        <w:t xml:space="preserve"> </w:t>
      </w:r>
      <w:r>
        <w:rPr>
          <w:rFonts w:ascii="Arial" w:cs="Arial" w:eastAsia="Arial" w:hAnsi="Arial"/>
          <w:sz w:val="17"/>
          <w:szCs w:val="17"/>
          <w:color w:val="auto"/>
        </w:rPr>
        <w:t>or by United States mail, at the following addresses: (i) if to the Company, to: Regeneron Pharmaceuticals, Inc., 777 Old Saw Mill River Road, Tarrytown, NY 10591, Attention: Secretary, and (ii) if to the Recipient, to: the Recipient at Regeneron Pharmaceuticals, Inc., 777 Old Saw Mill River Road, Tarrytown, NY 10591, or, if the Recipient has terminated service with the Company, to the last address for the Recipient indicated in the records of the Company, or such other address as the relevant party shall specify at any time hereafter in accordance with this Section 11.</w:t>
      </w:r>
    </w:p>
    <w:p>
      <w:pPr>
        <w:spacing w:after="0" w:line="59" w:lineRule="exact"/>
        <w:rPr>
          <w:rFonts w:ascii="Arial" w:cs="Arial" w:eastAsia="Arial" w:hAnsi="Arial"/>
          <w:sz w:val="17"/>
          <w:szCs w:val="17"/>
          <w:color w:val="auto"/>
        </w:rPr>
      </w:pPr>
    </w:p>
    <w:p>
      <w:pPr>
        <w:ind w:right="20" w:firstLine="1304"/>
        <w:spacing w:after="0" w:line="282" w:lineRule="auto"/>
        <w:tabs>
          <w:tab w:leader="none" w:pos="1939"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No Obligation to Continue Employment</w:t>
      </w:r>
      <w:r>
        <w:rPr>
          <w:rFonts w:ascii="Arial" w:cs="Arial" w:eastAsia="Arial" w:hAnsi="Arial"/>
          <w:sz w:val="18"/>
          <w:szCs w:val="18"/>
          <w:color w:val="auto"/>
        </w:rPr>
        <w:t>. This Agreement does not guarantee that the Employer will employ the Recipient for</w:t>
      </w:r>
      <w:r>
        <w:rPr>
          <w:rFonts w:ascii="Arial" w:cs="Arial" w:eastAsia="Arial" w:hAnsi="Arial"/>
          <w:sz w:val="18"/>
          <w:szCs w:val="18"/>
          <w:b w:val="1"/>
          <w:bCs w:val="1"/>
          <w:color w:val="auto"/>
        </w:rPr>
        <w:t xml:space="preserve"> </w:t>
      </w:r>
      <w:r>
        <w:rPr>
          <w:rFonts w:ascii="Arial" w:cs="Arial" w:eastAsia="Arial" w:hAnsi="Arial"/>
          <w:sz w:val="18"/>
          <w:szCs w:val="18"/>
          <w:color w:val="auto"/>
        </w:rPr>
        <w:t>any specified time period, nor does it modify in any respect the Recipient’s employment or compensation.</w:t>
      </w:r>
    </w:p>
    <w:p>
      <w:pPr>
        <w:spacing w:after="0" w:line="161" w:lineRule="exact"/>
        <w:rPr>
          <w:rFonts w:ascii="Arial" w:cs="Arial" w:eastAsia="Arial" w:hAnsi="Arial"/>
          <w:sz w:val="18"/>
          <w:szCs w:val="18"/>
          <w:color w:val="auto"/>
        </w:rPr>
      </w:pPr>
    </w:p>
    <w:p>
      <w:pPr>
        <w:jc w:val="both"/>
        <w:ind w:firstLine="1304"/>
        <w:spacing w:after="0" w:line="281" w:lineRule="auto"/>
        <w:tabs>
          <w:tab w:leader="none" w:pos="1939" w:val="left"/>
        </w:tabs>
        <w:numPr>
          <w:ilvl w:val="0"/>
          <w:numId w:val="94"/>
        </w:numPr>
        <w:rPr>
          <w:rFonts w:ascii="Arial" w:cs="Arial" w:eastAsia="Arial" w:hAnsi="Arial"/>
          <w:sz w:val="17"/>
          <w:szCs w:val="17"/>
          <w:color w:val="auto"/>
        </w:rPr>
      </w:pPr>
      <w:r>
        <w:rPr>
          <w:rFonts w:ascii="Arial" w:cs="Arial" w:eastAsia="Arial" w:hAnsi="Arial"/>
          <w:sz w:val="17"/>
          <w:szCs w:val="17"/>
          <w:b w:val="1"/>
          <w:bCs w:val="1"/>
          <w:color w:val="auto"/>
        </w:rPr>
        <w:t>Recoupment</w:t>
      </w:r>
      <w:r>
        <w:rPr>
          <w:rFonts w:ascii="Arial" w:cs="Arial" w:eastAsia="Arial" w:hAnsi="Arial"/>
          <w:sz w:val="17"/>
          <w:szCs w:val="17"/>
          <w:color w:val="auto"/>
        </w:rPr>
        <w:t>. By entering into this Agreement and accepting the award hereunder, the Recipient agrees to be bound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terms of the Company’s Policy Regarding Recoupment or Reduction of Incentive Compensation for Compliance Violations, as in effect from time to time (or any successor policy thereto) (the “</w:t>
      </w:r>
      <w:r>
        <w:rPr>
          <w:rFonts w:ascii="Arial" w:cs="Arial" w:eastAsia="Arial" w:hAnsi="Arial"/>
          <w:sz w:val="17"/>
          <w:szCs w:val="17"/>
          <w:u w:val="single" w:color="auto"/>
          <w:color w:val="auto"/>
        </w:rPr>
        <w:t>Recoupment Policy</w:t>
      </w:r>
      <w:r>
        <w:rPr>
          <w:rFonts w:ascii="Arial" w:cs="Arial" w:eastAsia="Arial" w:hAnsi="Arial"/>
          <w:sz w:val="17"/>
          <w:szCs w:val="17"/>
          <w:color w:val="auto"/>
        </w:rPr>
        <w:t>”), and further acknowledges and agrees that the Recoupment Policy shall apply to the shares of Restricted Stock granted hereunder (including after all restrictions on such shares have lapsed).</w:t>
      </w:r>
    </w:p>
    <w:p>
      <w:pPr>
        <w:sectPr>
          <w:pgSz w:w="11900" w:h="16838" w:orient="portrait"/>
          <w:cols w:equalWidth="0" w:num="1">
            <w:col w:w="11240"/>
          </w:cols>
          <w:pgMar w:left="320" w:top="1440" w:right="3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color w:val="auto"/>
        </w:rPr>
        <w:t>Exhibit 10.3.4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606044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02">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Regeneron Pharmaceuticals, Inc.</w:t>
      </w:r>
    </w:p>
    <w:p>
      <w:pPr>
        <w:sectPr>
          <w:pgSz w:w="11900" w:h="16838" w:orient="portrait"/>
          <w:cols w:equalWidth="0" w:num="1">
            <w:col w:w="11240"/>
          </w:cols>
          <w:pgMar w:left="320" w:top="773" w:right="339" w:bottom="1440" w:gutter="0" w:footer="0" w:header="0"/>
        </w:sectPr>
      </w:pPr>
    </w:p>
    <w:p>
      <w:pPr>
        <w:spacing w:after="0" w:line="10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ID:</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00" w:lineRule="exact"/>
        <w:rPr>
          <w:sz w:val="20"/>
          <w:szCs w:val="20"/>
          <w:color w:val="auto"/>
        </w:rPr>
      </w:pPr>
    </w:p>
    <w:p>
      <w:pPr>
        <w:sectPr>
          <w:pgSz w:w="11900" w:h="16838" w:orient="portrait"/>
          <w:cols w:equalWidth="0" w:num="3">
            <w:col w:w="4300" w:space="60"/>
            <w:col w:w="60" w:space="600"/>
            <w:col w:w="6220"/>
          </w:cols>
          <w:pgMar w:left="320" w:top="773" w:right="339" w:bottom="1440" w:gutter="0" w:footer="0" w:header="0"/>
          <w:type w:val="continuous"/>
        </w:sectPr>
      </w:pPr>
    </w:p>
    <w:p>
      <w:pPr>
        <w:ind w:left="20" w:right="140"/>
        <w:spacing w:after="0" w:line="470" w:lineRule="auto"/>
        <w:rPr>
          <w:sz w:val="20"/>
          <w:szCs w:val="20"/>
          <w:color w:val="auto"/>
        </w:rPr>
      </w:pPr>
      <w:r>
        <w:rPr>
          <w:rFonts w:ascii="Arial" w:cs="Arial" w:eastAsia="Arial" w:hAnsi="Arial"/>
          <w:sz w:val="16"/>
          <w:szCs w:val="16"/>
          <w:b w:val="1"/>
          <w:bCs w:val="1"/>
          <w:color w:val="auto"/>
        </w:rPr>
        <w:t>Notice of Grant of Restricted Stock Units and Restricted Stock Unit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777 Old Saw Mill River Road</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Tarrytown, New York 10591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433705</wp:posOffset>
            </wp:positionV>
            <wp:extent cx="606044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03">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410" w:lineRule="exact"/>
        <w:rPr>
          <w:sz w:val="20"/>
          <w:szCs w:val="20"/>
          <w:color w:val="auto"/>
        </w:rPr>
      </w:pPr>
    </w:p>
    <w:p>
      <w:pPr>
        <w:sectPr>
          <w:pgSz w:w="11900" w:h="16838" w:orient="portrait"/>
          <w:cols w:equalWidth="0" w:num="2">
            <w:col w:w="3320" w:space="720"/>
            <w:col w:w="7200"/>
          </w:cols>
          <w:pgMar w:left="320" w:top="77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520" w:type="dxa"/>
            <w:vAlign w:val="bottom"/>
          </w:tcPr>
          <w:p>
            <w:pPr>
              <w:ind w:left="20"/>
              <w:spacing w:after="0"/>
              <w:rPr>
                <w:sz w:val="20"/>
                <w:szCs w:val="20"/>
                <w:color w:val="auto"/>
              </w:rPr>
            </w:pPr>
            <w:r>
              <w:rPr>
                <w:rFonts w:ascii="Arial" w:cs="Arial" w:eastAsia="Arial" w:hAnsi="Arial"/>
                <w:sz w:val="18"/>
                <w:szCs w:val="18"/>
                <w:b w:val="1"/>
                <w:bCs w:val="1"/>
                <w:color w:val="auto"/>
              </w:rPr>
              <w:t>[NAME]</w:t>
            </w:r>
          </w:p>
        </w:tc>
        <w:tc>
          <w:tcPr>
            <w:tcW w:w="2780" w:type="dxa"/>
            <w:vAlign w:val="bottom"/>
          </w:tcPr>
          <w:p>
            <w:pPr>
              <w:ind w:left="1520"/>
              <w:spacing w:after="0"/>
              <w:rPr>
                <w:sz w:val="20"/>
                <w:szCs w:val="20"/>
                <w:color w:val="auto"/>
              </w:rPr>
            </w:pPr>
            <w:r>
              <w:rPr>
                <w:rFonts w:ascii="Arial" w:cs="Arial" w:eastAsia="Arial" w:hAnsi="Arial"/>
                <w:sz w:val="18"/>
                <w:szCs w:val="18"/>
                <w:b w:val="1"/>
                <w:bCs w:val="1"/>
                <w:color w:val="auto"/>
              </w:rPr>
              <w:t>RSU Number:</w:t>
            </w:r>
          </w:p>
        </w:tc>
        <w:tc>
          <w:tcPr>
            <w:tcW w:w="500" w:type="dxa"/>
            <w:vAlign w:val="bottom"/>
          </w:tcPr>
          <w:p>
            <w:pPr>
              <w:jc w:val="right"/>
              <w:ind w:right="172"/>
              <w:spacing w:after="0"/>
              <w:rPr>
                <w:sz w:val="20"/>
                <w:szCs w:val="20"/>
                <w:color w:val="auto"/>
              </w:rPr>
            </w:pPr>
            <w:r>
              <w:rPr>
                <w:rFonts w:ascii="Arial" w:cs="Arial" w:eastAsia="Arial" w:hAnsi="Arial"/>
                <w:sz w:val="22"/>
                <w:szCs w:val="22"/>
                <w:b w:val="1"/>
                <w:bCs w:val="1"/>
                <w:color w:val="auto"/>
              </w:rPr>
              <w:t>[</w:t>
            </w:r>
          </w:p>
        </w:tc>
        <w:tc>
          <w:tcPr>
            <w:tcW w:w="3760" w:type="dxa"/>
            <w:vAlign w:val="bottom"/>
          </w:tcPr>
          <w:p>
            <w:pPr>
              <w:jc w:val="right"/>
              <w:ind w:right="3272"/>
              <w:spacing w:after="0"/>
              <w:rPr>
                <w:sz w:val="20"/>
                <w:szCs w:val="20"/>
                <w:color w:val="auto"/>
              </w:rPr>
            </w:pPr>
            <w:r>
              <w:rPr>
                <w:rFonts w:ascii="Arial" w:cs="Arial" w:eastAsia="Arial" w:hAnsi="Arial"/>
                <w:sz w:val="22"/>
                <w:szCs w:val="22"/>
                <w:b w:val="1"/>
                <w:bCs w:val="1"/>
                <w:color w:val="auto"/>
              </w:rPr>
              <w:t>]</w:t>
            </w:r>
          </w:p>
        </w:tc>
      </w:tr>
      <w:tr>
        <w:trPr>
          <w:trHeight w:val="311"/>
        </w:trPr>
        <w:tc>
          <w:tcPr>
            <w:tcW w:w="2520" w:type="dxa"/>
            <w:vAlign w:val="bottom"/>
          </w:tcPr>
          <w:p>
            <w:pPr>
              <w:ind w:left="20"/>
              <w:spacing w:after="0"/>
              <w:rPr>
                <w:sz w:val="20"/>
                <w:szCs w:val="20"/>
                <w:color w:val="auto"/>
              </w:rPr>
            </w:pPr>
            <w:r>
              <w:rPr>
                <w:rFonts w:ascii="Arial" w:cs="Arial" w:eastAsia="Arial" w:hAnsi="Arial"/>
                <w:sz w:val="18"/>
                <w:szCs w:val="18"/>
                <w:b w:val="1"/>
                <w:bCs w:val="1"/>
                <w:color w:val="auto"/>
              </w:rPr>
              <w:t>[ADDRESS]</w:t>
            </w:r>
          </w:p>
        </w:tc>
        <w:tc>
          <w:tcPr>
            <w:tcW w:w="2780" w:type="dxa"/>
            <w:vAlign w:val="bottom"/>
          </w:tcPr>
          <w:p>
            <w:pPr>
              <w:ind w:left="1520"/>
              <w:spacing w:after="0"/>
              <w:rPr>
                <w:sz w:val="20"/>
                <w:szCs w:val="20"/>
                <w:color w:val="auto"/>
              </w:rPr>
            </w:pPr>
            <w:r>
              <w:rPr>
                <w:rFonts w:ascii="Arial" w:cs="Arial" w:eastAsia="Arial" w:hAnsi="Arial"/>
                <w:sz w:val="18"/>
                <w:szCs w:val="18"/>
                <w:b w:val="1"/>
                <w:bCs w:val="1"/>
                <w:color w:val="auto"/>
              </w:rPr>
              <w:t>Plan:</w:t>
            </w:r>
          </w:p>
        </w:tc>
        <w:tc>
          <w:tcPr>
            <w:tcW w:w="500" w:type="dxa"/>
            <w:vAlign w:val="bottom"/>
          </w:tcPr>
          <w:p>
            <w:pPr>
              <w:jc w:val="right"/>
              <w:ind w:right="172"/>
              <w:spacing w:after="0"/>
              <w:rPr>
                <w:sz w:val="20"/>
                <w:szCs w:val="20"/>
                <w:color w:val="auto"/>
              </w:rPr>
            </w:pPr>
            <w:r>
              <w:rPr>
                <w:rFonts w:ascii="Arial" w:cs="Arial" w:eastAsia="Arial" w:hAnsi="Arial"/>
                <w:sz w:val="22"/>
                <w:szCs w:val="22"/>
                <w:b w:val="1"/>
                <w:bCs w:val="1"/>
                <w:color w:val="auto"/>
              </w:rPr>
              <w:t>[</w:t>
            </w:r>
          </w:p>
        </w:tc>
        <w:tc>
          <w:tcPr>
            <w:tcW w:w="3760" w:type="dxa"/>
            <w:vAlign w:val="bottom"/>
          </w:tcPr>
          <w:p>
            <w:pPr>
              <w:jc w:val="right"/>
              <w:ind w:right="3272"/>
              <w:spacing w:after="0"/>
              <w:rPr>
                <w:sz w:val="20"/>
                <w:szCs w:val="20"/>
                <w:color w:val="auto"/>
              </w:rPr>
            </w:pPr>
            <w:r>
              <w:rPr>
                <w:rFonts w:ascii="Arial" w:cs="Arial" w:eastAsia="Arial" w:hAnsi="Arial"/>
                <w:sz w:val="22"/>
                <w:szCs w:val="22"/>
                <w:b w:val="1"/>
                <w:bCs w:val="1"/>
                <w:color w:val="auto"/>
              </w:rPr>
              <w:t>]</w:t>
            </w:r>
          </w:p>
        </w:tc>
      </w:tr>
      <w:tr>
        <w:trPr>
          <w:trHeight w:val="310"/>
        </w:trPr>
        <w:tc>
          <w:tcPr>
            <w:tcW w:w="2520" w:type="dxa"/>
            <w:vAlign w:val="bottom"/>
          </w:tcPr>
          <w:p>
            <w:pPr>
              <w:spacing w:after="0"/>
              <w:rPr>
                <w:sz w:val="24"/>
                <w:szCs w:val="24"/>
                <w:color w:val="auto"/>
              </w:rPr>
            </w:pPr>
          </w:p>
        </w:tc>
        <w:tc>
          <w:tcPr>
            <w:tcW w:w="2780" w:type="dxa"/>
            <w:vAlign w:val="bottom"/>
          </w:tcPr>
          <w:p>
            <w:pPr>
              <w:ind w:left="1520"/>
              <w:spacing w:after="0"/>
              <w:rPr>
                <w:sz w:val="20"/>
                <w:szCs w:val="20"/>
                <w:color w:val="auto"/>
              </w:rPr>
            </w:pPr>
            <w:r>
              <w:rPr>
                <w:rFonts w:ascii="Arial" w:cs="Arial" w:eastAsia="Arial" w:hAnsi="Arial"/>
                <w:sz w:val="18"/>
                <w:szCs w:val="18"/>
                <w:b w:val="1"/>
                <w:bCs w:val="1"/>
                <w:color w:val="auto"/>
              </w:rPr>
              <w:t>ID:</w:t>
            </w:r>
          </w:p>
        </w:tc>
        <w:tc>
          <w:tcPr>
            <w:tcW w:w="500" w:type="dxa"/>
            <w:vAlign w:val="bottom"/>
          </w:tcPr>
          <w:p>
            <w:pPr>
              <w:jc w:val="right"/>
              <w:ind w:right="172"/>
              <w:spacing w:after="0"/>
              <w:rPr>
                <w:sz w:val="20"/>
                <w:szCs w:val="20"/>
                <w:color w:val="auto"/>
              </w:rPr>
            </w:pPr>
            <w:r>
              <w:rPr>
                <w:rFonts w:ascii="Arial" w:cs="Arial" w:eastAsia="Arial" w:hAnsi="Arial"/>
                <w:sz w:val="22"/>
                <w:szCs w:val="22"/>
                <w:b w:val="1"/>
                <w:bCs w:val="1"/>
                <w:color w:val="auto"/>
              </w:rPr>
              <w:t>[</w:t>
            </w:r>
          </w:p>
        </w:tc>
        <w:tc>
          <w:tcPr>
            <w:tcW w:w="3760" w:type="dxa"/>
            <w:vAlign w:val="bottom"/>
          </w:tcPr>
          <w:p>
            <w:pPr>
              <w:jc w:val="right"/>
              <w:ind w:right="3272"/>
              <w:spacing w:after="0"/>
              <w:rPr>
                <w:sz w:val="20"/>
                <w:szCs w:val="20"/>
                <w:color w:val="auto"/>
              </w:rPr>
            </w:pPr>
            <w:r>
              <w:rPr>
                <w:rFonts w:ascii="Arial" w:cs="Arial" w:eastAsia="Arial" w:hAnsi="Arial"/>
                <w:sz w:val="22"/>
                <w:szCs w:val="22"/>
                <w:b w:val="1"/>
                <w:bCs w:val="1"/>
                <w:color w:val="auto"/>
              </w:rPr>
              <w:t>]</w:t>
            </w:r>
          </w:p>
        </w:tc>
      </w:tr>
      <w:tr>
        <w:trPr>
          <w:trHeight w:val="328"/>
        </w:trPr>
        <w:tc>
          <w:tcPr>
            <w:tcW w:w="25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7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Effective &lt;date&gt; (the “Grant Date”) you have been granted restricted stock units with respect to [ ] shares of Regeneron Pharmaceuticals, Inc. (the “Company”) common stock.</w:t>
      </w:r>
    </w:p>
    <w:p>
      <w:pPr>
        <w:spacing w:after="0" w:line="35" w:lineRule="exact"/>
        <w:rPr>
          <w:sz w:val="20"/>
          <w:szCs w:val="20"/>
          <w:color w:val="auto"/>
        </w:rPr>
      </w:pPr>
    </w:p>
    <w:p>
      <w:pPr>
        <w:spacing w:after="0"/>
        <w:tabs>
          <w:tab w:leader="none" w:pos="3280" w:val="left"/>
        </w:tabs>
        <w:rPr>
          <w:sz w:val="20"/>
          <w:szCs w:val="20"/>
          <w:color w:val="auto"/>
        </w:rPr>
      </w:pPr>
      <w:r>
        <w:rPr>
          <w:rFonts w:ascii="Arial" w:cs="Arial" w:eastAsia="Arial" w:hAnsi="Arial"/>
          <w:sz w:val="18"/>
          <w:szCs w:val="18"/>
          <w:color w:val="auto"/>
        </w:rPr>
        <w:t>The current total value of the award is $[</w:t>
      </w:r>
      <w:r>
        <w:rPr>
          <w:sz w:val="20"/>
          <w:szCs w:val="20"/>
          <w:color w:val="auto"/>
        </w:rPr>
        <w:tab/>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award will vest in full on the date(s) shown.</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0" w:type="dxa"/>
            <w:vAlign w:val="bottom"/>
          </w:tcPr>
          <w:p>
            <w:pPr>
              <w:ind w:left="20"/>
              <w:spacing w:after="0"/>
              <w:rPr>
                <w:sz w:val="20"/>
                <w:szCs w:val="20"/>
                <w:color w:val="auto"/>
              </w:rPr>
            </w:pPr>
            <w:r>
              <w:rPr>
                <w:rFonts w:ascii="Arial" w:cs="Arial" w:eastAsia="Arial" w:hAnsi="Arial"/>
                <w:sz w:val="13"/>
                <w:szCs w:val="13"/>
                <w:b w:val="1"/>
                <w:bCs w:val="1"/>
                <w:color w:val="auto"/>
              </w:rPr>
              <w:t>Shares</w:t>
            </w:r>
          </w:p>
        </w:tc>
        <w:tc>
          <w:tcPr>
            <w:tcW w:w="4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40" w:type="dxa"/>
            <w:vAlign w:val="bottom"/>
          </w:tcPr>
          <w:p>
            <w:pPr>
              <w:jc w:val="right"/>
              <w:ind w:right="1761"/>
              <w:spacing w:after="0"/>
              <w:rPr>
                <w:sz w:val="20"/>
                <w:szCs w:val="20"/>
                <w:color w:val="auto"/>
              </w:rPr>
            </w:pPr>
            <w:r>
              <w:rPr>
                <w:rFonts w:ascii="Arial" w:cs="Arial" w:eastAsia="Arial" w:hAnsi="Arial"/>
                <w:sz w:val="13"/>
                <w:szCs w:val="13"/>
                <w:b w:val="1"/>
                <w:bCs w:val="1"/>
                <w:color w:val="auto"/>
              </w:rPr>
              <w:t>Full Vest Date</w:t>
            </w:r>
          </w:p>
        </w:tc>
      </w:tr>
      <w:tr>
        <w:trPr>
          <w:trHeight w:val="28"/>
        </w:trPr>
        <w:tc>
          <w:tcPr>
            <w:tcW w:w="52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320" w:type="dxa"/>
            <w:vAlign w:val="bottom"/>
            <w:tcBorders>
              <w:bottom w:val="single" w:sz="8" w:color="C0C0C0"/>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277"/>
        </w:trPr>
        <w:tc>
          <w:tcPr>
            <w:tcW w:w="520" w:type="dxa"/>
            <w:vAlign w:val="bottom"/>
            <w:shd w:val="clear" w:color="auto" w:fill="C0C0C0"/>
          </w:tcPr>
          <w:p>
            <w:pPr>
              <w:ind w:left="20"/>
              <w:spacing w:after="0"/>
              <w:rPr>
                <w:sz w:val="20"/>
                <w:szCs w:val="20"/>
                <w:color w:val="auto"/>
              </w:rPr>
            </w:pPr>
            <w:r>
              <w:rPr>
                <w:rFonts w:ascii="Arial" w:cs="Arial" w:eastAsia="Arial" w:hAnsi="Arial"/>
                <w:sz w:val="18"/>
                <w:szCs w:val="18"/>
                <w:color w:val="auto"/>
              </w:rPr>
              <w:t>[</w:t>
            </w:r>
          </w:p>
        </w:tc>
        <w:tc>
          <w:tcPr>
            <w:tcW w:w="4760" w:type="dxa"/>
            <w:vAlign w:val="bottom"/>
            <w:shd w:val="clear" w:color="auto" w:fill="C0C0C0"/>
          </w:tcPr>
          <w:p>
            <w:pPr>
              <w:jc w:val="right"/>
              <w:ind w:right="44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0C0C0"/>
          </w:tcPr>
          <w:p>
            <w:pPr>
              <w:spacing w:after="0"/>
              <w:rPr>
                <w:sz w:val="24"/>
                <w:szCs w:val="24"/>
                <w:color w:val="auto"/>
              </w:rPr>
            </w:pPr>
          </w:p>
        </w:tc>
        <w:tc>
          <w:tcPr>
            <w:tcW w:w="260" w:type="dxa"/>
            <w:vAlign w:val="bottom"/>
            <w:shd w:val="clear" w:color="auto" w:fill="C0C0C0"/>
          </w:tcPr>
          <w:p>
            <w:pPr>
              <w:jc w:val="right"/>
              <w:ind w:right="90"/>
              <w:spacing w:after="0"/>
              <w:rPr>
                <w:sz w:val="20"/>
                <w:szCs w:val="20"/>
                <w:color w:val="auto"/>
              </w:rPr>
            </w:pPr>
            <w:r>
              <w:rPr>
                <w:rFonts w:ascii="Arial" w:cs="Arial" w:eastAsia="Arial" w:hAnsi="Arial"/>
                <w:sz w:val="18"/>
                <w:szCs w:val="18"/>
                <w:color w:val="auto"/>
              </w:rPr>
              <w:t>[</w:t>
            </w:r>
          </w:p>
        </w:tc>
        <w:tc>
          <w:tcPr>
            <w:tcW w:w="4240" w:type="dxa"/>
            <w:vAlign w:val="bottom"/>
            <w:shd w:val="clear" w:color="auto" w:fill="C0C0C0"/>
          </w:tcPr>
          <w:p>
            <w:pPr>
              <w:jc w:val="right"/>
              <w:ind w:right="3841"/>
              <w:spacing w:after="0"/>
              <w:rPr>
                <w:sz w:val="20"/>
                <w:szCs w:val="20"/>
                <w:color w:val="auto"/>
              </w:rPr>
            </w:pPr>
            <w:r>
              <w:rPr>
                <w:rFonts w:ascii="Arial" w:cs="Arial" w:eastAsia="Arial" w:hAnsi="Arial"/>
                <w:sz w:val="18"/>
                <w:szCs w:val="18"/>
                <w:color w:val="auto"/>
              </w:rPr>
              <w:t>]*</w:t>
            </w:r>
          </w:p>
        </w:tc>
      </w:tr>
      <w:tr>
        <w:trPr>
          <w:trHeight w:val="27"/>
        </w:trPr>
        <w:tc>
          <w:tcPr>
            <w:tcW w:w="520" w:type="dxa"/>
            <w:vAlign w:val="bottom"/>
            <w:shd w:val="clear" w:color="auto" w:fill="C0C0C0"/>
          </w:tcPr>
          <w:p>
            <w:pPr>
              <w:spacing w:after="0"/>
              <w:rPr>
                <w:sz w:val="2"/>
                <w:szCs w:val="2"/>
                <w:color w:val="auto"/>
              </w:rPr>
            </w:pPr>
          </w:p>
        </w:tc>
        <w:tc>
          <w:tcPr>
            <w:tcW w:w="4760" w:type="dxa"/>
            <w:vAlign w:val="bottom"/>
            <w:shd w:val="clear" w:color="auto" w:fill="C0C0C0"/>
          </w:tcPr>
          <w:p>
            <w:pPr>
              <w:spacing w:after="0"/>
              <w:rPr>
                <w:sz w:val="2"/>
                <w:szCs w:val="2"/>
                <w:color w:val="auto"/>
              </w:rPr>
            </w:pPr>
          </w:p>
        </w:tc>
        <w:tc>
          <w:tcPr>
            <w:tcW w:w="320" w:type="dxa"/>
            <w:vAlign w:val="bottom"/>
            <w:shd w:val="clear" w:color="auto" w:fill="C0C0C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4240" w:type="dxa"/>
            <w:vAlign w:val="bottom"/>
            <w:shd w:val="clear" w:color="auto" w:fill="C0C0C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640334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04">
                      <a:extLst>
                        <a:ext uri="{28A0092B-C50C-407E-A947-70E740481C1C}"/>
                      </a:extLst>
                    </a:blip>
                    <a:srcRect/>
                    <a:stretch>
                      <a:fillRect/>
                    </a:stretch>
                  </pic:blipFill>
                  <pic:spPr bwMode="auto">
                    <a:xfrm>
                      <a:off x="0" y="0"/>
                      <a:ext cx="64033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right="1540"/>
        <w:spacing w:after="0" w:line="263" w:lineRule="auto"/>
        <w:rPr>
          <w:sz w:val="20"/>
          <w:szCs w:val="20"/>
          <w:color w:val="auto"/>
        </w:rPr>
      </w:pPr>
      <w:r>
        <w:rPr>
          <w:rFonts w:ascii="Arial" w:cs="Arial" w:eastAsia="Arial" w:hAnsi="Arial"/>
          <w:sz w:val="18"/>
          <w:szCs w:val="18"/>
          <w:color w:val="auto"/>
        </w:rPr>
        <w:t>You and the Company agree that this award is granted under and governed by the terms and conditions of the Second Amended and Restated Regeneron Pharmaceuticals, Inc. 2014 Long Term Incentive Plan, as amended from time to time, and the enclosed Restricted Stock Unit Agreement, both of which are attached and made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640334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05">
                      <a:extLst>
                        <a:ext uri="{28A0092B-C50C-407E-A947-70E740481C1C}"/>
                      </a:extLst>
                    </a:blip>
                    <a:srcRect/>
                    <a:stretch>
                      <a:fillRect/>
                    </a:stretch>
                  </pic:blipFill>
                  <pic:spPr bwMode="auto">
                    <a:xfrm>
                      <a:off x="0" y="0"/>
                      <a:ext cx="640334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w:t>
      </w:r>
    </w:p>
    <w:p>
      <w:pPr>
        <w:spacing w:after="0" w:line="321" w:lineRule="exact"/>
        <w:rPr>
          <w:sz w:val="20"/>
          <w:szCs w:val="20"/>
          <w:color w:val="auto"/>
        </w:rPr>
      </w:pPr>
    </w:p>
    <w:p>
      <w:pPr>
        <w:ind w:left="460" w:hanging="434"/>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Awards will vest 50% on the second anniversary of the Grant Date and 50% on the fourth anniversary of the Grant Date.</w:t>
      </w:r>
    </w:p>
    <w:p>
      <w:pPr>
        <w:sectPr>
          <w:pgSz w:w="11900" w:h="16838" w:orient="portrait"/>
          <w:cols w:equalWidth="0" w:num="1">
            <w:col w:w="11240"/>
          </w:cols>
          <w:pgMar w:left="320" w:top="773" w:right="339" w:bottom="1440" w:gutter="0" w:footer="0" w:header="0"/>
          <w:type w:val="continuous"/>
        </w:sectPr>
      </w:pPr>
    </w:p>
    <w:bookmarkStart w:id="164" w:name="page165"/>
    <w:bookmarkEnd w:id="164"/>
    <w:p>
      <w:pPr>
        <w:jc w:val="center"/>
        <w:spacing w:after="0"/>
        <w:rPr>
          <w:sz w:val="20"/>
          <w:szCs w:val="20"/>
          <w:color w:val="auto"/>
        </w:rPr>
      </w:pPr>
      <w:r>
        <w:rPr>
          <w:rFonts w:ascii="Arial" w:cs="Arial" w:eastAsia="Arial" w:hAnsi="Arial"/>
          <w:sz w:val="25"/>
          <w:szCs w:val="25"/>
          <w:b w:val="1"/>
          <w:bCs w:val="1"/>
          <w:color w:val="800000"/>
        </w:rPr>
        <w:t>REGENERON PHARMACEUTICALS, INC.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SECOND AMENDED AND RESTATED REGENERON PHARMACEUTICALS,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2014 LONG-TERM INCENTIVE PLAN</w:t>
      </w:r>
    </w:p>
    <w:p>
      <w:pPr>
        <w:spacing w:after="0" w:line="303"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6"/>
          <w:szCs w:val="16"/>
          <w:color w:val="auto"/>
        </w:rPr>
        <w:t>THIS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made as of the date on the </w:t>
      </w:r>
      <w:r>
        <w:rPr>
          <w:rFonts w:ascii="Arial" w:cs="Arial" w:eastAsia="Arial" w:hAnsi="Arial"/>
          <w:sz w:val="16"/>
          <w:szCs w:val="16"/>
          <w:i w:val="1"/>
          <w:iCs w:val="1"/>
          <w:color w:val="auto"/>
        </w:rPr>
        <w:t>Notice of Grant of Restricted Stock Units</w:t>
      </w:r>
      <w:r>
        <w:rPr>
          <w:rFonts w:ascii="Arial" w:cs="Arial" w:eastAsia="Arial" w:hAnsi="Arial"/>
          <w:sz w:val="16"/>
          <w:szCs w:val="16"/>
          <w:color w:val="auto"/>
        </w:rPr>
        <w:t>, by and between Regeneron Pharmaceuticals, Inc., a New York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and the employee named on the </w:t>
      </w:r>
      <w:r>
        <w:rPr>
          <w:rFonts w:ascii="Arial" w:cs="Arial" w:eastAsia="Arial" w:hAnsi="Arial"/>
          <w:sz w:val="16"/>
          <w:szCs w:val="16"/>
          <w:i w:val="1"/>
          <w:iCs w:val="1"/>
          <w:color w:val="auto"/>
        </w:rPr>
        <w:t>Notice of Grant of Restricted Stock Units</w:t>
      </w:r>
      <w:r>
        <w:rPr>
          <w:rFonts w:ascii="Arial" w:cs="Arial" w:eastAsia="Arial" w:hAnsi="Arial"/>
          <w:sz w:val="16"/>
          <w:szCs w:val="16"/>
          <w:color w:val="auto"/>
        </w:rPr>
        <w:t xml:space="preserve"> (the</w:t>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Recipient</w:t>
      </w:r>
      <w:r>
        <w:rPr>
          <w:rFonts w:ascii="Arial" w:cs="Arial" w:eastAsia="Arial" w:hAnsi="Arial"/>
          <w:sz w:val="17"/>
          <w:szCs w:val="17"/>
          <w:color w:val="auto"/>
        </w:rPr>
        <w:t>”). Any capitalized term used but not defined in this Agreement shall have the meaning given to such term in the Plan (as defined below).</w:t>
      </w:r>
    </w:p>
    <w:p>
      <w:pPr>
        <w:spacing w:after="0" w:line="129"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WHEREAS, the Recipient is an employee of the Company (or a Subsidiary of the Company) and the Company desires to afford the Recipient the opportunity to acquire or enlarge the Recipient’s stock ownership in the Company so that the Recipient may have a direct proprietary interest in the Company’s success; and</w:t>
      </w:r>
    </w:p>
    <w:p>
      <w:pPr>
        <w:spacing w:after="0" w:line="76"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WHEREAS, the Committee (or the person or persons to whom the Committee has delegated the relevant authority pursuant to Section 4 of the Plan (as defined below) (the Committee or such person or persons being referred to in this Agreement as the “</w:t>
      </w:r>
      <w:r>
        <w:rPr>
          <w:rFonts w:ascii="Arial" w:cs="Arial" w:eastAsia="Arial" w:hAnsi="Arial"/>
          <w:sz w:val="17"/>
          <w:szCs w:val="17"/>
          <w:u w:val="single" w:color="auto"/>
          <w:color w:val="auto"/>
        </w:rPr>
        <w:t>Committee</w:t>
      </w:r>
      <w:r>
        <w:rPr>
          <w:rFonts w:ascii="Arial" w:cs="Arial" w:eastAsia="Arial" w:hAnsi="Arial"/>
          <w:sz w:val="17"/>
          <w:szCs w:val="17"/>
          <w:color w:val="auto"/>
        </w:rPr>
        <w:t>”)) administering the Second Amended and Restated Regeneron Pharmaceuticals, Inc. 2014 Long-Term Incentive Plan (as amended from time to time, the “</w:t>
      </w:r>
      <w:r>
        <w:rPr>
          <w:rFonts w:ascii="Arial" w:cs="Arial" w:eastAsia="Arial" w:hAnsi="Arial"/>
          <w:sz w:val="17"/>
          <w:szCs w:val="17"/>
          <w:u w:val="single" w:color="auto"/>
          <w:color w:val="auto"/>
        </w:rPr>
        <w:t>Plan</w:t>
      </w:r>
      <w:r>
        <w:rPr>
          <w:rFonts w:ascii="Arial" w:cs="Arial" w:eastAsia="Arial" w:hAnsi="Arial"/>
          <w:sz w:val="17"/>
          <w:szCs w:val="17"/>
          <w:color w:val="auto"/>
        </w:rPr>
        <w:t xml:space="preserve">”) has granted (as of the effective date of grant specified in the </w:t>
      </w:r>
      <w:r>
        <w:rPr>
          <w:rFonts w:ascii="Arial" w:cs="Arial" w:eastAsia="Arial" w:hAnsi="Arial"/>
          <w:sz w:val="17"/>
          <w:szCs w:val="17"/>
          <w:i w:val="1"/>
          <w:iCs w:val="1"/>
          <w:color w:val="auto"/>
        </w:rPr>
        <w:t>Notice of Grant of Restricted Stock Units</w:t>
      </w:r>
      <w:r>
        <w:rPr>
          <w:rFonts w:ascii="Arial" w:cs="Arial" w:eastAsia="Arial" w:hAnsi="Arial"/>
          <w:sz w:val="17"/>
          <w:szCs w:val="17"/>
          <w:color w:val="auto"/>
        </w:rPr>
        <w:t xml:space="preserve">) to the Recipient a Restricted Stock Unit (as defined below) with respect to the number of shares of Company Stock as set forth in the </w:t>
      </w:r>
      <w:r>
        <w:rPr>
          <w:rFonts w:ascii="Arial" w:cs="Arial" w:eastAsia="Arial" w:hAnsi="Arial"/>
          <w:sz w:val="17"/>
          <w:szCs w:val="17"/>
          <w:i w:val="1"/>
          <w:iCs w:val="1"/>
          <w:color w:val="auto"/>
        </w:rPr>
        <w:t>Notice of Grant of Restricted Stock Units</w:t>
      </w:r>
      <w:r>
        <w:rPr>
          <w:rFonts w:ascii="Arial" w:cs="Arial" w:eastAsia="Arial" w:hAnsi="Arial"/>
          <w:sz w:val="17"/>
          <w:szCs w:val="17"/>
          <w:color w:val="auto"/>
        </w:rPr>
        <w:t>.</w:t>
      </w:r>
    </w:p>
    <w:p>
      <w:pPr>
        <w:spacing w:after="0" w:line="6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NOW, THEREFORE, in consideration of the covenants and agreements herein contained, the parties agree as follows:</w:t>
      </w:r>
    </w:p>
    <w:p>
      <w:pPr>
        <w:spacing w:after="0" w:line="113" w:lineRule="exact"/>
        <w:rPr>
          <w:sz w:val="20"/>
          <w:szCs w:val="20"/>
          <w:color w:val="auto"/>
        </w:rPr>
      </w:pPr>
    </w:p>
    <w:p>
      <w:pPr>
        <w:ind w:right="80" w:firstLine="1304"/>
        <w:spacing w:after="0" w:line="298" w:lineRule="auto"/>
        <w:tabs>
          <w:tab w:leader="none" w:pos="1944" w:val="left"/>
        </w:tabs>
        <w:numPr>
          <w:ilvl w:val="0"/>
          <w:numId w:val="96"/>
        </w:numPr>
        <w:rPr>
          <w:rFonts w:ascii="Arial" w:cs="Arial" w:eastAsia="Arial" w:hAnsi="Arial"/>
          <w:sz w:val="16"/>
          <w:szCs w:val="16"/>
          <w:color w:val="auto"/>
        </w:rPr>
      </w:pPr>
      <w:r>
        <w:rPr>
          <w:rFonts w:ascii="Arial" w:cs="Arial" w:eastAsia="Arial" w:hAnsi="Arial"/>
          <w:sz w:val="16"/>
          <w:szCs w:val="16"/>
          <w:b w:val="1"/>
          <w:bCs w:val="1"/>
          <w:color w:val="auto"/>
        </w:rPr>
        <w:t>Grant of Award</w:t>
      </w:r>
      <w:r>
        <w:rPr>
          <w:rFonts w:ascii="Arial" w:cs="Arial" w:eastAsia="Arial" w:hAnsi="Arial"/>
          <w:sz w:val="16"/>
          <w:szCs w:val="16"/>
          <w:color w:val="auto"/>
        </w:rPr>
        <w:t>. Pursuant to Section 9 of the Plan, the Company grants to the Recipient, subject to the terms and conditions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and subject further to the terms and conditions set forth herein, a restricted stock unit (referred to in the Plan as “Phantom Stock”) (each such unit, a “</w:t>
      </w:r>
      <w:r>
        <w:rPr>
          <w:rFonts w:ascii="Arial" w:cs="Arial" w:eastAsia="Arial" w:hAnsi="Arial"/>
          <w:sz w:val="16"/>
          <w:szCs w:val="16"/>
          <w:u w:val="single" w:color="auto"/>
          <w:color w:val="auto"/>
        </w:rPr>
        <w:t>Restricted Stock Unit</w:t>
      </w:r>
      <w:r>
        <w:rPr>
          <w:rFonts w:ascii="Arial" w:cs="Arial" w:eastAsia="Arial" w:hAnsi="Arial"/>
          <w:sz w:val="16"/>
          <w:szCs w:val="16"/>
          <w:color w:val="auto"/>
        </w:rPr>
        <w:t>”) with respect to the number of shares of Company Stock as shown on the Notice of Grant of Restricted Stock Units. The Participant’s record of Company Stock ownership shall be recorded in the books of the Company only when the Restricted Stock Units vest and the shares of Company Stock are issued. At the Recipient’s request, vested shares may be evidenced by stock certificates or book-entry registration.</w:t>
      </w:r>
    </w:p>
    <w:p>
      <w:pPr>
        <w:spacing w:after="0" w:line="45" w:lineRule="exact"/>
        <w:rPr>
          <w:rFonts w:ascii="Arial" w:cs="Arial" w:eastAsia="Arial" w:hAnsi="Arial"/>
          <w:sz w:val="16"/>
          <w:szCs w:val="16"/>
          <w:color w:val="auto"/>
        </w:rPr>
      </w:pPr>
    </w:p>
    <w:p>
      <w:pPr>
        <w:ind w:firstLine="1304"/>
        <w:spacing w:after="0" w:line="269" w:lineRule="auto"/>
        <w:tabs>
          <w:tab w:leader="none" w:pos="1944" w:val="left"/>
        </w:tabs>
        <w:numPr>
          <w:ilvl w:val="0"/>
          <w:numId w:val="96"/>
        </w:numPr>
        <w:rPr>
          <w:rFonts w:ascii="Arial" w:cs="Arial" w:eastAsia="Arial" w:hAnsi="Arial"/>
          <w:sz w:val="17"/>
          <w:szCs w:val="17"/>
          <w:color w:val="auto"/>
        </w:rPr>
      </w:pPr>
      <w:r>
        <w:rPr>
          <w:rFonts w:ascii="Arial" w:cs="Arial" w:eastAsia="Arial" w:hAnsi="Arial"/>
          <w:sz w:val="17"/>
          <w:szCs w:val="17"/>
          <w:b w:val="1"/>
          <w:bCs w:val="1"/>
          <w:color w:val="auto"/>
        </w:rPr>
        <w:t>Vesting; Delivery</w:t>
      </w:r>
      <w:r>
        <w:rPr>
          <w:rFonts w:ascii="Arial" w:cs="Arial" w:eastAsia="Arial" w:hAnsi="Arial"/>
          <w:sz w:val="17"/>
          <w:szCs w:val="17"/>
          <w:color w:val="auto"/>
        </w:rPr>
        <w:t>. (a) The Restricted Stock Units granted to the Recipient shall vest in installments as provided in the Notice of</w:t>
      </w:r>
      <w:r>
        <w:rPr>
          <w:rFonts w:ascii="Arial" w:cs="Arial" w:eastAsia="Arial" w:hAnsi="Arial"/>
          <w:sz w:val="17"/>
          <w:szCs w:val="17"/>
          <w:b w:val="1"/>
          <w:bCs w:val="1"/>
          <w:color w:val="auto"/>
        </w:rPr>
        <w:t xml:space="preserve"> </w:t>
      </w:r>
      <w:r>
        <w:rPr>
          <w:rFonts w:ascii="Arial" w:cs="Arial" w:eastAsia="Arial" w:hAnsi="Arial"/>
          <w:sz w:val="17"/>
          <w:szCs w:val="17"/>
          <w:color w:val="auto"/>
        </w:rPr>
        <w:t>Grant of Restricted Stock Units. The vesting schedule in the Notice of Grant of Restricted Stock Units indicates each date upon which the Restricted Stock Units shall vest, entitling the Recipient to receive the underlying shares of Company Stock, provided that the Recipient has not (except with respect to retirement on the terms set forth below) incurred a termination of employment with the Company and all Subsidiaries (the Company and its Subsidiaries shall be referred to herein, collectively, as the “</w:t>
      </w:r>
      <w:r>
        <w:rPr>
          <w:rFonts w:ascii="Arial" w:cs="Arial" w:eastAsia="Arial" w:hAnsi="Arial"/>
          <w:sz w:val="17"/>
          <w:szCs w:val="17"/>
          <w:u w:val="single" w:color="auto"/>
          <w:color w:val="auto"/>
        </w:rPr>
        <w:t>Employer</w:t>
      </w:r>
      <w:r>
        <w:rPr>
          <w:rFonts w:ascii="Arial" w:cs="Arial" w:eastAsia="Arial" w:hAnsi="Arial"/>
          <w:sz w:val="17"/>
          <w:szCs w:val="17"/>
          <w:color w:val="auto"/>
        </w:rPr>
        <w:t>”). For the avoidance of doubt, and notwithstanding any provision in this Agreement or the Plan to the contrary, no termination of employment shall be deemed to take place unless the Recipient has ceased both to be employed by and to provide service to the Employer. There shall be no proportionate or partial vesting in the periods between the Full Vest Dates specified in the Notice of Grant of Restricted Stock Units and all vesting shall occur only on such Full Vest Dates. No vesting shall occur after the termination of the Recipient’s employment with the Employer for any reason (except with respect to retirement on the terms set forth below). The provisions of this Section 2(a) are subject to (i) the provisions set forth in the Notice of Grant of Restricted Stock Units or any employment agreement, consulting agreement or similar agreement in effect between the Employer and the Recipient (or otherwise applicable to the Recipient) on the date of grant specified in the Notice of Grant of Restricted Stock Units and (ii) the Committee’s determination in accordance with Section 9(d) of the Plan.</w:t>
      </w:r>
    </w:p>
    <w:p>
      <w:pPr>
        <w:spacing w:after="0" w:line="75" w:lineRule="exact"/>
        <w:rPr>
          <w:sz w:val="20"/>
          <w:szCs w:val="20"/>
          <w:color w:val="auto"/>
        </w:rPr>
      </w:pPr>
    </w:p>
    <w:p>
      <w:pPr>
        <w:ind w:right="20" w:firstLine="1304"/>
        <w:spacing w:after="0" w:line="277" w:lineRule="auto"/>
        <w:tabs>
          <w:tab w:leader="none" w:pos="1731"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Notwithstanding anything herein (except the following sentence) or in the Notice of Grant of Restricted Stock Units to the contrary, the Restricted Stock Units granted to Recipient shall be fully vested</w:t>
      </w:r>
    </w:p>
    <w:p>
      <w:pPr>
        <w:sectPr>
          <w:pgSz w:w="11900" w:h="16838" w:orient="portrait"/>
          <w:cols w:equalWidth="0" w:num="1">
            <w:col w:w="11240"/>
          </w:cols>
          <w:pgMar w:left="320" w:top="1413" w:right="339" w:bottom="1440" w:gutter="0" w:footer="0" w:header="0"/>
        </w:sectPr>
      </w:pPr>
    </w:p>
    <w:bookmarkStart w:id="165" w:name="page166"/>
    <w:bookmarkEnd w:id="165"/>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the date of a Change in Control. Except as otherwise provided in any employment agreement, consulting agreement, change in control agreement or plan, or similar agreement or plan in effect between the Employer and the Recipient (or otherwise applicable to the Recipient) on the date of grant specified in the Notice of Grant of Restricted Stock Units, if the application of the provision in the foregoing sentence, similar provisions in other stock option or equity compensation grants, and other payments and benefits payable to the Recipient upon termination of employment with the Employer (collectively, the “</w:t>
      </w:r>
      <w:r>
        <w:rPr>
          <w:rFonts w:ascii="Arial" w:cs="Arial" w:eastAsia="Arial" w:hAnsi="Arial"/>
          <w:sz w:val="17"/>
          <w:szCs w:val="17"/>
          <w:u w:val="single" w:color="auto"/>
          <w:color w:val="auto"/>
        </w:rPr>
        <w:t>Company Payments</w:t>
      </w:r>
      <w:r>
        <w:rPr>
          <w:rFonts w:ascii="Arial" w:cs="Arial" w:eastAsia="Arial" w:hAnsi="Arial"/>
          <w:sz w:val="17"/>
          <w:szCs w:val="17"/>
          <w:color w:val="auto"/>
        </w:rPr>
        <w:t>”) would result in the Recipient being subject to excise tax (the “</w:t>
      </w:r>
      <w:r>
        <w:rPr>
          <w:rFonts w:ascii="Arial" w:cs="Arial" w:eastAsia="Arial" w:hAnsi="Arial"/>
          <w:sz w:val="17"/>
          <w:szCs w:val="17"/>
          <w:u w:val="single" w:color="auto"/>
          <w:color w:val="auto"/>
        </w:rPr>
        <w:t>Excise Tax</w:t>
      </w:r>
      <w:r>
        <w:rPr>
          <w:rFonts w:ascii="Arial" w:cs="Arial" w:eastAsia="Arial" w:hAnsi="Arial"/>
          <w:sz w:val="17"/>
          <w:szCs w:val="17"/>
          <w:color w:val="auto"/>
        </w:rPr>
        <w:t>”) payable under Section 4999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the amount of any Company Payments shall be automatically reduced to an amount one dollar less than an amount that would subject the Recipient to the Excise Tax; provided, however, that the reduction shall occur only if the reduced Company Payments received by the Recipient (after taking into account further reductions for applicable federal, state and local income, social security and other taxes) would be greater than the unreduced Company Payments to be received by the Recipient minus (i) the Excise Tax payable with respect to such Company Payments and (ii) all applicable federal, state and local income, social security and other taxes on such Company Payments. If the Company Payments are to be reduced in accordance with the foregoing, the Company Payments shall be reduced as mutually agreed between the Employer and the Recipient or, in the event the parties cannot agree, in the following order: (1) acceleration of vesting of any option where the exercise price exceeds the fair market value of the underlying shares at the time the acceleration would otherwise occur; (2) any lump-sum severance based on a multiple of base salary or bonus; (3) any other cash amounts payable to the Recipient; (4) any benefits valued as parachute payments; and (5) acceleration of vesting of any equity not covered by (1) above.</w:t>
      </w:r>
    </w:p>
    <w:p>
      <w:pPr>
        <w:spacing w:after="0" w:line="74" w:lineRule="exact"/>
        <w:rPr>
          <w:sz w:val="20"/>
          <w:szCs w:val="20"/>
          <w:color w:val="auto"/>
        </w:rPr>
      </w:pPr>
    </w:p>
    <w:p>
      <w:pPr>
        <w:jc w:val="both"/>
        <w:ind w:firstLine="1304"/>
        <w:spacing w:after="0" w:line="257" w:lineRule="auto"/>
        <w:tabs>
          <w:tab w:leader="none" w:pos="1791" w:val="left"/>
        </w:tabs>
        <w:numPr>
          <w:ilvl w:val="0"/>
          <w:numId w:val="98"/>
        </w:numPr>
        <w:rPr>
          <w:rFonts w:ascii="Arial" w:cs="Arial" w:eastAsia="Arial" w:hAnsi="Arial"/>
          <w:sz w:val="18"/>
          <w:szCs w:val="18"/>
          <w:color w:val="auto"/>
        </w:rPr>
      </w:pPr>
      <w:r>
        <w:rPr>
          <w:rFonts w:ascii="Arial" w:cs="Arial" w:eastAsia="Arial" w:hAnsi="Arial"/>
          <w:sz w:val="18"/>
          <w:szCs w:val="18"/>
          <w:color w:val="auto"/>
        </w:rPr>
        <w:t>Unless a later delivery date is elected by the Recipient at a time and in a manner which complies with the requirements of Section 409A of the Code (and the regulations thereunder), shares of Company Stock issuable pursuant to the vesting of Restricted Stock Units shall be delivered on the earlier of (1) the termination of the Recipient’s employment, (2) the seventh anniversary of the date of grant of the Restricted Stock Units and (3) the date of a Change in Control (provided that the shares of Company Stock may be delivered upon such Change in Control without violating Section 409A of the Code).</w:t>
      </w:r>
    </w:p>
    <w:p>
      <w:pPr>
        <w:spacing w:after="0" w:line="76" w:lineRule="exact"/>
        <w:rPr>
          <w:sz w:val="20"/>
          <w:szCs w:val="20"/>
          <w:color w:val="auto"/>
        </w:rPr>
      </w:pPr>
    </w:p>
    <w:p>
      <w:pPr>
        <w:ind w:right="20" w:firstLine="1304"/>
        <w:spacing w:after="0" w:line="292" w:lineRule="auto"/>
        <w:tabs>
          <w:tab w:leader="none" w:pos="1944" w:val="left"/>
        </w:tabs>
        <w:numPr>
          <w:ilvl w:val="0"/>
          <w:numId w:val="99"/>
        </w:numPr>
        <w:rPr>
          <w:rFonts w:ascii="Arial" w:cs="Arial" w:eastAsia="Arial" w:hAnsi="Arial"/>
          <w:sz w:val="16"/>
          <w:szCs w:val="16"/>
          <w:color w:val="auto"/>
        </w:rPr>
      </w:pPr>
      <w:r>
        <w:rPr>
          <w:rFonts w:ascii="Arial" w:cs="Arial" w:eastAsia="Arial" w:hAnsi="Arial"/>
          <w:sz w:val="16"/>
          <w:szCs w:val="16"/>
          <w:b w:val="1"/>
          <w:bCs w:val="1"/>
          <w:color w:val="auto"/>
        </w:rPr>
        <w:t>Termination of Service</w:t>
      </w:r>
      <w:r>
        <w:rPr>
          <w:rFonts w:ascii="Arial" w:cs="Arial" w:eastAsia="Arial" w:hAnsi="Arial"/>
          <w:sz w:val="16"/>
          <w:szCs w:val="16"/>
          <w:color w:val="auto"/>
        </w:rPr>
        <w:t>. Subject to the terms of the Plan and Section 2(b) hereof, if the Recipient’s employment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is terminated for any reason (other than as set forth in Section 2(b) hereof and as a result of Recipient’s retirement on the terms set forth below or death), the Recipient shall forfeit any or all of the shares of Company Stock subject to the Restricted Stock Unit that have not vested in accordance with Section 2 hereof. Notwithstanding the preceding sentence, upon the Recipient’s retirement (as defined in the Company’s employee handbook as in effect on the date hereof), the Restricted Stock Units granted to the Recipient shall continue to vest in installments as provided in the </w:t>
      </w:r>
      <w:r>
        <w:rPr>
          <w:rFonts w:ascii="Arial" w:cs="Arial" w:eastAsia="Arial" w:hAnsi="Arial"/>
          <w:sz w:val="16"/>
          <w:szCs w:val="16"/>
          <w:i w:val="1"/>
          <w:iCs w:val="1"/>
          <w:color w:val="auto"/>
        </w:rPr>
        <w:t>Notice of Grant of Restricted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Stock Units </w:t>
      </w:r>
      <w:r>
        <w:rPr>
          <w:rFonts w:ascii="Arial" w:cs="Arial" w:eastAsia="Arial" w:hAnsi="Arial"/>
          <w:sz w:val="16"/>
          <w:szCs w:val="16"/>
          <w:color w:val="auto"/>
        </w:rPr>
        <w:t>as if the Recipient had continued to be employed by or provide services to the Employer. The Restricted Stock Units shall become fully vested</w:t>
      </w:r>
      <w:r>
        <w:rPr>
          <w:rFonts w:ascii="Arial" w:cs="Arial" w:eastAsia="Arial" w:hAnsi="Arial"/>
          <w:sz w:val="16"/>
          <w:szCs w:val="16"/>
          <w:i w:val="1"/>
          <w:iCs w:val="1"/>
          <w:color w:val="auto"/>
        </w:rPr>
        <w:t xml:space="preserve"> </w:t>
      </w:r>
      <w:r>
        <w:rPr>
          <w:rFonts w:ascii="Arial" w:cs="Arial" w:eastAsia="Arial" w:hAnsi="Arial"/>
          <w:sz w:val="16"/>
          <w:szCs w:val="16"/>
          <w:color w:val="auto"/>
        </w:rPr>
        <w:t>as of the date of death of the Recipient, provided that the Recipient is employed by the Employer on the date of his/her death.</w:t>
      </w:r>
    </w:p>
    <w:p>
      <w:pPr>
        <w:spacing w:after="0" w:line="53" w:lineRule="exact"/>
        <w:rPr>
          <w:rFonts w:ascii="Arial" w:cs="Arial" w:eastAsia="Arial" w:hAnsi="Arial"/>
          <w:sz w:val="16"/>
          <w:szCs w:val="16"/>
          <w:color w:val="auto"/>
        </w:rPr>
      </w:pPr>
    </w:p>
    <w:p>
      <w:pPr>
        <w:jc w:val="both"/>
        <w:ind w:firstLine="1304"/>
        <w:spacing w:after="0" w:line="266" w:lineRule="auto"/>
        <w:tabs>
          <w:tab w:leader="none" w:pos="1944"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Securities Laws Requirements</w:t>
      </w:r>
      <w:r>
        <w:rPr>
          <w:rFonts w:ascii="Arial" w:cs="Arial" w:eastAsia="Arial" w:hAnsi="Arial"/>
          <w:sz w:val="18"/>
          <w:szCs w:val="18"/>
          <w:color w:val="auto"/>
        </w:rPr>
        <w:t>. The Company shall not be obligated to transfer any shares of Company Stock to the Recipient,</w:t>
      </w:r>
      <w:r>
        <w:rPr>
          <w:rFonts w:ascii="Arial" w:cs="Arial" w:eastAsia="Arial" w:hAnsi="Arial"/>
          <w:sz w:val="18"/>
          <w:szCs w:val="18"/>
          <w:b w:val="1"/>
          <w:bCs w:val="1"/>
          <w:color w:val="auto"/>
        </w:rPr>
        <w:t xml:space="preserve"> </w:t>
      </w:r>
      <w:r>
        <w:rPr>
          <w:rFonts w:ascii="Arial" w:cs="Arial" w:eastAsia="Arial" w:hAnsi="Arial"/>
          <w:sz w:val="18"/>
          <w:szCs w:val="18"/>
          <w:color w:val="auto"/>
        </w:rPr>
        <w:t>if such transfer, in the opinion of counsel for the Company, would violate the Securities Act (or any other federal or state statutes having similar requirements as may be in effect at that time).</w:t>
      </w:r>
    </w:p>
    <w:p>
      <w:pPr>
        <w:spacing w:after="0" w:line="67" w:lineRule="exact"/>
        <w:rPr>
          <w:rFonts w:ascii="Arial" w:cs="Arial" w:eastAsia="Arial" w:hAnsi="Arial"/>
          <w:sz w:val="18"/>
          <w:szCs w:val="18"/>
          <w:color w:val="auto"/>
        </w:rPr>
      </w:pPr>
    </w:p>
    <w:p>
      <w:pPr>
        <w:ind w:right="20" w:firstLine="1304"/>
        <w:spacing w:after="0" w:line="261" w:lineRule="auto"/>
        <w:tabs>
          <w:tab w:leader="none" w:pos="1944"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Invalid Transfers</w:t>
      </w:r>
      <w:r>
        <w:rPr>
          <w:rFonts w:ascii="Arial" w:cs="Arial" w:eastAsia="Arial" w:hAnsi="Arial"/>
          <w:sz w:val="18"/>
          <w:szCs w:val="18"/>
          <w:color w:val="auto"/>
        </w:rPr>
        <w:t>. No purported sale, assignment, mortgage, hypothecation, transfer, pledge, encumbrance, gift, transfer in trust</w:t>
      </w:r>
      <w:r>
        <w:rPr>
          <w:rFonts w:ascii="Arial" w:cs="Arial" w:eastAsia="Arial" w:hAnsi="Arial"/>
          <w:sz w:val="18"/>
          <w:szCs w:val="18"/>
          <w:b w:val="1"/>
          <w:bCs w:val="1"/>
          <w:color w:val="auto"/>
        </w:rPr>
        <w:t xml:space="preserve"> </w:t>
      </w:r>
      <w:r>
        <w:rPr>
          <w:rFonts w:ascii="Arial" w:cs="Arial" w:eastAsia="Arial" w:hAnsi="Arial"/>
          <w:sz w:val="18"/>
          <w:szCs w:val="18"/>
          <w:color w:val="auto"/>
        </w:rPr>
        <w:t>(voting or other) or other disposition of, or creation of a security interest in or lien on, any of the Restricted Stock Units by any holder thereof in violation of the provisions of this Agreement or the Certificate of Incorporation or the By-Laws of the Company shall be valid. The foregoing restrictions are in addition to and not in lieu of any other remedies, legal or equitable, available to enforce said provisions.</w:t>
      </w:r>
    </w:p>
    <w:p>
      <w:pPr>
        <w:spacing w:after="0" w:line="71" w:lineRule="exact"/>
        <w:rPr>
          <w:rFonts w:ascii="Arial" w:cs="Arial" w:eastAsia="Arial" w:hAnsi="Arial"/>
          <w:sz w:val="18"/>
          <w:szCs w:val="18"/>
          <w:color w:val="auto"/>
        </w:rPr>
      </w:pPr>
    </w:p>
    <w:p>
      <w:pPr>
        <w:ind w:right="40" w:firstLine="1304"/>
        <w:spacing w:after="0" w:line="294" w:lineRule="auto"/>
        <w:tabs>
          <w:tab w:leader="none" w:pos="1944" w:val="left"/>
        </w:tabs>
        <w:numPr>
          <w:ilvl w:val="0"/>
          <w:numId w:val="99"/>
        </w:numPr>
        <w:rPr>
          <w:rFonts w:ascii="Arial" w:cs="Arial" w:eastAsia="Arial" w:hAnsi="Arial"/>
          <w:sz w:val="16"/>
          <w:szCs w:val="16"/>
          <w:color w:val="auto"/>
        </w:rPr>
      </w:pPr>
      <w:r>
        <w:rPr>
          <w:rFonts w:ascii="Arial" w:cs="Arial" w:eastAsia="Arial" w:hAnsi="Arial"/>
          <w:sz w:val="16"/>
          <w:szCs w:val="16"/>
          <w:b w:val="1"/>
          <w:bCs w:val="1"/>
          <w:color w:val="auto"/>
        </w:rPr>
        <w:t>Taxes</w:t>
      </w:r>
      <w:r>
        <w:rPr>
          <w:rFonts w:ascii="Arial" w:cs="Arial" w:eastAsia="Arial" w:hAnsi="Arial"/>
          <w:sz w:val="16"/>
          <w:szCs w:val="16"/>
          <w:color w:val="auto"/>
        </w:rPr>
        <w:t>. At the time the Recipient recognizes taxable income in respect of the Restricted Stock Units, an amount equal to the</w:t>
      </w:r>
      <w:r>
        <w:rPr>
          <w:rFonts w:ascii="Arial" w:cs="Arial" w:eastAsia="Arial" w:hAnsi="Arial"/>
          <w:sz w:val="16"/>
          <w:szCs w:val="16"/>
          <w:b w:val="1"/>
          <w:bCs w:val="1"/>
          <w:color w:val="auto"/>
        </w:rPr>
        <w:t xml:space="preserve"> </w:t>
      </w:r>
      <w:r>
        <w:rPr>
          <w:rFonts w:ascii="Arial" w:cs="Arial" w:eastAsia="Arial" w:hAnsi="Arial"/>
          <w:sz w:val="16"/>
          <w:szCs w:val="16"/>
          <w:color w:val="auto"/>
        </w:rPr>
        <w:t>federal, state and/or local taxes the Company determines it is required to withhold under applicable tax laws with respect to the Restricted Stock Units shall be due from the Recipient to the Company and shall (except as may otherwise be determined by the Board of Directors or the Committee from time to time (including following the date hereof)) be satisfied by surrendering to the Company a portion of the shares of Company Stock otherwise deliverable with respect to the Restricted Stock Units the vesting of which gives rise to the withholding obligation (but only to the extent of the minimum withholding required by law). Shares so surrendered by the Recipient shall be credited against any such withholding obligation at the Fair Market Value of</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9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such shares on the date of such vesting (and the amount equal to the Fair Market Value of such shares shall be remitted by the Company to the appropriate tax authorities). The Recipient understands that he or she (and not the Company) shall be responsible for any tax liability that may arise as a result of the transactions contemplated by this Agreement.</w:t>
      </w:r>
    </w:p>
    <w:p>
      <w:pPr>
        <w:spacing w:after="0" w:line="72" w:lineRule="exact"/>
        <w:rPr>
          <w:sz w:val="20"/>
          <w:szCs w:val="20"/>
          <w:color w:val="auto"/>
        </w:rPr>
      </w:pPr>
    </w:p>
    <w:p>
      <w:pPr>
        <w:ind w:right="80" w:firstLine="1304"/>
        <w:spacing w:after="0" w:line="271" w:lineRule="auto"/>
        <w:tabs>
          <w:tab w:leader="none" w:pos="1944" w:val="left"/>
        </w:tabs>
        <w:numPr>
          <w:ilvl w:val="0"/>
          <w:numId w:val="100"/>
        </w:numPr>
        <w:rPr>
          <w:rFonts w:ascii="Arial" w:cs="Arial" w:eastAsia="Arial" w:hAnsi="Arial"/>
          <w:sz w:val="17"/>
          <w:szCs w:val="17"/>
          <w:color w:val="auto"/>
        </w:rPr>
      </w:pPr>
      <w:r>
        <w:rPr>
          <w:rFonts w:ascii="Arial" w:cs="Arial" w:eastAsia="Arial" w:hAnsi="Arial"/>
          <w:sz w:val="17"/>
          <w:szCs w:val="17"/>
          <w:b w:val="1"/>
          <w:bCs w:val="1"/>
          <w:color w:val="auto"/>
        </w:rPr>
        <w:t>Rights as a Shareholder</w:t>
      </w:r>
      <w:r>
        <w:rPr>
          <w:rFonts w:ascii="Arial" w:cs="Arial" w:eastAsia="Arial" w:hAnsi="Arial"/>
          <w:sz w:val="17"/>
          <w:szCs w:val="17"/>
          <w:color w:val="auto"/>
        </w:rPr>
        <w:t>. The Recipient will not have the rights of a shareholder with respect to shares of Company Stock</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Restricted Stock Units until the vesting of the Restricted Stock Units and the delivery of shares of Company Stock with respect to such vesting. To the extent that the Company declares a cash dividend while all or a portion of the Restricted Stock Units are unvested, the Recipient shall be credited with dividend equivalent rights with respect to each share of Company Stock subject to the unvested portion of the Restricted Stock Units. Such dividend equivalent right will entitle the Recipient to payment of such dividend only upon vesting of the corresponding portion of the Restricted Stock Unit; and such right will be forfeited to the extent the corresponding portion of the Restricted Stock Unit is forfeited. The Company may, in its sole discretion, determine to deliver any documents related to participation in the Plan or deliverable to the Recipient in the Recipient’s capacity as a shareholder of the Company by electronic means. The Recipient hereby consents to receive any and all such documents by electronic delivery to the extent the Company utilizes such delivery method from time to time.</w:t>
      </w:r>
    </w:p>
    <w:p>
      <w:pPr>
        <w:spacing w:after="0" w:line="65" w:lineRule="exact"/>
        <w:rPr>
          <w:rFonts w:ascii="Arial" w:cs="Arial" w:eastAsia="Arial" w:hAnsi="Arial"/>
          <w:sz w:val="17"/>
          <w:szCs w:val="17"/>
          <w:color w:val="auto"/>
        </w:rPr>
      </w:pPr>
    </w:p>
    <w:p>
      <w:pPr>
        <w:jc w:val="both"/>
        <w:ind w:right="140" w:firstLine="1304"/>
        <w:spacing w:after="0" w:line="261" w:lineRule="auto"/>
        <w:tabs>
          <w:tab w:leader="none" w:pos="1944"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Compliance with Law and Regulations</w:t>
      </w:r>
      <w:r>
        <w:rPr>
          <w:rFonts w:ascii="Arial" w:cs="Arial" w:eastAsia="Arial" w:hAnsi="Arial"/>
          <w:sz w:val="18"/>
          <w:szCs w:val="18"/>
          <w:color w:val="auto"/>
        </w:rPr>
        <w:t>. This Agreement, the award hereunder and any obligation of the Company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subject to all applicable federal, state and local laws, rules and regulations and to such approvals by any government or regulatory agency as may be required. Except to the extent preempted by any federal law, this Agreement shall be construed and administered in accordance with the laws of the State of New York without reference to its principles of conflicts of law.</w:t>
      </w:r>
    </w:p>
    <w:p>
      <w:pPr>
        <w:spacing w:after="0" w:line="71" w:lineRule="exact"/>
        <w:rPr>
          <w:rFonts w:ascii="Arial" w:cs="Arial" w:eastAsia="Arial" w:hAnsi="Arial"/>
          <w:sz w:val="18"/>
          <w:szCs w:val="18"/>
          <w:color w:val="auto"/>
        </w:rPr>
      </w:pPr>
    </w:p>
    <w:p>
      <w:pPr>
        <w:jc w:val="both"/>
        <w:ind w:firstLine="1304"/>
        <w:spacing w:after="0" w:line="314" w:lineRule="auto"/>
        <w:tabs>
          <w:tab w:leader="none" w:pos="1944" w:val="left"/>
        </w:tabs>
        <w:numPr>
          <w:ilvl w:val="0"/>
          <w:numId w:val="100"/>
        </w:numPr>
        <w:rPr>
          <w:rFonts w:ascii="Arial" w:cs="Arial" w:eastAsia="Arial" w:hAnsi="Arial"/>
          <w:sz w:val="16"/>
          <w:szCs w:val="16"/>
          <w:color w:val="auto"/>
        </w:rPr>
      </w:pPr>
      <w:r>
        <w:rPr>
          <w:rFonts w:ascii="Arial" w:cs="Arial" w:eastAsia="Arial" w:hAnsi="Arial"/>
          <w:sz w:val="16"/>
          <w:szCs w:val="16"/>
          <w:b w:val="1"/>
          <w:bCs w:val="1"/>
          <w:color w:val="auto"/>
        </w:rPr>
        <w:t>Recipient Bound by Plan</w:t>
      </w:r>
      <w:r>
        <w:rPr>
          <w:rFonts w:ascii="Arial" w:cs="Arial" w:eastAsia="Arial" w:hAnsi="Arial"/>
          <w:sz w:val="16"/>
          <w:szCs w:val="16"/>
          <w:color w:val="auto"/>
        </w:rPr>
        <w:t>. The Recipient acknowledges receipt of a copy of this Agreement and the Plan and agrees to be</w:t>
      </w:r>
      <w:r>
        <w:rPr>
          <w:rFonts w:ascii="Arial" w:cs="Arial" w:eastAsia="Arial" w:hAnsi="Arial"/>
          <w:sz w:val="16"/>
          <w:szCs w:val="16"/>
          <w:b w:val="1"/>
          <w:bCs w:val="1"/>
          <w:color w:val="auto"/>
        </w:rPr>
        <w:t xml:space="preserve"> </w:t>
      </w:r>
      <w:r>
        <w:rPr>
          <w:rFonts w:ascii="Arial" w:cs="Arial" w:eastAsia="Arial" w:hAnsi="Arial"/>
          <w:sz w:val="16"/>
          <w:szCs w:val="16"/>
          <w:color w:val="auto"/>
        </w:rPr>
        <w:t>bound by all the terms and provisions thereof, which are incorporated herein by reference. To the extent that this Agreement is silent with respect to, or in any way inconsistent with, the terms of the Plan, the provisions of the Plan shall govern and this Agreement shall be deemed to be modified accordingly.</w:t>
      </w:r>
    </w:p>
    <w:p>
      <w:pPr>
        <w:spacing w:after="0" w:line="33" w:lineRule="exact"/>
        <w:rPr>
          <w:rFonts w:ascii="Arial" w:cs="Arial" w:eastAsia="Arial" w:hAnsi="Arial"/>
          <w:sz w:val="16"/>
          <w:szCs w:val="16"/>
          <w:color w:val="auto"/>
        </w:rPr>
      </w:pPr>
    </w:p>
    <w:p>
      <w:pPr>
        <w:jc w:val="both"/>
        <w:ind w:firstLine="1304"/>
        <w:spacing w:after="0" w:line="277" w:lineRule="auto"/>
        <w:tabs>
          <w:tab w:leader="none" w:pos="1939" w:val="left"/>
        </w:tabs>
        <w:numPr>
          <w:ilvl w:val="0"/>
          <w:numId w:val="100"/>
        </w:numPr>
        <w:rPr>
          <w:rFonts w:ascii="Arial" w:cs="Arial" w:eastAsia="Arial" w:hAnsi="Arial"/>
          <w:sz w:val="17"/>
          <w:szCs w:val="17"/>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Any notice or communication given hereunder shall be in writing and shall be deemed given when delivered in person,</w:t>
      </w:r>
      <w:r>
        <w:rPr>
          <w:rFonts w:ascii="Arial" w:cs="Arial" w:eastAsia="Arial" w:hAnsi="Arial"/>
          <w:sz w:val="17"/>
          <w:szCs w:val="17"/>
          <w:b w:val="1"/>
          <w:bCs w:val="1"/>
          <w:color w:val="auto"/>
        </w:rPr>
        <w:t xml:space="preserve"> </w:t>
      </w:r>
      <w:r>
        <w:rPr>
          <w:rFonts w:ascii="Arial" w:cs="Arial" w:eastAsia="Arial" w:hAnsi="Arial"/>
          <w:sz w:val="17"/>
          <w:szCs w:val="17"/>
          <w:color w:val="auto"/>
        </w:rPr>
        <w:t>or by United States mail, at the following addresses: (i) if to the Company, to: Regeneron Pharmaceuticals, Inc., 777 Old Saw Mill River Road, Tarrytown, NY 10591, Attention: Secretary, and (ii) if to the Recipient, to: the Recipient at Regeneron Pharmaceuticals, Inc., 777 Old Saw Mill River Road, Tarrytown, NY 10591, or, if the Recipient has terminated service with the Company, to the last address for the Recipient indicated in the records of the Company, or such other address as the relevant party shall specify at any time hereafter in accordance with this Section 10.</w:t>
      </w:r>
    </w:p>
    <w:p>
      <w:pPr>
        <w:spacing w:after="0" w:line="59" w:lineRule="exact"/>
        <w:rPr>
          <w:rFonts w:ascii="Arial" w:cs="Arial" w:eastAsia="Arial" w:hAnsi="Arial"/>
          <w:sz w:val="17"/>
          <w:szCs w:val="17"/>
          <w:color w:val="auto"/>
        </w:rPr>
      </w:pPr>
    </w:p>
    <w:p>
      <w:pPr>
        <w:ind w:firstLine="1304"/>
        <w:spacing w:after="0" w:line="282" w:lineRule="auto"/>
        <w:tabs>
          <w:tab w:leader="none" w:pos="1933"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No Obligation to Continue Employment</w:t>
      </w:r>
      <w:r>
        <w:rPr>
          <w:rFonts w:ascii="Arial" w:cs="Arial" w:eastAsia="Arial" w:hAnsi="Arial"/>
          <w:sz w:val="18"/>
          <w:szCs w:val="18"/>
          <w:color w:val="auto"/>
        </w:rPr>
        <w:t>. This Agreement does not guarantee that the Employer will employ the Recipient for</w:t>
      </w:r>
      <w:r>
        <w:rPr>
          <w:rFonts w:ascii="Arial" w:cs="Arial" w:eastAsia="Arial" w:hAnsi="Arial"/>
          <w:sz w:val="18"/>
          <w:szCs w:val="18"/>
          <w:b w:val="1"/>
          <w:bCs w:val="1"/>
          <w:color w:val="auto"/>
        </w:rPr>
        <w:t xml:space="preserve"> </w:t>
      </w:r>
      <w:r>
        <w:rPr>
          <w:rFonts w:ascii="Arial" w:cs="Arial" w:eastAsia="Arial" w:hAnsi="Arial"/>
          <w:sz w:val="18"/>
          <w:szCs w:val="18"/>
          <w:color w:val="auto"/>
        </w:rPr>
        <w:t>any specified time period, nor does it modify in any respect the Recipient’s employment or compensation.</w:t>
      </w:r>
    </w:p>
    <w:p>
      <w:pPr>
        <w:spacing w:after="0" w:line="53" w:lineRule="exact"/>
        <w:rPr>
          <w:rFonts w:ascii="Arial" w:cs="Arial" w:eastAsia="Arial" w:hAnsi="Arial"/>
          <w:sz w:val="18"/>
          <w:szCs w:val="18"/>
          <w:color w:val="auto"/>
        </w:rPr>
      </w:pPr>
    </w:p>
    <w:p>
      <w:pPr>
        <w:ind w:right="20" w:firstLine="1304"/>
        <w:spacing w:after="0" w:line="258" w:lineRule="auto"/>
        <w:tabs>
          <w:tab w:leader="none" w:pos="1939"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Recoupment</w:t>
      </w:r>
      <w:r>
        <w:rPr>
          <w:rFonts w:ascii="Arial" w:cs="Arial" w:eastAsia="Arial" w:hAnsi="Arial"/>
          <w:sz w:val="18"/>
          <w:szCs w:val="18"/>
          <w:color w:val="auto"/>
        </w:rPr>
        <w:t>. By entering into this Agreement and accepting the award hereunder, the Recipient agrees to be bound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the Company’s Policy Regarding Recoupment or Reduction of Incentive Compensation for Compliance Violations, as in effect from time to time (or any successor policy thereto) (the “Recoupment Policy”), and further acknowledges and agrees that the Recoupment Policy shall apply to the Restricted Stock Units and the shares of Company Stock deliverable pursuant to the Restricted Stock Units granted hereunder (including after all restrictions on such shares have lapsed).</w:t>
      </w:r>
    </w:p>
    <w:p>
      <w:pPr>
        <w:sectPr>
          <w:pgSz w:w="11900" w:h="16838" w:orient="portrait"/>
          <w:cols w:equalWidth="0" w:num="1">
            <w:col w:w="11240"/>
          </w:cols>
          <w:pgMar w:left="320" w:top="1440"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color w:val="auto"/>
        </w:rPr>
        <w:t>Exhibit 10.3.5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640334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06">
                      <a:extLst>
                        <a:ext uri="{28A0092B-C50C-407E-A947-70E740481C1C}"/>
                      </a:extLst>
                    </a:blip>
                    <a:srcRect/>
                    <a:stretch>
                      <a:fillRect/>
                    </a:stretch>
                  </pic:blipFill>
                  <pic:spPr bwMode="auto">
                    <a:xfrm>
                      <a:off x="0" y="0"/>
                      <a:ext cx="6403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Regeneron Pharmaceuticals, Inc.</w:t>
      </w:r>
    </w:p>
    <w:p>
      <w:pPr>
        <w:sectPr>
          <w:pgSz w:w="11900" w:h="16838" w:orient="portrait"/>
          <w:cols w:equalWidth="0" w:num="1">
            <w:col w:w="11240"/>
          </w:cols>
          <w:pgMar w:left="320" w:top="773" w:right="339" w:bottom="1440" w:gutter="0" w:footer="0" w:header="0"/>
        </w:sectPr>
      </w:pPr>
    </w:p>
    <w:p>
      <w:pPr>
        <w:spacing w:after="0" w:line="12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ID:</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00" w:lineRule="exact"/>
        <w:rPr>
          <w:sz w:val="20"/>
          <w:szCs w:val="20"/>
          <w:color w:val="auto"/>
        </w:rPr>
      </w:pPr>
    </w:p>
    <w:p>
      <w:pPr>
        <w:sectPr>
          <w:pgSz w:w="11900" w:h="16838" w:orient="portrait"/>
          <w:cols w:equalWidth="0" w:num="3">
            <w:col w:w="4740" w:space="60"/>
            <w:col w:w="60" w:space="580"/>
            <w:col w:w="5800"/>
          </w:cols>
          <w:pgMar w:left="320" w:top="773" w:right="339" w:bottom="1440" w:gutter="0" w:footer="0" w:header="0"/>
          <w:type w:val="continuous"/>
        </w:sectPr>
      </w:pPr>
    </w:p>
    <w:p>
      <w:pPr>
        <w:ind w:left="20" w:right="1220"/>
        <w:spacing w:after="0" w:line="470" w:lineRule="auto"/>
        <w:rPr>
          <w:sz w:val="20"/>
          <w:szCs w:val="20"/>
          <w:color w:val="auto"/>
        </w:rPr>
      </w:pPr>
      <w:r>
        <w:rPr>
          <w:rFonts w:ascii="Arial" w:cs="Arial" w:eastAsia="Arial" w:hAnsi="Arial"/>
          <w:sz w:val="16"/>
          <w:szCs w:val="16"/>
          <w:b w:val="1"/>
          <w:bCs w:val="1"/>
          <w:color w:val="auto"/>
        </w:rPr>
        <w:t>Notice of Grant of Stock Options and Option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777 Old Saw Mill River Road</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Tarrytown, New York 10591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433705</wp:posOffset>
            </wp:positionV>
            <wp:extent cx="640334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07">
                      <a:extLst>
                        <a:ext uri="{28A0092B-C50C-407E-A947-70E740481C1C}"/>
                      </a:extLst>
                    </a:blip>
                    <a:srcRect/>
                    <a:stretch>
                      <a:fillRect/>
                    </a:stretch>
                  </pic:blipFill>
                  <pic:spPr bwMode="auto">
                    <a:xfrm>
                      <a:off x="0" y="0"/>
                      <a:ext cx="6403340" cy="8890"/>
                    </a:xfrm>
                    <a:prstGeom prst="rect">
                      <a:avLst/>
                    </a:prstGeom>
                    <a:noFill/>
                  </pic:spPr>
                </pic:pic>
              </a:graphicData>
            </a:graphic>
          </wp:anchor>
        </w:drawing>
      </w:r>
    </w:p>
    <w:p>
      <w:pPr>
        <w:spacing w:after="0" w:line="410" w:lineRule="exact"/>
        <w:rPr>
          <w:sz w:val="20"/>
          <w:szCs w:val="20"/>
          <w:color w:val="auto"/>
        </w:rPr>
      </w:pPr>
    </w:p>
    <w:p>
      <w:pPr>
        <w:sectPr>
          <w:pgSz w:w="11900" w:h="16838" w:orient="portrait"/>
          <w:cols w:equalWidth="0" w:num="2">
            <w:col w:w="3760" w:space="720"/>
            <w:col w:w="6760"/>
          </w:cols>
          <w:pgMar w:left="320" w:top="77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[OPTIONEE NAME]</w:t>
            </w:r>
          </w:p>
        </w:tc>
        <w:tc>
          <w:tcPr>
            <w:tcW w:w="2680" w:type="dxa"/>
            <w:vAlign w:val="bottom"/>
          </w:tcPr>
          <w:p>
            <w:pPr>
              <w:ind w:left="1240"/>
              <w:spacing w:after="0"/>
              <w:rPr>
                <w:sz w:val="20"/>
                <w:szCs w:val="20"/>
                <w:color w:val="auto"/>
              </w:rPr>
            </w:pPr>
            <w:r>
              <w:rPr>
                <w:rFonts w:ascii="Arial" w:cs="Arial" w:eastAsia="Arial" w:hAnsi="Arial"/>
                <w:sz w:val="18"/>
                <w:szCs w:val="18"/>
                <w:b w:val="1"/>
                <w:bCs w:val="1"/>
                <w:color w:val="auto"/>
              </w:rPr>
              <w:t>Option Number:</w:t>
            </w:r>
          </w:p>
        </w:tc>
        <w:tc>
          <w:tcPr>
            <w:tcW w:w="500" w:type="dxa"/>
            <w:vAlign w:val="bottom"/>
          </w:tcPr>
          <w:p>
            <w:pPr>
              <w:jc w:val="right"/>
              <w:ind w:right="172"/>
              <w:spacing w:after="0"/>
              <w:rPr>
                <w:sz w:val="20"/>
                <w:szCs w:val="20"/>
                <w:color w:val="auto"/>
              </w:rPr>
            </w:pPr>
            <w:r>
              <w:rPr>
                <w:rFonts w:ascii="Arial" w:cs="Arial" w:eastAsia="Arial" w:hAnsi="Arial"/>
                <w:sz w:val="22"/>
                <w:szCs w:val="22"/>
                <w:b w:val="1"/>
                <w:bCs w:val="1"/>
                <w:color w:val="auto"/>
              </w:rPr>
              <w:t>[</w:t>
            </w:r>
          </w:p>
        </w:tc>
        <w:tc>
          <w:tcPr>
            <w:tcW w:w="3680" w:type="dxa"/>
            <w:vAlign w:val="bottom"/>
          </w:tcPr>
          <w:p>
            <w:pPr>
              <w:jc w:val="right"/>
              <w:ind w:right="3192"/>
              <w:spacing w:after="0"/>
              <w:rPr>
                <w:sz w:val="20"/>
                <w:szCs w:val="20"/>
                <w:color w:val="auto"/>
              </w:rPr>
            </w:pPr>
            <w:r>
              <w:rPr>
                <w:rFonts w:ascii="Arial" w:cs="Arial" w:eastAsia="Arial" w:hAnsi="Arial"/>
                <w:sz w:val="22"/>
                <w:szCs w:val="22"/>
                <w:b w:val="1"/>
                <w:bCs w:val="1"/>
                <w:color w:val="auto"/>
              </w:rPr>
              <w:t>]</w:t>
            </w:r>
          </w:p>
        </w:tc>
      </w:tr>
      <w:tr>
        <w:trPr>
          <w:trHeight w:val="311"/>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[OPTIONEE ADDRESS]</w:t>
            </w:r>
          </w:p>
        </w:tc>
        <w:tc>
          <w:tcPr>
            <w:tcW w:w="2680" w:type="dxa"/>
            <w:vAlign w:val="bottom"/>
          </w:tcPr>
          <w:p>
            <w:pPr>
              <w:ind w:left="1240"/>
              <w:spacing w:after="0"/>
              <w:rPr>
                <w:sz w:val="20"/>
                <w:szCs w:val="20"/>
                <w:color w:val="auto"/>
              </w:rPr>
            </w:pPr>
            <w:r>
              <w:rPr>
                <w:rFonts w:ascii="Arial" w:cs="Arial" w:eastAsia="Arial" w:hAnsi="Arial"/>
                <w:sz w:val="18"/>
                <w:szCs w:val="18"/>
                <w:b w:val="1"/>
                <w:bCs w:val="1"/>
                <w:color w:val="auto"/>
              </w:rPr>
              <w:t>Plan:</w:t>
            </w:r>
          </w:p>
        </w:tc>
        <w:tc>
          <w:tcPr>
            <w:tcW w:w="500" w:type="dxa"/>
            <w:vAlign w:val="bottom"/>
          </w:tcPr>
          <w:p>
            <w:pPr>
              <w:jc w:val="right"/>
              <w:ind w:right="172"/>
              <w:spacing w:after="0"/>
              <w:rPr>
                <w:sz w:val="20"/>
                <w:szCs w:val="20"/>
                <w:color w:val="auto"/>
              </w:rPr>
            </w:pPr>
            <w:r>
              <w:rPr>
                <w:rFonts w:ascii="Arial" w:cs="Arial" w:eastAsia="Arial" w:hAnsi="Arial"/>
                <w:sz w:val="22"/>
                <w:szCs w:val="22"/>
                <w:b w:val="1"/>
                <w:bCs w:val="1"/>
                <w:color w:val="auto"/>
              </w:rPr>
              <w:t>[</w:t>
            </w:r>
          </w:p>
        </w:tc>
        <w:tc>
          <w:tcPr>
            <w:tcW w:w="3680" w:type="dxa"/>
            <w:vAlign w:val="bottom"/>
          </w:tcPr>
          <w:p>
            <w:pPr>
              <w:jc w:val="right"/>
              <w:ind w:right="3192"/>
              <w:spacing w:after="0"/>
              <w:rPr>
                <w:sz w:val="20"/>
                <w:szCs w:val="20"/>
                <w:color w:val="auto"/>
              </w:rPr>
            </w:pPr>
            <w:r>
              <w:rPr>
                <w:rFonts w:ascii="Arial" w:cs="Arial" w:eastAsia="Arial" w:hAnsi="Arial"/>
                <w:sz w:val="22"/>
                <w:szCs w:val="22"/>
                <w:b w:val="1"/>
                <w:bCs w:val="1"/>
                <w:color w:val="auto"/>
              </w:rPr>
              <w:t>]</w:t>
            </w:r>
          </w:p>
        </w:tc>
      </w:tr>
      <w:tr>
        <w:trPr>
          <w:trHeight w:val="311"/>
        </w:trPr>
        <w:tc>
          <w:tcPr>
            <w:tcW w:w="3240" w:type="dxa"/>
            <w:vAlign w:val="bottom"/>
          </w:tcPr>
          <w:p>
            <w:pPr>
              <w:spacing w:after="0"/>
              <w:rPr>
                <w:sz w:val="24"/>
                <w:szCs w:val="24"/>
                <w:color w:val="auto"/>
              </w:rPr>
            </w:pPr>
          </w:p>
        </w:tc>
        <w:tc>
          <w:tcPr>
            <w:tcW w:w="2680" w:type="dxa"/>
            <w:vAlign w:val="bottom"/>
          </w:tcPr>
          <w:p>
            <w:pPr>
              <w:ind w:left="1240"/>
              <w:spacing w:after="0"/>
              <w:rPr>
                <w:sz w:val="20"/>
                <w:szCs w:val="20"/>
                <w:color w:val="auto"/>
              </w:rPr>
            </w:pPr>
            <w:r>
              <w:rPr>
                <w:rFonts w:ascii="Arial" w:cs="Arial" w:eastAsia="Arial" w:hAnsi="Arial"/>
                <w:sz w:val="18"/>
                <w:szCs w:val="18"/>
                <w:b w:val="1"/>
                <w:bCs w:val="1"/>
                <w:color w:val="auto"/>
              </w:rPr>
              <w:t>ID:</w:t>
            </w:r>
          </w:p>
        </w:tc>
        <w:tc>
          <w:tcPr>
            <w:tcW w:w="500" w:type="dxa"/>
            <w:vAlign w:val="bottom"/>
          </w:tcPr>
          <w:p>
            <w:pPr>
              <w:jc w:val="right"/>
              <w:ind w:right="172"/>
              <w:spacing w:after="0"/>
              <w:rPr>
                <w:sz w:val="20"/>
                <w:szCs w:val="20"/>
                <w:color w:val="auto"/>
              </w:rPr>
            </w:pPr>
            <w:r>
              <w:rPr>
                <w:rFonts w:ascii="Arial" w:cs="Arial" w:eastAsia="Arial" w:hAnsi="Arial"/>
                <w:sz w:val="22"/>
                <w:szCs w:val="22"/>
                <w:b w:val="1"/>
                <w:bCs w:val="1"/>
                <w:color w:val="auto"/>
              </w:rPr>
              <w:t>[</w:t>
            </w:r>
          </w:p>
        </w:tc>
        <w:tc>
          <w:tcPr>
            <w:tcW w:w="3680" w:type="dxa"/>
            <w:vAlign w:val="bottom"/>
          </w:tcPr>
          <w:p>
            <w:pPr>
              <w:jc w:val="right"/>
              <w:ind w:right="3192"/>
              <w:spacing w:after="0"/>
              <w:rPr>
                <w:sz w:val="20"/>
                <w:szCs w:val="20"/>
                <w:color w:val="auto"/>
              </w:rPr>
            </w:pPr>
            <w:r>
              <w:rPr>
                <w:rFonts w:ascii="Arial" w:cs="Arial" w:eastAsia="Arial" w:hAnsi="Arial"/>
                <w:sz w:val="22"/>
                <w:szCs w:val="22"/>
                <w:b w:val="1"/>
                <w:bCs w:val="1"/>
                <w:color w:val="auto"/>
              </w:rPr>
              <w:t>]</w:t>
            </w:r>
          </w:p>
        </w:tc>
      </w:tr>
      <w:tr>
        <w:trPr>
          <w:trHeight w:val="327"/>
        </w:trPr>
        <w:tc>
          <w:tcPr>
            <w:tcW w:w="3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72" w:lineRule="exact"/>
        <w:rPr>
          <w:sz w:val="20"/>
          <w:szCs w:val="20"/>
          <w:color w:val="auto"/>
        </w:rPr>
      </w:pPr>
    </w:p>
    <w:p>
      <w:pPr>
        <w:ind w:right="900"/>
        <w:spacing w:after="0" w:line="324" w:lineRule="auto"/>
        <w:rPr>
          <w:sz w:val="20"/>
          <w:szCs w:val="20"/>
          <w:color w:val="auto"/>
        </w:rPr>
      </w:pPr>
      <w:r>
        <w:rPr>
          <w:rFonts w:ascii="Arial" w:cs="Arial" w:eastAsia="Arial" w:hAnsi="Arial"/>
          <w:sz w:val="18"/>
          <w:szCs w:val="18"/>
          <w:color w:val="auto"/>
        </w:rPr>
        <w:t>Effective &lt;date&gt; (the “Grant Date”) you have been granted a Non-Qualified Option to buy [ ] shares of Regeneron Pharmaceuticals, Inc. (the “Company”) stock at $[ ] per share.</w:t>
      </w:r>
    </w:p>
    <w:p>
      <w:pPr>
        <w:spacing w:after="0" w:line="35" w:lineRule="exact"/>
        <w:rPr>
          <w:sz w:val="20"/>
          <w:szCs w:val="20"/>
          <w:color w:val="auto"/>
        </w:rPr>
      </w:pPr>
    </w:p>
    <w:p>
      <w:pPr>
        <w:spacing w:after="0"/>
        <w:tabs>
          <w:tab w:leader="none" w:pos="3660" w:val="left"/>
        </w:tabs>
        <w:rPr>
          <w:sz w:val="20"/>
          <w:szCs w:val="20"/>
          <w:color w:val="auto"/>
        </w:rPr>
      </w:pPr>
      <w:r>
        <w:rPr>
          <w:rFonts w:ascii="Arial" w:cs="Arial" w:eastAsia="Arial" w:hAnsi="Arial"/>
          <w:sz w:val="17"/>
          <w:szCs w:val="17"/>
          <w:color w:val="auto"/>
        </w:rPr>
        <w:t>The total option price of the shares granted is $[</w:t>
        <w:tab/>
        <w:t>].</w:t>
      </w:r>
    </w:p>
    <w:p>
      <w:pPr>
        <w:spacing w:after="0" w:line="11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Full Vest Dates: This option will vest and become exercisable (i) on the date of the Company’s [ ]* Annual Meeting of Shareholders with respect to a pro-rata portion of the total number of shares underlying the option equal to the portion of one year that has elapsed from the date of grant to the date of the Company’s [ ]* Annual Meeting of Shareholders, and (ii) on [ / / ]** with respect to the remainder of the shares underlying the option. Assuming the [ ]* Annual Meeting of Shareholders occurs on [ / / ] as currently planned, this option will vest and become exercisable with respect to [ ] underlying shares on [ / / ] and with respect to [ ] underlying shares on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640334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08">
                      <a:extLst>
                        <a:ext uri="{28A0092B-C50C-407E-A947-70E740481C1C}"/>
                      </a:extLst>
                    </a:blip>
                    <a:srcRect/>
                    <a:stretch>
                      <a:fillRect/>
                    </a:stretch>
                  </pic:blipFill>
                  <pic:spPr bwMode="auto">
                    <a:xfrm>
                      <a:off x="0" y="0"/>
                      <a:ext cx="6403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right="1420"/>
        <w:spacing w:after="0" w:line="263" w:lineRule="auto"/>
        <w:rPr>
          <w:sz w:val="20"/>
          <w:szCs w:val="20"/>
          <w:color w:val="auto"/>
        </w:rPr>
      </w:pPr>
      <w:r>
        <w:rPr>
          <w:rFonts w:ascii="Arial" w:cs="Arial" w:eastAsia="Arial" w:hAnsi="Arial"/>
          <w:sz w:val="18"/>
          <w:szCs w:val="18"/>
          <w:color w:val="auto"/>
        </w:rPr>
        <w:t>You and the Company agree that these options are granted under and governed by the terms and conditions of the Second Amended and Restated Regeneron Pharmaceuticals, Inc. 2014 Long Term Incentive Plan, as amended from time to time, and the enclosed Option Agreement, both of which are attached and made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640334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09">
                      <a:extLst>
                        <a:ext uri="{28A0092B-C50C-407E-A947-70E740481C1C}"/>
                      </a:extLst>
                    </a:blip>
                    <a:srcRect/>
                    <a:stretch>
                      <a:fillRect/>
                    </a:stretch>
                  </pic:blipFill>
                  <pic:spPr bwMode="auto">
                    <a:xfrm>
                      <a:off x="0" y="0"/>
                      <a:ext cx="640334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w:t>
      </w:r>
    </w:p>
    <w:p>
      <w:pPr>
        <w:spacing w:after="0" w:line="321" w:lineRule="exact"/>
        <w:rPr>
          <w:sz w:val="20"/>
          <w:szCs w:val="20"/>
          <w:color w:val="auto"/>
        </w:rPr>
      </w:pPr>
    </w:p>
    <w:p>
      <w:pPr>
        <w:ind w:left="20" w:right="5780" w:firstLine="6"/>
        <w:spacing w:after="0" w:line="731" w:lineRule="auto"/>
        <w:tabs>
          <w:tab w:leader="none" w:pos="51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next Annual Meeting of Shareholders following the Grant Date. ** First anniversary of the Grant Date.</w:t>
      </w:r>
    </w:p>
    <w:p>
      <w:pPr>
        <w:sectPr>
          <w:pgSz w:w="11900" w:h="16838" w:orient="portrait"/>
          <w:cols w:equalWidth="0" w:num="1">
            <w:col w:w="11240"/>
          </w:cols>
          <w:pgMar w:left="320" w:top="773" w:right="339" w:bottom="1440" w:gutter="0" w:footer="0" w:header="0"/>
          <w:type w:val="continuous"/>
        </w:sectPr>
      </w:pPr>
    </w:p>
    <w:bookmarkStart w:id="168" w:name="page169"/>
    <w:bookmarkEnd w:id="168"/>
    <w:p>
      <w:pPr>
        <w:jc w:val="center"/>
        <w:spacing w:after="0"/>
        <w:rPr>
          <w:sz w:val="20"/>
          <w:szCs w:val="20"/>
          <w:color w:val="auto"/>
        </w:rPr>
      </w:pPr>
      <w:r>
        <w:rPr>
          <w:rFonts w:ascii="Arial" w:cs="Arial" w:eastAsia="Arial" w:hAnsi="Arial"/>
          <w:sz w:val="25"/>
          <w:szCs w:val="25"/>
          <w:b w:val="1"/>
          <w:bCs w:val="1"/>
          <w:color w:val="800000"/>
        </w:rPr>
        <w:t>REGENERON PHARMACEUTICALS, INC.</w:t>
      </w:r>
    </w:p>
    <w:p>
      <w:pPr>
        <w:spacing w:after="0" w:line="127"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Non-Qualified Stock Option</w:t>
      </w:r>
    </w:p>
    <w:p>
      <w:pPr>
        <w:spacing w:after="0" w:line="112"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OPTION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SECOND AMENDED AND RESTATED REGENERON PHARMACEUTICALS,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2014 LONG-TERM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(Non-Employee Director Grant)</w:t>
      </w:r>
    </w:p>
    <w:p>
      <w:pPr>
        <w:spacing w:after="0" w:line="222"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THIS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made as of the date of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by and between Regeneron Pharmaceuticals, Inc., a New York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and the individual named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Grantee</w:t>
      </w:r>
      <w:r>
        <w:rPr>
          <w:rFonts w:ascii="Arial" w:cs="Arial" w:eastAsia="Arial" w:hAnsi="Arial"/>
          <w:sz w:val="17"/>
          <w:szCs w:val="17"/>
          <w:color w:val="auto"/>
        </w:rPr>
        <w:t>”). Any capitalized term used but not defined in this Agreement shall have the meaning given to such term in the Plan (as defined below).</w:t>
      </w:r>
    </w:p>
    <w:p>
      <w:pPr>
        <w:spacing w:after="0" w:line="5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WHEREAS, the Grantee is a non-employee member of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and the Company desires to afford the Grantee the opportunity to acquire or enlarge the Grantee’s stock ownership in the Company so that the Grantee may have a direct proprietary interest in the Company’s success; and</w:t>
      </w:r>
    </w:p>
    <w:p>
      <w:pPr>
        <w:spacing w:after="0" w:line="7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WHEREAS, the Committee administering the Second Amended and Restated Regeneron Pharmaceuticals, Inc. 2014 Long-Term Incentive Plan (as amended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xml:space="preserve">”) has granted (as of the effective date of grant specified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to the Grantee a Stock Option to purchase the number of shares of the Company’s common stock, $0.001 par value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as set forth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w:t>
      </w:r>
    </w:p>
    <w:p>
      <w:pPr>
        <w:spacing w:after="0" w:line="7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NOW, THEREFORE, in consideration of the covenants and agreements herein contained, the parties agree as follows:</w:t>
      </w:r>
    </w:p>
    <w:p>
      <w:pPr>
        <w:spacing w:after="0" w:line="113" w:lineRule="exact"/>
        <w:rPr>
          <w:sz w:val="20"/>
          <w:szCs w:val="20"/>
          <w:color w:val="auto"/>
        </w:rPr>
      </w:pPr>
    </w:p>
    <w:p>
      <w:pPr>
        <w:jc w:val="both"/>
        <w:ind w:firstLine="656"/>
        <w:spacing w:after="0" w:line="303" w:lineRule="auto"/>
        <w:tabs>
          <w:tab w:leader="none" w:pos="981" w:val="left"/>
        </w:tabs>
        <w:numPr>
          <w:ilvl w:val="0"/>
          <w:numId w:val="10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Grant of Award. </w:t>
      </w:r>
      <w:r>
        <w:rPr>
          <w:rFonts w:ascii="Arial" w:cs="Arial" w:eastAsia="Arial" w:hAnsi="Arial"/>
          <w:sz w:val="16"/>
          <w:szCs w:val="16"/>
          <w:color w:val="auto"/>
        </w:rPr>
        <w:t>Pursuant to Section 12 of the Plan, the Company grants to the Grantee, subject to the terms and conditions of the Plan and</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further to the terms and conditions set forth herein, the option (the “</w:t>
      </w:r>
      <w:r>
        <w:rPr>
          <w:rFonts w:ascii="Arial" w:cs="Arial" w:eastAsia="Arial" w:hAnsi="Arial"/>
          <w:sz w:val="16"/>
          <w:szCs w:val="16"/>
          <w:u w:val="single" w:color="auto"/>
          <w:color w:val="auto"/>
        </w:rPr>
        <w:t>Option</w:t>
      </w:r>
      <w:r>
        <w:rPr>
          <w:rFonts w:ascii="Arial" w:cs="Arial" w:eastAsia="Arial" w:hAnsi="Arial"/>
          <w:sz w:val="16"/>
          <w:szCs w:val="16"/>
          <w:color w:val="auto"/>
        </w:rPr>
        <w:t xml:space="preserve">”) to purchase from the Company all or any part of an aggregate of shares of Common Stock at the purchase price per share as shown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No part of the Option granted hereby is intended to qualify as an Incentive Stock Option under Section 422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w:t>
      </w:r>
    </w:p>
    <w:p>
      <w:pPr>
        <w:spacing w:after="0" w:line="42" w:lineRule="exact"/>
        <w:rPr>
          <w:rFonts w:ascii="Arial" w:cs="Arial" w:eastAsia="Arial" w:hAnsi="Arial"/>
          <w:sz w:val="16"/>
          <w:szCs w:val="16"/>
          <w:b w:val="1"/>
          <w:bCs w:val="1"/>
          <w:color w:val="auto"/>
        </w:rPr>
      </w:pPr>
    </w:p>
    <w:p>
      <w:pPr>
        <w:jc w:val="both"/>
        <w:ind w:firstLine="656"/>
        <w:spacing w:after="0" w:line="270" w:lineRule="auto"/>
        <w:tabs>
          <w:tab w:leader="none" w:pos="960" w:val="left"/>
        </w:tabs>
        <w:numPr>
          <w:ilvl w:val="0"/>
          <w:numId w:val="10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Vesting; Exercise. </w:t>
      </w:r>
      <w:r>
        <w:rPr>
          <w:rFonts w:ascii="Arial" w:cs="Arial" w:eastAsia="Arial" w:hAnsi="Arial"/>
          <w:sz w:val="17"/>
          <w:szCs w:val="17"/>
          <w:color w:val="auto"/>
        </w:rPr>
        <w:t>(a) The Option becomes exercisable in installments as provided on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To the extent that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Option has become exercisable with respect to the number of shares of Common Stock as provided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and subject to the terms and conditions of the Plan, including without limitation, Section 7(c)(2) of the Plan, the Option may thereafter be exercised by the Grantee, in whole or in part, at any time or from time to time prior to the expiration of the Option in accordance with the requirements set forth in Section 7(c)(3) of the Plan, including, without limitation, the filing of such written form of exercise notice as may be provided by the Company, and in accordance with applicable tax and other laws. In addition to the methods of payment described in Section 7(c)(3) of the Plan, the Grantee shall be eligible to pay for shares of Common Stock purchased upon the exercise of the Option by directing the Company to withhold shares of Common Stock that would otherwise be issued pursuant to the Option exercise having an aggregate Fair Market Value (as measured on the date of exercise) equal to the aggregate Option exercise price due upon such exercise. The Grantee acknowledges that it is the Grantee’s responsibility to satisfy any federal, state and local tax requirements related to the exercise of the Option.</w:t>
      </w:r>
    </w:p>
    <w:p>
      <w:pPr>
        <w:spacing w:after="0" w:line="73" w:lineRule="exact"/>
        <w:rPr>
          <w:sz w:val="20"/>
          <w:szCs w:val="20"/>
          <w:color w:val="auto"/>
        </w:rPr>
      </w:pPr>
    </w:p>
    <w:p>
      <w:pPr>
        <w:jc w:val="both"/>
        <w:ind w:firstLine="656"/>
        <w:spacing w:after="0" w:line="287" w:lineRule="auto"/>
        <w:tabs>
          <w:tab w:leader="none" w:pos="129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indicates each date upon which the Grantee shall become entitled to exercise the Option with respect to the number of shares of Common Stock granted as indicated provided that (except as set forth below with respect to Retirement or the Grantee’s death) the Grantee has not incurred a termination of service as a member of the Board prior to such date. There shall be no proportionate or partial vesting in the periods between the Full Vest Dates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and all vesting shall occur only on such Full Vest Dates. Except as otherwise provided below or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or as may be otherwise determined by the Committee in accordance with Section 12(e) of the Plan, no vesting shall occur after such date as the Grantee ceases to be on the Board and the entire unvested portion of the Option shall be forfeited at such time. Notwithstanding the preceding sentence, upon the Grantee’s Retirement from service on the Board, the Option shall continue to vest in installments as provided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as if the Grantee had remained in service on the Board. For purposes of this Agreement, “</w:t>
      </w:r>
      <w:r>
        <w:rPr>
          <w:rFonts w:ascii="Arial" w:cs="Arial" w:eastAsia="Arial" w:hAnsi="Arial"/>
          <w:sz w:val="16"/>
          <w:szCs w:val="16"/>
          <w:u w:val="single" w:color="auto"/>
          <w:color w:val="auto"/>
        </w:rPr>
        <w:t>Retirement</w:t>
      </w:r>
      <w:r>
        <w:rPr>
          <w:rFonts w:ascii="Arial" w:cs="Arial" w:eastAsia="Arial" w:hAnsi="Arial"/>
          <w:sz w:val="16"/>
          <w:szCs w:val="16"/>
          <w:color w:val="auto"/>
        </w:rPr>
        <w:t>” shall mean a voluntary termination of service on the Board (including by not standing for re-election) by the Grantee at a time when the Grantee meets both of the following criteria: the Grantee has served as a member of the Board for a minimum of three (3) years, and the combination of the Grantee’s age and total years of service as a member of the Board equals a minimum of 80.</w:t>
      </w:r>
    </w:p>
    <w:p>
      <w:pPr>
        <w:sectPr>
          <w:pgSz w:w="11900" w:h="16838" w:orient="portrait"/>
          <w:cols w:equalWidth="0" w:num="1">
            <w:col w:w="11240"/>
          </w:cols>
          <w:pgMar w:left="320" w:top="765" w:right="339" w:bottom="1440" w:gutter="0" w:footer="0" w:header="0"/>
        </w:sectPr>
      </w:pPr>
    </w:p>
    <w:bookmarkStart w:id="169" w:name="page170"/>
    <w:bookmarkEnd w:id="169"/>
    <w:p>
      <w:pPr>
        <w:jc w:val="both"/>
        <w:ind w:left="72" w:firstLine="653"/>
        <w:spacing w:after="0" w:line="286" w:lineRule="auto"/>
        <w:tabs>
          <w:tab w:leader="none" w:pos="964" w:val="left"/>
        </w:tabs>
        <w:numPr>
          <w:ilvl w:val="2"/>
          <w:numId w:val="104"/>
        </w:numPr>
        <w:rPr>
          <w:rFonts w:ascii="Arial" w:cs="Arial" w:eastAsia="Arial" w:hAnsi="Arial"/>
          <w:sz w:val="16"/>
          <w:szCs w:val="16"/>
          <w:color w:val="auto"/>
        </w:rPr>
      </w:pPr>
      <w:r>
        <w:rPr>
          <w:rFonts w:ascii="Arial" w:cs="Arial" w:eastAsia="Arial" w:hAnsi="Arial"/>
          <w:sz w:val="16"/>
          <w:szCs w:val="16"/>
          <w:color w:val="auto"/>
        </w:rPr>
        <w:t xml:space="preserve">Notwithstanding anything herein or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to the contrary, the Option shall be fully vested on the date of the Grantee’s death if the Grantee’s service on the Board has not terminated prior to the Grantee’s death. In addition, and also notwithstanding anything herein (except the following sentence) or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to the contrary, the Option shall be fully vested on the date of a Change in Control if the Grantee’s service on the Board has not terminated prior to such date. If the application of the provision in the foregoing sentence, similar provisions in other stock option or restricted stock grants, and other payments and benefits payable to the Grantee in connection with a Change in Control (collectively, the “</w:t>
      </w:r>
      <w:r>
        <w:rPr>
          <w:rFonts w:ascii="Arial" w:cs="Arial" w:eastAsia="Arial" w:hAnsi="Arial"/>
          <w:sz w:val="16"/>
          <w:szCs w:val="16"/>
          <w:u w:val="single" w:color="auto"/>
          <w:color w:val="auto"/>
        </w:rPr>
        <w:t>Company Payments</w:t>
      </w:r>
      <w:r>
        <w:rPr>
          <w:rFonts w:ascii="Arial" w:cs="Arial" w:eastAsia="Arial" w:hAnsi="Arial"/>
          <w:sz w:val="16"/>
          <w:szCs w:val="16"/>
          <w:color w:val="auto"/>
        </w:rPr>
        <w:t>”) would result in the Grantee being subject to the excise tax payable under Section 4999 of the Code (the “</w:t>
      </w:r>
      <w:r>
        <w:rPr>
          <w:rFonts w:ascii="Arial" w:cs="Arial" w:eastAsia="Arial" w:hAnsi="Arial"/>
          <w:sz w:val="16"/>
          <w:szCs w:val="16"/>
          <w:u w:val="single" w:color="auto"/>
          <w:color w:val="auto"/>
        </w:rPr>
        <w:t>Excise</w:t>
      </w:r>
      <w:r>
        <w:rPr>
          <w:rFonts w:ascii="Arial" w:cs="Arial" w:eastAsia="Arial" w:hAnsi="Arial"/>
          <w:sz w:val="16"/>
          <w:szCs w:val="16"/>
          <w:color w:val="auto"/>
        </w:rPr>
        <w:t xml:space="preserve"> </w:t>
      </w:r>
      <w:r>
        <w:rPr>
          <w:rFonts w:ascii="Arial" w:cs="Arial" w:eastAsia="Arial" w:hAnsi="Arial"/>
          <w:sz w:val="16"/>
          <w:szCs w:val="16"/>
          <w:u w:val="single" w:color="auto"/>
          <w:color w:val="auto"/>
        </w:rPr>
        <w:t>Tax</w:t>
      </w:r>
      <w:r>
        <w:rPr>
          <w:rFonts w:ascii="Arial" w:cs="Arial" w:eastAsia="Arial" w:hAnsi="Arial"/>
          <w:sz w:val="16"/>
          <w:szCs w:val="16"/>
          <w:color w:val="auto"/>
        </w:rPr>
        <w:t xml:space="preserve">”), the amount of any Company Payments shall be automatically reduced to an amount one dollar less than an amount that would subject the Grantee to the Excise Tax;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reduction shall occur only if the reduced Company Payments received by the Grantee (after taking into account further reductions for applicable federal, state and local income, social security and other taxes) would be greater than the unreduced Company Payments to be received by the Grantee minus (i) the Excise Tax payable with respect to such Company Payments and (ii) all applicable federal, state and local income, social security and other taxes on such Company Payments. If the Company Payments are to be reduced in accordance with the foregoing, the Company Payments shall be reduced as mutually agreed between the Company and the Grantee or, in the event the parties cannot agree, in the following order: (1) acceleration of vesting of any option where the exercise price exceeds the fair market value of the underlying shares at the time the acceleration would otherwise occur; (2) any lump-sum severance based on a multiple of base salary or bonus; (3) any other cash amounts payable to the Grantee; (4) any benefits valued as parachute payments; and (5) acceleration of vesting of any equity not covered by (1) above.</w:t>
      </w:r>
    </w:p>
    <w:p>
      <w:pPr>
        <w:spacing w:after="0" w:line="190" w:lineRule="exact"/>
        <w:rPr>
          <w:rFonts w:ascii="Arial" w:cs="Arial" w:eastAsia="Arial" w:hAnsi="Arial"/>
          <w:sz w:val="16"/>
          <w:szCs w:val="16"/>
          <w:color w:val="auto"/>
        </w:rPr>
      </w:pPr>
    </w:p>
    <w:p>
      <w:pPr>
        <w:jc w:val="both"/>
        <w:ind w:left="-8" w:firstLine="656"/>
        <w:spacing w:after="0" w:line="289" w:lineRule="auto"/>
        <w:tabs>
          <w:tab w:leader="none" w:pos="982" w:val="left"/>
        </w:tabs>
        <w:numPr>
          <w:ilvl w:val="1"/>
          <w:numId w:val="10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Option Term. </w:t>
      </w:r>
      <w:r>
        <w:rPr>
          <w:rFonts w:ascii="Arial" w:cs="Arial" w:eastAsia="Arial" w:hAnsi="Arial"/>
          <w:sz w:val="16"/>
          <w:szCs w:val="16"/>
          <w:color w:val="auto"/>
        </w:rPr>
        <w:t>Except as otherwise provided in the next sentence or in the Plan, the Option shall expire on the tenth anniversary of the grant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the Option as shown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In the event of termination of service as a member of the Board of the Company, except as may be otherwise determined by the Committee in accordance with Section 12(e) of the Plan, the vested portion of the Option shall expire on the earlier of</w:t>
      </w:r>
    </w:p>
    <w:p>
      <w:pPr>
        <w:spacing w:after="0" w:line="1" w:lineRule="exact"/>
        <w:rPr>
          <w:rFonts w:ascii="Arial" w:cs="Arial" w:eastAsia="Arial" w:hAnsi="Arial"/>
          <w:sz w:val="16"/>
          <w:szCs w:val="16"/>
          <w:b w:val="1"/>
          <w:bCs w:val="1"/>
          <w:color w:val="auto"/>
        </w:rPr>
      </w:pPr>
    </w:p>
    <w:p>
      <w:pPr>
        <w:jc w:val="both"/>
        <w:ind w:left="-8" w:firstLine="8"/>
        <w:spacing w:after="0" w:line="270" w:lineRule="auto"/>
        <w:tabs>
          <w:tab w:leader="none" w:pos="217"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tenth anniversary of this grant, or (ii)(A) subject to (D) below, three months after such termination if such termination is for any reason other than death, Retirement, or long-term disability, (B) the tenth anniversary of this grant if such termination is due to Retirement or death, (C) one year after the termination if such termination is due to the Grantee’s long-term disability or (D) one year after such termination if such termination is at any time within two years after the occurrence of a Change in Control and is not due to death, Retirement, or long-term disability. For the avoidance of doubt, any outstanding and unvested portion of the Option that has become fully vested as a result of termination of the Grantee’s service on the Board on account of the Grantee’s death pursuant to Section 2(c) of this Agreement shall expire on the tenth anniversary of this grant.</w:t>
      </w:r>
    </w:p>
    <w:p>
      <w:pPr>
        <w:spacing w:after="0" w:line="66" w:lineRule="exact"/>
        <w:rPr>
          <w:rFonts w:ascii="Arial" w:cs="Arial" w:eastAsia="Arial" w:hAnsi="Arial"/>
          <w:sz w:val="17"/>
          <w:szCs w:val="17"/>
          <w:color w:val="auto"/>
        </w:rPr>
      </w:pPr>
    </w:p>
    <w:p>
      <w:pPr>
        <w:jc w:val="both"/>
        <w:ind w:left="-8" w:firstLine="656"/>
        <w:spacing w:after="0" w:line="270" w:lineRule="auto"/>
        <w:tabs>
          <w:tab w:leader="none" w:pos="1002" w:val="left"/>
        </w:tabs>
        <w:numPr>
          <w:ilvl w:val="1"/>
          <w:numId w:val="10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Restrictions on Transfer of Option. </w:t>
      </w:r>
      <w:r>
        <w:rPr>
          <w:rFonts w:ascii="Arial" w:cs="Arial" w:eastAsia="Arial" w:hAnsi="Arial"/>
          <w:sz w:val="17"/>
          <w:szCs w:val="17"/>
          <w:color w:val="auto"/>
        </w:rPr>
        <w:t>The Option granted hereby shall not be transferable other than by will or by the laws of descent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distribution. During the lifetime of the Grantee, this Option shall be exercisable only by the Grantee. In addition, except as otherwise provided in this Agreement, the Option shall not be assigned, negotiated, pledged or hypothecated in any way (whether by operation of law or otherwise), and the Option shall not be subject to execution, attachment or similar process. Upon any other attempt to transfer, assign, negotiate, pledge or hypothecate the Option, or in the event of any levy upon the option by reason of any execution, attachment, or similar process contrary to the provisions hereof, the Option shall immediately become null and void. Notwithstanding the foregoing provisions of this Section 4, subject to the approval of the Committee in its sole and absolute discretion and to any conditions that the Committee may prescribe, the Grantee may, upon providing written notice to the Company, elect to transfer the Option to members of his or her immediate family, including, but not limited to, children, grandchildren and spouse or to trusts for the benefit of such immediate family members or to partnerships in which such family members are the only partners;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transfer may be made in exchange for consideration.</w:t>
      </w:r>
    </w:p>
    <w:p>
      <w:pPr>
        <w:spacing w:after="0" w:line="68" w:lineRule="exact"/>
        <w:rPr>
          <w:rFonts w:ascii="Arial" w:cs="Arial" w:eastAsia="Arial" w:hAnsi="Arial"/>
          <w:sz w:val="17"/>
          <w:szCs w:val="17"/>
          <w:b w:val="1"/>
          <w:bCs w:val="1"/>
          <w:color w:val="auto"/>
        </w:rPr>
      </w:pPr>
    </w:p>
    <w:p>
      <w:pPr>
        <w:jc w:val="both"/>
        <w:ind w:left="-8" w:firstLine="656"/>
        <w:spacing w:after="0" w:line="255" w:lineRule="auto"/>
        <w:tabs>
          <w:tab w:leader="none" w:pos="1024" w:val="left"/>
        </w:tabs>
        <w:numPr>
          <w:ilvl w:val="1"/>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Rights of a Shareholder. </w:t>
      </w:r>
      <w:r>
        <w:rPr>
          <w:rFonts w:ascii="Arial" w:cs="Arial" w:eastAsia="Arial" w:hAnsi="Arial"/>
          <w:sz w:val="18"/>
          <w:szCs w:val="18"/>
          <w:color w:val="auto"/>
        </w:rPr>
        <w:t>The Grantee shall have no rights as a shareholder with respect to any shares of Common Stock subject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Option prior to the date of issuance to the Grantee of a certificate or certificates or book-entry registration or registrations for such shares. Except as provided in Section 3(c) of the Plan, no adjustment shall be made for dividends in cash or other property, distributions, or other rights with respect to such shares for which the record date is prior to the date upon which the Grantee shall become the holder of record therefor. The Company may, in its sole discretion, determine to deliver any documents related to participation in the Plan or deliverable to the Grantee in the Grantee’s capacity as a shareholder of the Company by electronic means. The Grantee hereby consents to receive any and all such documents by electronic delivery to the extent the Company utilizes such delivery method from time to time.</w:t>
      </w:r>
    </w:p>
    <w:p>
      <w:pPr>
        <w:spacing w:after="0" w:line="80" w:lineRule="exact"/>
        <w:rPr>
          <w:rFonts w:ascii="Arial" w:cs="Arial" w:eastAsia="Arial" w:hAnsi="Arial"/>
          <w:sz w:val="18"/>
          <w:szCs w:val="18"/>
          <w:b w:val="1"/>
          <w:bCs w:val="1"/>
          <w:color w:val="auto"/>
        </w:rPr>
      </w:pPr>
    </w:p>
    <w:p>
      <w:pPr>
        <w:jc w:val="both"/>
        <w:ind w:left="-8" w:firstLine="656"/>
        <w:spacing w:after="0" w:line="277" w:lineRule="auto"/>
        <w:tabs>
          <w:tab w:leader="none" w:pos="1049" w:val="left"/>
        </w:tabs>
        <w:numPr>
          <w:ilvl w:val="1"/>
          <w:numId w:val="10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Compliance with Law and Regulations. </w:t>
      </w:r>
      <w:r>
        <w:rPr>
          <w:rFonts w:ascii="Arial" w:cs="Arial" w:eastAsia="Arial" w:hAnsi="Arial"/>
          <w:sz w:val="17"/>
          <w:szCs w:val="17"/>
          <w:color w:val="auto"/>
        </w:rPr>
        <w:t>This Agreement, the award hereunder and any obligation of the Company hereunder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all applicable federal, state and local laws, rules and regulations and to such approvals by any government or regulatory agency as may be required. The Company shall be under no obligation to effect the registration pursuant to federal securities laws of any interests in the Plan or any shares of Common Stock to be issued hereunder or to effect similar compliance under any state laws. The Company shall not be obligated to cause to be issued or delivered any certificates or register book entries evidencing shares of Common Stock pursuant to this Agreement unless and</w:t>
      </w:r>
    </w:p>
    <w:p>
      <w:pPr>
        <w:sectPr>
          <w:pgSz w:w="11900" w:h="16838" w:orient="portrait"/>
          <w:cols w:equalWidth="0" w:num="1">
            <w:col w:w="11232"/>
          </w:cols>
          <w:pgMar w:left="328" w:top="881" w:right="339" w:bottom="1440" w:gutter="0" w:footer="0" w:header="0"/>
        </w:sectPr>
      </w:pPr>
    </w:p>
    <w:bookmarkStart w:id="170" w:name="page171"/>
    <w:bookmarkEnd w:id="170"/>
    <w:p>
      <w:pPr>
        <w:jc w:val="both"/>
        <w:spacing w:after="0" w:line="254" w:lineRule="auto"/>
        <w:rPr>
          <w:sz w:val="20"/>
          <w:szCs w:val="20"/>
          <w:color w:val="auto"/>
        </w:rPr>
      </w:pPr>
      <w:r>
        <w:rPr>
          <w:rFonts w:ascii="Arial" w:cs="Arial" w:eastAsia="Arial" w:hAnsi="Arial"/>
          <w:sz w:val="18"/>
          <w:szCs w:val="18"/>
          <w:color w:val="auto"/>
        </w:rPr>
        <w:t>until the Company is advised by its counsel that the issuance and delivery of such certificates or the registration of such book entries is in compliance with all applicable laws, regulations of governmental authority and the requirements of any securities exchange on which shares of Common Stock are traded. The Committee may require, as a condition of the issuance and delivery of certificates or the registration of book entries evidencing shares of Common Stock pursuant to the terms hereof, that the recipient of such shares make such agreements and representations, and that such certificates and book entries bear or be subject to such legends, as the Committee, in its sole discretion, deems necessary or desirable. Except to the extent preempted by any applicable federal law, this Agreement shall be construed and administered in accordance with the laws of the State of New York without reference to its principles of conflicts of law.</w:t>
      </w:r>
    </w:p>
    <w:p>
      <w:pPr>
        <w:spacing w:after="0" w:line="83" w:lineRule="exact"/>
        <w:rPr>
          <w:sz w:val="20"/>
          <w:szCs w:val="20"/>
          <w:color w:val="auto"/>
        </w:rPr>
      </w:pPr>
    </w:p>
    <w:p>
      <w:pPr>
        <w:jc w:val="both"/>
        <w:ind w:firstLine="656"/>
        <w:spacing w:after="0" w:line="289" w:lineRule="auto"/>
        <w:tabs>
          <w:tab w:leader="none" w:pos="1009" w:val="left"/>
        </w:tabs>
        <w:numPr>
          <w:ilvl w:val="0"/>
          <w:numId w:val="10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Grantee Bound by Plan. </w:t>
      </w:r>
      <w:r>
        <w:rPr>
          <w:rFonts w:ascii="Arial" w:cs="Arial" w:eastAsia="Arial" w:hAnsi="Arial"/>
          <w:sz w:val="17"/>
          <w:szCs w:val="17"/>
          <w:color w:val="auto"/>
        </w:rPr>
        <w:t>The Grantee acknowledges receipt of a copy of the Plan and agrees to be bound by all the terms and provisions</w:t>
      </w:r>
      <w:r>
        <w:rPr>
          <w:rFonts w:ascii="Arial" w:cs="Arial" w:eastAsia="Arial" w:hAnsi="Arial"/>
          <w:sz w:val="17"/>
          <w:szCs w:val="17"/>
          <w:b w:val="1"/>
          <w:bCs w:val="1"/>
          <w:color w:val="auto"/>
        </w:rPr>
        <w:t xml:space="preserve"> </w:t>
      </w:r>
      <w:r>
        <w:rPr>
          <w:rFonts w:ascii="Arial" w:cs="Arial" w:eastAsia="Arial" w:hAnsi="Arial"/>
          <w:sz w:val="17"/>
          <w:szCs w:val="17"/>
          <w:color w:val="auto"/>
        </w:rPr>
        <w:t>thereof, which are incorporated herein by reference. To the extent that this Agreement is silent with respect to, or in any way inconsistent with, the terms of the Plan, the provisions of the Plan shall govern and this Agreement shall be deemed to be modified accordingly.</w:t>
      </w:r>
    </w:p>
    <w:p>
      <w:pPr>
        <w:spacing w:after="0" w:line="49" w:lineRule="exact"/>
        <w:rPr>
          <w:rFonts w:ascii="Arial" w:cs="Arial" w:eastAsia="Arial" w:hAnsi="Arial"/>
          <w:sz w:val="17"/>
          <w:szCs w:val="17"/>
          <w:b w:val="1"/>
          <w:bCs w:val="1"/>
          <w:color w:val="auto"/>
        </w:rPr>
      </w:pPr>
    </w:p>
    <w:p>
      <w:pPr>
        <w:jc w:val="both"/>
        <w:ind w:firstLine="656"/>
        <w:spacing w:after="0" w:line="258" w:lineRule="auto"/>
        <w:tabs>
          <w:tab w:leader="none" w:pos="976"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 or communication given hereunder shall be in writing and shall be deemed given when delivered in person, or by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mail, at the following addresses: (i) if to the Company, to: Regeneron Pharmaceuticals, Inc., 777 Old Saw Mill River Road, Tarrytown, NY 10591, Attention: Secretary, and (ii) if to the Grantee, to: the Grantee at Regeneron Pharmaceuticals, Inc., 777 Old Saw Mill River Road, Tarrytown, NY 10591, or, if the Grantee has terminated service, to the last address for the Grantee indicated in the records of the Company, or such other address as the relevant party shall specify at any time hereafter in accordance with this Section 8.</w:t>
      </w:r>
    </w:p>
    <w:p>
      <w:pPr>
        <w:sectPr>
          <w:pgSz w:w="11900" w:h="16838" w:orient="portrait"/>
          <w:cols w:equalWidth="0" w:num="1">
            <w:col w:w="11240"/>
          </w:cols>
          <w:pgMar w:left="320" w:top="881"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color w:val="auto"/>
        </w:rPr>
        <w:t>Exhibit 10.3.6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69862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10">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Regeneron Pharmaceuticals, Inc.</w:t>
      </w:r>
    </w:p>
    <w:p>
      <w:pPr>
        <w:sectPr>
          <w:pgSz w:w="11900" w:h="16838" w:orient="portrait"/>
          <w:cols w:equalWidth="0" w:num="1">
            <w:col w:w="11240"/>
          </w:cols>
          <w:pgMar w:left="320" w:top="1421" w:right="339" w:bottom="1440" w:gutter="0" w:footer="0" w:header="0"/>
        </w:sectPr>
      </w:pPr>
    </w:p>
    <w:p>
      <w:pPr>
        <w:spacing w:after="0" w:line="104"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ID:</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00" w:lineRule="exact"/>
        <w:rPr>
          <w:sz w:val="20"/>
          <w:szCs w:val="20"/>
          <w:color w:val="auto"/>
        </w:rPr>
      </w:pPr>
    </w:p>
    <w:p>
      <w:pPr>
        <w:sectPr>
          <w:pgSz w:w="11900" w:h="16838" w:orient="portrait"/>
          <w:cols w:equalWidth="0" w:num="3">
            <w:col w:w="5180" w:space="60"/>
            <w:col w:w="60" w:space="600"/>
            <w:col w:w="5340"/>
          </w:cols>
          <w:pgMar w:left="320" w:top="1421" w:right="339" w:bottom="1440" w:gutter="0" w:footer="0" w:header="0"/>
          <w:type w:val="continuous"/>
        </w:sectPr>
      </w:pPr>
    </w:p>
    <w:p>
      <w:pPr>
        <w:ind w:left="20" w:right="1020"/>
        <w:spacing w:after="0" w:line="470" w:lineRule="auto"/>
        <w:rPr>
          <w:sz w:val="20"/>
          <w:szCs w:val="20"/>
          <w:color w:val="auto"/>
        </w:rPr>
      </w:pPr>
      <w:r>
        <w:rPr>
          <w:rFonts w:ascii="Arial" w:cs="Arial" w:eastAsia="Arial" w:hAnsi="Arial"/>
          <w:sz w:val="16"/>
          <w:szCs w:val="16"/>
          <w:b w:val="1"/>
          <w:bCs w:val="1"/>
          <w:color w:val="auto"/>
        </w:rPr>
        <w:t>Notice of Grant of Restricted Stock Units and Restricted Stock Unit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777 Old Saw Mill River Road</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Tarrytown, New York 10591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-3118485</wp:posOffset>
            </wp:positionH>
            <wp:positionV relativeFrom="paragraph">
              <wp:posOffset>433705</wp:posOffset>
            </wp:positionV>
            <wp:extent cx="69862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11">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410" w:lineRule="exact"/>
        <w:rPr>
          <w:sz w:val="20"/>
          <w:szCs w:val="20"/>
          <w:color w:val="auto"/>
        </w:rPr>
      </w:pPr>
    </w:p>
    <w:p>
      <w:pPr>
        <w:sectPr>
          <w:pgSz w:w="11900" w:h="16838" w:orient="portrait"/>
          <w:cols w:equalWidth="0" w:num="2">
            <w:col w:w="4200" w:space="720"/>
            <w:col w:w="6320"/>
          </w:cols>
          <w:pgMar w:left="320" w:top="14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960" w:type="dxa"/>
            <w:vAlign w:val="bottom"/>
          </w:tcPr>
          <w:p>
            <w:pPr>
              <w:ind w:left="20"/>
              <w:spacing w:after="0"/>
              <w:rPr>
                <w:sz w:val="20"/>
                <w:szCs w:val="20"/>
                <w:color w:val="auto"/>
              </w:rPr>
            </w:pPr>
            <w:r>
              <w:rPr>
                <w:rFonts w:ascii="Arial" w:cs="Arial" w:eastAsia="Arial" w:hAnsi="Arial"/>
                <w:sz w:val="18"/>
                <w:szCs w:val="18"/>
                <w:b w:val="1"/>
                <w:bCs w:val="1"/>
                <w:color w:val="auto"/>
              </w:rPr>
              <w:t>[NAME]</w:t>
            </w:r>
          </w:p>
        </w:tc>
        <w:tc>
          <w:tcPr>
            <w:tcW w:w="3320" w:type="dxa"/>
            <w:vAlign w:val="bottom"/>
          </w:tcPr>
          <w:p>
            <w:pPr>
              <w:ind w:left="1960"/>
              <w:spacing w:after="0"/>
              <w:rPr>
                <w:sz w:val="20"/>
                <w:szCs w:val="20"/>
                <w:color w:val="auto"/>
              </w:rPr>
            </w:pPr>
            <w:r>
              <w:rPr>
                <w:rFonts w:ascii="Arial" w:cs="Arial" w:eastAsia="Arial" w:hAnsi="Arial"/>
                <w:sz w:val="18"/>
                <w:szCs w:val="18"/>
                <w:b w:val="1"/>
                <w:bCs w:val="1"/>
                <w:color w:val="auto"/>
              </w:rPr>
              <w:t>RSU Number:</w:t>
            </w:r>
          </w:p>
        </w:tc>
        <w:tc>
          <w:tcPr>
            <w:tcW w:w="640" w:type="dxa"/>
            <w:vAlign w:val="bottom"/>
          </w:tcPr>
          <w:p>
            <w:pPr>
              <w:jc w:val="right"/>
              <w:ind w:right="192"/>
              <w:spacing w:after="0"/>
              <w:rPr>
                <w:sz w:val="20"/>
                <w:szCs w:val="20"/>
                <w:color w:val="auto"/>
              </w:rPr>
            </w:pPr>
            <w:r>
              <w:rPr>
                <w:rFonts w:ascii="Arial" w:cs="Arial" w:eastAsia="Arial" w:hAnsi="Arial"/>
                <w:sz w:val="22"/>
                <w:szCs w:val="22"/>
                <w:b w:val="1"/>
                <w:bCs w:val="1"/>
                <w:color w:val="auto"/>
              </w:rPr>
              <w:t>[</w:t>
            </w:r>
          </w:p>
        </w:tc>
        <w:tc>
          <w:tcPr>
            <w:tcW w:w="4100" w:type="dxa"/>
            <w:vAlign w:val="bottom"/>
          </w:tcPr>
          <w:p>
            <w:pPr>
              <w:jc w:val="right"/>
              <w:ind w:right="3632"/>
              <w:spacing w:after="0"/>
              <w:rPr>
                <w:sz w:val="20"/>
                <w:szCs w:val="20"/>
                <w:color w:val="auto"/>
              </w:rPr>
            </w:pPr>
            <w:r>
              <w:rPr>
                <w:rFonts w:ascii="Arial" w:cs="Arial" w:eastAsia="Arial" w:hAnsi="Arial"/>
                <w:sz w:val="22"/>
                <w:szCs w:val="22"/>
                <w:b w:val="1"/>
                <w:bCs w:val="1"/>
                <w:color w:val="auto"/>
              </w:rPr>
              <w:t>]</w:t>
            </w:r>
          </w:p>
        </w:tc>
      </w:tr>
      <w:tr>
        <w:trPr>
          <w:trHeight w:val="311"/>
        </w:trPr>
        <w:tc>
          <w:tcPr>
            <w:tcW w:w="2960" w:type="dxa"/>
            <w:vAlign w:val="bottom"/>
          </w:tcPr>
          <w:p>
            <w:pPr>
              <w:ind w:left="20"/>
              <w:spacing w:after="0"/>
              <w:rPr>
                <w:sz w:val="20"/>
                <w:szCs w:val="20"/>
                <w:color w:val="auto"/>
              </w:rPr>
            </w:pPr>
            <w:r>
              <w:rPr>
                <w:rFonts w:ascii="Arial" w:cs="Arial" w:eastAsia="Arial" w:hAnsi="Arial"/>
                <w:sz w:val="18"/>
                <w:szCs w:val="18"/>
                <w:b w:val="1"/>
                <w:bCs w:val="1"/>
                <w:color w:val="auto"/>
              </w:rPr>
              <w:t>[ADDRESS]</w:t>
            </w:r>
          </w:p>
        </w:tc>
        <w:tc>
          <w:tcPr>
            <w:tcW w:w="3320" w:type="dxa"/>
            <w:vAlign w:val="bottom"/>
          </w:tcPr>
          <w:p>
            <w:pPr>
              <w:ind w:left="1960"/>
              <w:spacing w:after="0"/>
              <w:rPr>
                <w:sz w:val="20"/>
                <w:szCs w:val="20"/>
                <w:color w:val="auto"/>
              </w:rPr>
            </w:pPr>
            <w:r>
              <w:rPr>
                <w:rFonts w:ascii="Arial" w:cs="Arial" w:eastAsia="Arial" w:hAnsi="Arial"/>
                <w:sz w:val="18"/>
                <w:szCs w:val="18"/>
                <w:b w:val="1"/>
                <w:bCs w:val="1"/>
                <w:color w:val="auto"/>
              </w:rPr>
              <w:t>Plan:</w:t>
            </w:r>
          </w:p>
        </w:tc>
        <w:tc>
          <w:tcPr>
            <w:tcW w:w="640" w:type="dxa"/>
            <w:vAlign w:val="bottom"/>
          </w:tcPr>
          <w:p>
            <w:pPr>
              <w:jc w:val="right"/>
              <w:ind w:right="192"/>
              <w:spacing w:after="0"/>
              <w:rPr>
                <w:sz w:val="20"/>
                <w:szCs w:val="20"/>
                <w:color w:val="auto"/>
              </w:rPr>
            </w:pPr>
            <w:r>
              <w:rPr>
                <w:rFonts w:ascii="Arial" w:cs="Arial" w:eastAsia="Arial" w:hAnsi="Arial"/>
                <w:sz w:val="22"/>
                <w:szCs w:val="22"/>
                <w:b w:val="1"/>
                <w:bCs w:val="1"/>
                <w:color w:val="auto"/>
              </w:rPr>
              <w:t>[</w:t>
            </w:r>
          </w:p>
        </w:tc>
        <w:tc>
          <w:tcPr>
            <w:tcW w:w="4100" w:type="dxa"/>
            <w:vAlign w:val="bottom"/>
          </w:tcPr>
          <w:p>
            <w:pPr>
              <w:jc w:val="right"/>
              <w:ind w:right="3632"/>
              <w:spacing w:after="0"/>
              <w:rPr>
                <w:sz w:val="20"/>
                <w:szCs w:val="20"/>
                <w:color w:val="auto"/>
              </w:rPr>
            </w:pPr>
            <w:r>
              <w:rPr>
                <w:rFonts w:ascii="Arial" w:cs="Arial" w:eastAsia="Arial" w:hAnsi="Arial"/>
                <w:sz w:val="22"/>
                <w:szCs w:val="22"/>
                <w:b w:val="1"/>
                <w:bCs w:val="1"/>
                <w:color w:val="auto"/>
              </w:rPr>
              <w:t>]</w:t>
            </w:r>
          </w:p>
        </w:tc>
      </w:tr>
      <w:tr>
        <w:trPr>
          <w:trHeight w:val="310"/>
        </w:trPr>
        <w:tc>
          <w:tcPr>
            <w:tcW w:w="2960" w:type="dxa"/>
            <w:vAlign w:val="bottom"/>
          </w:tcPr>
          <w:p>
            <w:pPr>
              <w:spacing w:after="0"/>
              <w:rPr>
                <w:sz w:val="24"/>
                <w:szCs w:val="24"/>
                <w:color w:val="auto"/>
              </w:rPr>
            </w:pPr>
          </w:p>
        </w:tc>
        <w:tc>
          <w:tcPr>
            <w:tcW w:w="3320" w:type="dxa"/>
            <w:vAlign w:val="bottom"/>
          </w:tcPr>
          <w:p>
            <w:pPr>
              <w:ind w:left="1960"/>
              <w:spacing w:after="0"/>
              <w:rPr>
                <w:sz w:val="20"/>
                <w:szCs w:val="20"/>
                <w:color w:val="auto"/>
              </w:rPr>
            </w:pPr>
            <w:r>
              <w:rPr>
                <w:rFonts w:ascii="Arial" w:cs="Arial" w:eastAsia="Arial" w:hAnsi="Arial"/>
                <w:sz w:val="18"/>
                <w:szCs w:val="18"/>
                <w:b w:val="1"/>
                <w:bCs w:val="1"/>
                <w:color w:val="auto"/>
              </w:rPr>
              <w:t>ID:</w:t>
            </w:r>
          </w:p>
        </w:tc>
        <w:tc>
          <w:tcPr>
            <w:tcW w:w="640" w:type="dxa"/>
            <w:vAlign w:val="bottom"/>
          </w:tcPr>
          <w:p>
            <w:pPr>
              <w:jc w:val="right"/>
              <w:ind w:right="192"/>
              <w:spacing w:after="0"/>
              <w:rPr>
                <w:sz w:val="20"/>
                <w:szCs w:val="20"/>
                <w:color w:val="auto"/>
              </w:rPr>
            </w:pPr>
            <w:r>
              <w:rPr>
                <w:rFonts w:ascii="Arial" w:cs="Arial" w:eastAsia="Arial" w:hAnsi="Arial"/>
                <w:sz w:val="22"/>
                <w:szCs w:val="22"/>
                <w:b w:val="1"/>
                <w:bCs w:val="1"/>
                <w:color w:val="auto"/>
              </w:rPr>
              <w:t>[</w:t>
            </w:r>
          </w:p>
        </w:tc>
        <w:tc>
          <w:tcPr>
            <w:tcW w:w="4100" w:type="dxa"/>
            <w:vAlign w:val="bottom"/>
          </w:tcPr>
          <w:p>
            <w:pPr>
              <w:jc w:val="right"/>
              <w:ind w:right="3632"/>
              <w:spacing w:after="0"/>
              <w:rPr>
                <w:sz w:val="20"/>
                <w:szCs w:val="20"/>
                <w:color w:val="auto"/>
              </w:rPr>
            </w:pPr>
            <w:r>
              <w:rPr>
                <w:rFonts w:ascii="Arial" w:cs="Arial" w:eastAsia="Arial" w:hAnsi="Arial"/>
                <w:sz w:val="22"/>
                <w:szCs w:val="22"/>
                <w:b w:val="1"/>
                <w:bCs w:val="1"/>
                <w:color w:val="auto"/>
              </w:rPr>
              <w:t>]</w:t>
            </w:r>
          </w:p>
        </w:tc>
      </w:tr>
      <w:tr>
        <w:trPr>
          <w:trHeight w:val="328"/>
        </w:trPr>
        <w:tc>
          <w:tcPr>
            <w:tcW w:w="29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7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Effective &lt;date&gt; (the “Grant Date”) you have been granted restricted stock units with respect to [ ] shares of Regeneron Pharmaceuticals, Inc. (the “Company”) stock.</w:t>
      </w:r>
    </w:p>
    <w:p>
      <w:pPr>
        <w:spacing w:after="0" w:line="76" w:lineRule="exact"/>
        <w:rPr>
          <w:sz w:val="20"/>
          <w:szCs w:val="20"/>
          <w:color w:val="auto"/>
        </w:rPr>
      </w:pPr>
    </w:p>
    <w:p>
      <w:pPr>
        <w:spacing w:after="0"/>
        <w:tabs>
          <w:tab w:leader="none" w:pos="3140" w:val="left"/>
        </w:tabs>
        <w:rPr>
          <w:sz w:val="20"/>
          <w:szCs w:val="20"/>
          <w:color w:val="auto"/>
        </w:rPr>
      </w:pPr>
      <w:r>
        <w:rPr>
          <w:rFonts w:ascii="Arial" w:cs="Arial" w:eastAsia="Arial" w:hAnsi="Arial"/>
          <w:sz w:val="18"/>
          <w:szCs w:val="18"/>
          <w:color w:val="auto"/>
        </w:rPr>
        <w:t>The total current value of the award is $[</w:t>
      </w:r>
      <w:r>
        <w:rPr>
          <w:sz w:val="20"/>
          <w:szCs w:val="20"/>
          <w:color w:val="auto"/>
        </w:rPr>
        <w:tab/>
      </w:r>
      <w:r>
        <w:rPr>
          <w:rFonts w:ascii="Arial" w:cs="Arial" w:eastAsia="Arial" w:hAnsi="Arial"/>
          <w:sz w:val="17"/>
          <w:szCs w:val="17"/>
          <w:color w:val="auto"/>
        </w:rPr>
        <w:t>].</w:t>
      </w:r>
    </w:p>
    <w:p>
      <w:pPr>
        <w:spacing w:after="0" w:line="104"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Full Vest Dates: These restricted stock units will vest (i) on the date of the Company’s [ ]* Annual Meeting of Shareholders with respect to a pro-rata portion of the total number of shares underlying the award equal to the portion of one year that has elapsed from the date of grant to the date of the Company’s [ ]* Annual Meeting of Shareholders, and (ii) on [ / / ]** with respect to the remainder of the shares underlying the award. Assuming the [ ]* Annual Meeting of Shareholders occurs on [ / / ] as currently planned, these restricted stock units will vest respect to [ ] underlying shares on</w:t>
      </w:r>
    </w:p>
    <w:p>
      <w:pPr>
        <w:spacing w:after="0" w:line="2"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 / / ] and with respect to [ ] underlying shares on [ / / ]**. Vested restricted stock units remain subject to the tax deferral provisions set forth in the enclosed Restricted Stock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698627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12">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0" w:right="460"/>
        <w:spacing w:after="0" w:line="263" w:lineRule="auto"/>
        <w:rPr>
          <w:sz w:val="20"/>
          <w:szCs w:val="20"/>
          <w:color w:val="auto"/>
        </w:rPr>
      </w:pPr>
      <w:r>
        <w:rPr>
          <w:rFonts w:ascii="Arial" w:cs="Arial" w:eastAsia="Arial" w:hAnsi="Arial"/>
          <w:sz w:val="18"/>
          <w:szCs w:val="18"/>
          <w:color w:val="auto"/>
        </w:rPr>
        <w:t>You and the Company agree that these restricted stock units are granted under and governed by the terms and conditions of the Second Amended and Restated Regeneron Pharmaceuticals, Inc. 2014 Long Term Incentive Plan, as amended from time to time, and the enclosed Restricted Stock Unit Agreement, both of which are attached and made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69862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13">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w:t>
      </w:r>
    </w:p>
    <w:p>
      <w:pPr>
        <w:spacing w:after="0" w:line="308" w:lineRule="exact"/>
        <w:rPr>
          <w:sz w:val="20"/>
          <w:szCs w:val="20"/>
          <w:color w:val="auto"/>
        </w:rPr>
      </w:pPr>
    </w:p>
    <w:p>
      <w:pPr>
        <w:ind w:left="20" w:right="5900" w:firstLine="6"/>
        <w:spacing w:after="0" w:line="653" w:lineRule="auto"/>
        <w:tabs>
          <w:tab w:leader="none" w:pos="39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next Annual Meeting of Shareholders following the Grant Date. ** First anniversary of the Grant Date.</w:t>
      </w:r>
    </w:p>
    <w:p>
      <w:pPr>
        <w:sectPr>
          <w:pgSz w:w="11900" w:h="16838" w:orient="portrait"/>
          <w:cols w:equalWidth="0" w:num="1">
            <w:col w:w="11240"/>
          </w:cols>
          <w:pgMar w:left="320" w:top="1421" w:right="339" w:bottom="1440" w:gutter="0" w:footer="0" w:header="0"/>
          <w:type w:val="continuous"/>
        </w:sectPr>
      </w:pPr>
    </w:p>
    <w:bookmarkStart w:id="172" w:name="page173"/>
    <w:bookmarkEnd w:id="172"/>
    <w:p>
      <w:pPr>
        <w:jc w:val="center"/>
        <w:ind w:right="-19"/>
        <w:spacing w:after="0"/>
        <w:rPr>
          <w:sz w:val="20"/>
          <w:szCs w:val="20"/>
          <w:color w:val="auto"/>
        </w:rPr>
      </w:pPr>
      <w:r>
        <w:rPr>
          <w:rFonts w:ascii="Arial" w:cs="Arial" w:eastAsia="Arial" w:hAnsi="Arial"/>
          <w:sz w:val="25"/>
          <w:szCs w:val="25"/>
          <w:b w:val="1"/>
          <w:bCs w:val="1"/>
          <w:color w:val="800000"/>
        </w:rPr>
        <w:t>REGENERON PHARMACEUTICALS, INC.</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RESTRICTED STOCK UNIT AGREEMENT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SECOND AMENDED AND RESTATED REGENERON PHARMACEUTICALS,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2014 LONG-TERM INCENTIVE PLAN</w:t>
      </w:r>
    </w:p>
    <w:p>
      <w:pPr>
        <w:spacing w:after="0" w:line="87"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6"/>
          <w:szCs w:val="16"/>
          <w:color w:val="auto"/>
        </w:rPr>
        <w:t>THIS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made as of the date on the </w:t>
      </w:r>
      <w:r>
        <w:rPr>
          <w:rFonts w:ascii="Arial" w:cs="Arial" w:eastAsia="Arial" w:hAnsi="Arial"/>
          <w:sz w:val="16"/>
          <w:szCs w:val="16"/>
          <w:i w:val="1"/>
          <w:iCs w:val="1"/>
          <w:color w:val="auto"/>
        </w:rPr>
        <w:t>Notice of Grant of Restricted Stock Units</w:t>
      </w:r>
      <w:r>
        <w:rPr>
          <w:rFonts w:ascii="Arial" w:cs="Arial" w:eastAsia="Arial" w:hAnsi="Arial"/>
          <w:sz w:val="16"/>
          <w:szCs w:val="16"/>
          <w:color w:val="auto"/>
        </w:rPr>
        <w:t>, by and between Regeneron Pharmaceuticals, Inc., a New York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and the individual named on the </w:t>
      </w:r>
      <w:r>
        <w:rPr>
          <w:rFonts w:ascii="Arial" w:cs="Arial" w:eastAsia="Arial" w:hAnsi="Arial"/>
          <w:sz w:val="16"/>
          <w:szCs w:val="16"/>
          <w:i w:val="1"/>
          <w:iCs w:val="1"/>
          <w:color w:val="auto"/>
        </w:rPr>
        <w:t>Notice of Grant of Restricted Stock Units</w:t>
      </w:r>
      <w:r>
        <w:rPr>
          <w:rFonts w:ascii="Arial" w:cs="Arial" w:eastAsia="Arial" w:hAnsi="Arial"/>
          <w:sz w:val="16"/>
          <w:szCs w:val="16"/>
          <w:color w:val="auto"/>
        </w:rPr>
        <w:t xml:space="preserve"> (the</w:t>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Recipient</w:t>
      </w:r>
      <w:r>
        <w:rPr>
          <w:rFonts w:ascii="Arial" w:cs="Arial" w:eastAsia="Arial" w:hAnsi="Arial"/>
          <w:sz w:val="17"/>
          <w:szCs w:val="17"/>
          <w:color w:val="auto"/>
        </w:rPr>
        <w:t>”). Any capitalized term used but not defined in this Agreement shall have the meaning given to such term in the Plan (as defined below).</w:t>
      </w:r>
    </w:p>
    <w:p>
      <w:pPr>
        <w:spacing w:after="0" w:line="129"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WHEREAS, the Recipient is a non-employee member of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and the Company desires to afford the Recipient the opportunity to acquire or enlarge the Recipient’s stock ownership in the Company so that the Recipient may have a direct proprietary interest in the Company’s success; and</w:t>
      </w:r>
    </w:p>
    <w:p>
      <w:pPr>
        <w:spacing w:after="0" w:line="7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WHEREAS, the Committee administering the Second Amended and Restated Regeneron Pharmaceuticals, Inc. 2014 Long-Term Incentive Plan (as amended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xml:space="preserve">”) has granted (as of the effective date of grant specified in the </w:t>
      </w:r>
      <w:r>
        <w:rPr>
          <w:rFonts w:ascii="Arial" w:cs="Arial" w:eastAsia="Arial" w:hAnsi="Arial"/>
          <w:sz w:val="18"/>
          <w:szCs w:val="18"/>
          <w:i w:val="1"/>
          <w:iCs w:val="1"/>
          <w:color w:val="auto"/>
        </w:rPr>
        <w:t>Notice of Grant of Restricted Stock</w:t>
      </w:r>
      <w:r>
        <w:rPr>
          <w:rFonts w:ascii="Arial" w:cs="Arial" w:eastAsia="Arial" w:hAnsi="Arial"/>
          <w:sz w:val="18"/>
          <w:szCs w:val="18"/>
          <w:color w:val="auto"/>
        </w:rPr>
        <w:t xml:space="preserve"> </w:t>
      </w:r>
      <w:r>
        <w:rPr>
          <w:rFonts w:ascii="Arial" w:cs="Arial" w:eastAsia="Arial" w:hAnsi="Arial"/>
          <w:sz w:val="18"/>
          <w:szCs w:val="18"/>
          <w:i w:val="1"/>
          <w:iCs w:val="1"/>
          <w:color w:val="auto"/>
        </w:rPr>
        <w:t>Units</w:t>
      </w:r>
      <w:r>
        <w:rPr>
          <w:rFonts w:ascii="Arial" w:cs="Arial" w:eastAsia="Arial" w:hAnsi="Arial"/>
          <w:sz w:val="18"/>
          <w:szCs w:val="18"/>
          <w:color w:val="auto"/>
        </w:rPr>
        <w:t>) to the Recipient a Restricted Stock Unit (as defined below) with respect to the number of shares of Company Stock as set forth in the</w:t>
      </w:r>
      <w:r>
        <w:rPr>
          <w:rFonts w:ascii="Arial" w:cs="Arial" w:eastAsia="Arial" w:hAnsi="Arial"/>
          <w:sz w:val="18"/>
          <w:szCs w:val="18"/>
          <w:i w:val="1"/>
          <w:iCs w:val="1"/>
          <w:color w:val="auto"/>
        </w:rPr>
        <w:t xml:space="preserve"> Notice of Grant of Restricted Stock Units</w:t>
      </w:r>
      <w:r>
        <w:rPr>
          <w:rFonts w:ascii="Arial" w:cs="Arial" w:eastAsia="Arial" w:hAnsi="Arial"/>
          <w:sz w:val="18"/>
          <w:szCs w:val="18"/>
          <w:color w:val="auto"/>
        </w:rPr>
        <w:t>.</w:t>
      </w:r>
    </w:p>
    <w:p>
      <w:pPr>
        <w:spacing w:after="0" w:line="7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NOW, THEREFORE, in consideration of the covenants and agreements herein contained, the parties agree as follows:</w:t>
      </w:r>
    </w:p>
    <w:p>
      <w:pPr>
        <w:spacing w:after="0" w:line="113" w:lineRule="exact"/>
        <w:rPr>
          <w:sz w:val="20"/>
          <w:szCs w:val="20"/>
          <w:color w:val="auto"/>
        </w:rPr>
      </w:pPr>
    </w:p>
    <w:p>
      <w:pPr>
        <w:ind w:firstLine="1304"/>
        <w:spacing w:after="0" w:line="298" w:lineRule="auto"/>
        <w:tabs>
          <w:tab w:leader="none" w:pos="1944" w:val="left"/>
        </w:tabs>
        <w:numPr>
          <w:ilvl w:val="0"/>
          <w:numId w:val="109"/>
        </w:numPr>
        <w:rPr>
          <w:rFonts w:ascii="Arial" w:cs="Arial" w:eastAsia="Arial" w:hAnsi="Arial"/>
          <w:sz w:val="16"/>
          <w:szCs w:val="16"/>
          <w:color w:val="auto"/>
        </w:rPr>
      </w:pPr>
      <w:r>
        <w:rPr>
          <w:rFonts w:ascii="Arial" w:cs="Arial" w:eastAsia="Arial" w:hAnsi="Arial"/>
          <w:sz w:val="16"/>
          <w:szCs w:val="16"/>
          <w:b w:val="1"/>
          <w:bCs w:val="1"/>
          <w:color w:val="auto"/>
        </w:rPr>
        <w:t>Grant of Award</w:t>
      </w:r>
      <w:r>
        <w:rPr>
          <w:rFonts w:ascii="Arial" w:cs="Arial" w:eastAsia="Arial" w:hAnsi="Arial"/>
          <w:sz w:val="16"/>
          <w:szCs w:val="16"/>
          <w:color w:val="auto"/>
        </w:rPr>
        <w:t>. Pursuant to Section 9 of the Plan, the Company grants to the Recipient, subject to the terms and conditions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and subject further to the terms and conditions set forth herein, a restricted stock unit (referred to in the Plan as “Phantom Stock”) (each such unit, a “</w:t>
      </w:r>
      <w:r>
        <w:rPr>
          <w:rFonts w:ascii="Arial" w:cs="Arial" w:eastAsia="Arial" w:hAnsi="Arial"/>
          <w:sz w:val="16"/>
          <w:szCs w:val="16"/>
          <w:u w:val="single" w:color="auto"/>
          <w:color w:val="auto"/>
        </w:rPr>
        <w:t>Restricted Stock Unit</w:t>
      </w:r>
      <w:r>
        <w:rPr>
          <w:rFonts w:ascii="Arial" w:cs="Arial" w:eastAsia="Arial" w:hAnsi="Arial"/>
          <w:sz w:val="16"/>
          <w:szCs w:val="16"/>
          <w:color w:val="auto"/>
        </w:rPr>
        <w:t>”) with respect to the number of shares of Company Stock as shown on the Notice of Grant of Restricted Stock Units. The Recipient’s record of Company Stock ownership shall be recorded in the books of the Company only when the Restricted Stock Units vest and the shares of Company Stock are issued. At the Recipient’s request, vested shares may be evidenced by stock certificates or book-entry registration.</w:t>
      </w:r>
    </w:p>
    <w:p>
      <w:pPr>
        <w:spacing w:after="0" w:line="45" w:lineRule="exact"/>
        <w:rPr>
          <w:rFonts w:ascii="Arial" w:cs="Arial" w:eastAsia="Arial" w:hAnsi="Arial"/>
          <w:sz w:val="16"/>
          <w:szCs w:val="16"/>
          <w:color w:val="auto"/>
        </w:rPr>
      </w:pPr>
    </w:p>
    <w:p>
      <w:pPr>
        <w:ind w:right="60" w:firstLine="1304"/>
        <w:spacing w:after="0" w:line="269" w:lineRule="auto"/>
        <w:tabs>
          <w:tab w:leader="none" w:pos="1944" w:val="left"/>
        </w:tabs>
        <w:numPr>
          <w:ilvl w:val="0"/>
          <w:numId w:val="109"/>
        </w:numPr>
        <w:rPr>
          <w:rFonts w:ascii="Arial" w:cs="Arial" w:eastAsia="Arial" w:hAnsi="Arial"/>
          <w:sz w:val="17"/>
          <w:szCs w:val="17"/>
          <w:color w:val="auto"/>
        </w:rPr>
      </w:pPr>
      <w:r>
        <w:rPr>
          <w:rFonts w:ascii="Arial" w:cs="Arial" w:eastAsia="Arial" w:hAnsi="Arial"/>
          <w:sz w:val="17"/>
          <w:szCs w:val="17"/>
          <w:b w:val="1"/>
          <w:bCs w:val="1"/>
          <w:color w:val="auto"/>
        </w:rPr>
        <w:t>Vesting; Delivery</w:t>
      </w:r>
      <w:r>
        <w:rPr>
          <w:rFonts w:ascii="Arial" w:cs="Arial" w:eastAsia="Arial" w:hAnsi="Arial"/>
          <w:sz w:val="17"/>
          <w:szCs w:val="17"/>
          <w:color w:val="auto"/>
        </w:rPr>
        <w:t>. (a) The Restricted Stock Units granted to the Recipient shall vest in installments as provided in the Notice of</w:t>
      </w:r>
      <w:r>
        <w:rPr>
          <w:rFonts w:ascii="Arial" w:cs="Arial" w:eastAsia="Arial" w:hAnsi="Arial"/>
          <w:sz w:val="17"/>
          <w:szCs w:val="17"/>
          <w:b w:val="1"/>
          <w:bCs w:val="1"/>
          <w:color w:val="auto"/>
        </w:rPr>
        <w:t xml:space="preserve"> </w:t>
      </w:r>
      <w:r>
        <w:rPr>
          <w:rFonts w:ascii="Arial" w:cs="Arial" w:eastAsia="Arial" w:hAnsi="Arial"/>
          <w:sz w:val="17"/>
          <w:szCs w:val="17"/>
          <w:color w:val="auto"/>
        </w:rPr>
        <w:t>Grant of Restricted Stock Units. The vesting schedule in the Notice of Grant of Restricted Stock Units indicates each date upon which the Restricted Stock Units shall vest, entitling the Recipient to receive the underlying shares of Company Stock, provided that the Recipient has not incurred a termination of service as a member of the Board. There shall be no proportionate or partial vesting in the periods between the Full Vest Dates specified in the Notice of Grant of Restricted Stock Units and all vesting shall occur only on such Full Vest Dates. No vesting shall occur after the termination of the Recipient’s service as a member of the Board for any reason. Notwithstanding the preceding sentence, upon the Recipient’s Retirement from service on the Board, the Restricted Stock Units shall continue to vest in installments as provided on the Notice of Grant of Restricted Stock Units as if the Recipient had remained in service on the Board. For purposes of this Agreement, “Retirement” shall mean a voluntary termination of service on the Board (including by not standing for re-election) by the Recipient at a time when the Recipient meets both of the following criteria: the Recipient has served as a member of the Board for a minimum of three (3) years, and the combination of the Recipient’s age and total years of service as a member of the Board equals a minimum of 80.</w:t>
      </w:r>
    </w:p>
    <w:p>
      <w:pPr>
        <w:spacing w:after="0" w:line="78" w:lineRule="exact"/>
        <w:rPr>
          <w:sz w:val="20"/>
          <w:szCs w:val="20"/>
          <w:color w:val="auto"/>
        </w:rPr>
      </w:pPr>
    </w:p>
    <w:p>
      <w:pPr>
        <w:ind w:right="20" w:firstLine="1304"/>
        <w:spacing w:after="0" w:line="257" w:lineRule="auto"/>
        <w:tabs>
          <w:tab w:leader="none" w:pos="173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Notwithstanding anything herein (except the following sentence) or in the Notice of Grant of Restricted Stock Units to the contrary, outstanding Restricted Stock Units granted to Recipient shall be fully vested on the date of a Change in Control or upon the Recipient’s death. If the application of the provision in the foregoing sentence, similar provisions in other stock option or equity compensation grants, and other payments and benefits payable to the Recipient (collectively, the “</w:t>
      </w:r>
      <w:r>
        <w:rPr>
          <w:rFonts w:ascii="Arial" w:cs="Arial" w:eastAsia="Arial" w:hAnsi="Arial"/>
          <w:sz w:val="18"/>
          <w:szCs w:val="18"/>
          <w:u w:val="single" w:color="auto"/>
          <w:color w:val="auto"/>
        </w:rPr>
        <w:t>Company Payments</w:t>
      </w:r>
      <w:r>
        <w:rPr>
          <w:rFonts w:ascii="Arial" w:cs="Arial" w:eastAsia="Arial" w:hAnsi="Arial"/>
          <w:sz w:val="18"/>
          <w:szCs w:val="18"/>
          <w:color w:val="auto"/>
        </w:rPr>
        <w:t>”) would result in the Recipient being subject to excise tax (the “</w:t>
      </w:r>
      <w:r>
        <w:rPr>
          <w:rFonts w:ascii="Arial" w:cs="Arial" w:eastAsia="Arial" w:hAnsi="Arial"/>
          <w:sz w:val="18"/>
          <w:szCs w:val="18"/>
          <w:u w:val="single" w:color="auto"/>
          <w:color w:val="auto"/>
        </w:rPr>
        <w:t>Excise Tax</w:t>
      </w:r>
      <w:r>
        <w:rPr>
          <w:rFonts w:ascii="Arial" w:cs="Arial" w:eastAsia="Arial" w:hAnsi="Arial"/>
          <w:sz w:val="18"/>
          <w:szCs w:val="18"/>
          <w:color w:val="auto"/>
        </w:rPr>
        <w:t>”) payable under Section 4999 of the Internal Revenue Code of 1986, as</w:t>
      </w:r>
    </w:p>
    <w:p>
      <w:pPr>
        <w:sectPr>
          <w:pgSz w:w="11900" w:h="16838" w:orient="portrait"/>
          <w:cols w:equalWidth="0" w:num="1">
            <w:col w:w="11240"/>
          </w:cols>
          <w:pgMar w:left="320" w:top="1413" w:right="339" w:bottom="1440" w:gutter="0" w:footer="0" w:header="0"/>
        </w:sectPr>
      </w:pPr>
    </w:p>
    <w:bookmarkStart w:id="173" w:name="page174"/>
    <w:bookmarkEnd w:id="173"/>
    <w:p>
      <w:pPr>
        <w:spacing w:after="0" w:line="9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amended (the “</w:t>
      </w:r>
      <w:r>
        <w:rPr>
          <w:rFonts w:ascii="Arial" w:cs="Arial" w:eastAsia="Arial" w:hAnsi="Arial"/>
          <w:sz w:val="18"/>
          <w:szCs w:val="18"/>
          <w:u w:val="single" w:color="auto"/>
          <w:color w:val="auto"/>
        </w:rPr>
        <w:t>Code</w:t>
      </w:r>
      <w:r>
        <w:rPr>
          <w:rFonts w:ascii="Arial" w:cs="Arial" w:eastAsia="Arial" w:hAnsi="Arial"/>
          <w:sz w:val="18"/>
          <w:szCs w:val="18"/>
          <w:color w:val="auto"/>
        </w:rPr>
        <w:t xml:space="preserve">”), the amount of any Company Payments shall be automatically reduced to an amount one dollar less than an amount that would subject the Recipient to the Excise Tax;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reduction shall occur only if the reduced Company Payments received by the Recipient (after taking into account further reductions for applicable federal, state and local income, social security and other taxes) would be greater than the unreduced Company Payments to be received by the Recipient minus (i) the Excise Tax payable with respect to such Company Payments and (ii) all applicable federal, state and local income, social security and other taxes on such Company Payments. If the Company Payments are to be reduced in accordance with the foregoing, the Company Payments shall be reduced as mutually agreed between the Company and the Recipient or, in the event the parties cannot agree, in the following order: (1) acceleration of vesting of any option where the exercise price exceeds the fair market value of the underlying shares at the time the acceleration would otherwise occur; (2) any lump-sum severance based on a multiple of base salary or bonus; (3) any other cash amounts payable to the Recipient; (4) any benefits valued as parachute payments; and (5) acceleration of vesting of any equity not covered by (1) above.</w:t>
      </w:r>
    </w:p>
    <w:p>
      <w:pPr>
        <w:spacing w:after="0" w:line="194" w:lineRule="exact"/>
        <w:rPr>
          <w:sz w:val="20"/>
          <w:szCs w:val="20"/>
          <w:color w:val="auto"/>
        </w:rPr>
      </w:pPr>
    </w:p>
    <w:p>
      <w:pPr>
        <w:ind w:right="180" w:firstLine="1304"/>
        <w:spacing w:after="0" w:line="271" w:lineRule="auto"/>
        <w:tabs>
          <w:tab w:leader="none" w:pos="1721" w:val="left"/>
        </w:tabs>
        <w:numPr>
          <w:ilvl w:val="0"/>
          <w:numId w:val="111"/>
        </w:numPr>
        <w:rPr>
          <w:rFonts w:ascii="Arial" w:cs="Arial" w:eastAsia="Arial" w:hAnsi="Arial"/>
          <w:sz w:val="17"/>
          <w:szCs w:val="17"/>
          <w:color w:val="auto"/>
        </w:rPr>
      </w:pPr>
      <w:r>
        <w:rPr>
          <w:rFonts w:ascii="Arial" w:cs="Arial" w:eastAsia="Arial" w:hAnsi="Arial"/>
          <w:sz w:val="17"/>
          <w:szCs w:val="17"/>
          <w:color w:val="auto"/>
        </w:rPr>
        <w:t>Unless a later delivery date is elected by the Recipient at a time and in a manner which complies with the requirements of Section 409A of the Code (and the regulations thereunder), shares of Company Stock issuable pursuant to the vesting of Restricted Stock Units shall be delivered on the earlier of (1) the termination of the Recipient’s service as a member of the Board, (2) the seventh anniversary of the date of grant of the Restricted Stock Units and (3) the date of a Change in Control (provided that the shares of Company Stock may be delivered upon such Change in Control without violating Section 409A of the Code). With respect to Restricted Stock Units which become vested following termination of the Recipient’s service as a member of the Board pursuant to the last two sentences of Section 2(a), shares of Company Stock with respect thereto shall be delivered as soon as practicable following vesting, unless a later delivery date is elected by the Recipient at a time and in a manner which complies with the requirements of Section 409A of the Code (and the regulations thereunder).</w:t>
      </w:r>
    </w:p>
    <w:p>
      <w:pPr>
        <w:spacing w:after="0" w:line="174" w:lineRule="exact"/>
        <w:rPr>
          <w:sz w:val="20"/>
          <w:szCs w:val="20"/>
          <w:color w:val="auto"/>
        </w:rPr>
      </w:pPr>
    </w:p>
    <w:p>
      <w:pPr>
        <w:ind w:right="260" w:firstLine="1304"/>
        <w:spacing w:after="0" w:line="266" w:lineRule="auto"/>
        <w:tabs>
          <w:tab w:leader="none" w:pos="1944"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Termination of Service</w:t>
      </w:r>
      <w:r>
        <w:rPr>
          <w:rFonts w:ascii="Arial" w:cs="Arial" w:eastAsia="Arial" w:hAnsi="Arial"/>
          <w:sz w:val="18"/>
          <w:szCs w:val="18"/>
          <w:color w:val="auto"/>
        </w:rPr>
        <w:t>. Subject to the terms of the Plan and Section 2 hereof, if the Recipient’s service on the Board is</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terminated for any reason (other than as set forth in Section 2 hereof), the Recipient shall forfeit any or all of the shares of Company Stock subject to the Restricted Stock Unit that have not vested in accordance with Section 2 hereof.</w:t>
      </w:r>
    </w:p>
    <w:p>
      <w:pPr>
        <w:spacing w:after="0" w:line="67" w:lineRule="exact"/>
        <w:rPr>
          <w:rFonts w:ascii="Arial" w:cs="Arial" w:eastAsia="Arial" w:hAnsi="Arial"/>
          <w:sz w:val="18"/>
          <w:szCs w:val="18"/>
          <w:color w:val="auto"/>
        </w:rPr>
      </w:pPr>
    </w:p>
    <w:p>
      <w:pPr>
        <w:jc w:val="both"/>
        <w:ind w:firstLine="1304"/>
        <w:spacing w:after="0" w:line="266" w:lineRule="auto"/>
        <w:tabs>
          <w:tab w:leader="none" w:pos="1944"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Securities Laws Requirements</w:t>
      </w:r>
      <w:r>
        <w:rPr>
          <w:rFonts w:ascii="Arial" w:cs="Arial" w:eastAsia="Arial" w:hAnsi="Arial"/>
          <w:sz w:val="18"/>
          <w:szCs w:val="18"/>
          <w:color w:val="auto"/>
        </w:rPr>
        <w:t>. The Company shall not be obligated to transfer any shares of Company Stock to the Recipient,</w:t>
      </w:r>
      <w:r>
        <w:rPr>
          <w:rFonts w:ascii="Arial" w:cs="Arial" w:eastAsia="Arial" w:hAnsi="Arial"/>
          <w:sz w:val="18"/>
          <w:szCs w:val="18"/>
          <w:b w:val="1"/>
          <w:bCs w:val="1"/>
          <w:color w:val="auto"/>
        </w:rPr>
        <w:t xml:space="preserve"> </w:t>
      </w:r>
      <w:r>
        <w:rPr>
          <w:rFonts w:ascii="Arial" w:cs="Arial" w:eastAsia="Arial" w:hAnsi="Arial"/>
          <w:sz w:val="18"/>
          <w:szCs w:val="18"/>
          <w:color w:val="auto"/>
        </w:rPr>
        <w:t>if such transfer, in the opinion of counsel for the Company, would violate the Securities Act (or any other federal or state statutes having similar requirements as may be in effect at that time).</w:t>
      </w:r>
    </w:p>
    <w:p>
      <w:pPr>
        <w:spacing w:after="0" w:line="67" w:lineRule="exact"/>
        <w:rPr>
          <w:rFonts w:ascii="Arial" w:cs="Arial" w:eastAsia="Arial" w:hAnsi="Arial"/>
          <w:sz w:val="18"/>
          <w:szCs w:val="18"/>
          <w:color w:val="auto"/>
        </w:rPr>
      </w:pPr>
    </w:p>
    <w:p>
      <w:pPr>
        <w:ind w:right="20" w:firstLine="1304"/>
        <w:spacing w:after="0" w:line="261" w:lineRule="auto"/>
        <w:tabs>
          <w:tab w:leader="none" w:pos="1944"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Invalid Transfers</w:t>
      </w:r>
      <w:r>
        <w:rPr>
          <w:rFonts w:ascii="Arial" w:cs="Arial" w:eastAsia="Arial" w:hAnsi="Arial"/>
          <w:sz w:val="18"/>
          <w:szCs w:val="18"/>
          <w:color w:val="auto"/>
        </w:rPr>
        <w:t>. No purported sale, assignment, mortgage, hypothecation, transfer, pledge, encumbrance, gift, transfer in trust</w:t>
      </w:r>
      <w:r>
        <w:rPr>
          <w:rFonts w:ascii="Arial" w:cs="Arial" w:eastAsia="Arial" w:hAnsi="Arial"/>
          <w:sz w:val="18"/>
          <w:szCs w:val="18"/>
          <w:b w:val="1"/>
          <w:bCs w:val="1"/>
          <w:color w:val="auto"/>
        </w:rPr>
        <w:t xml:space="preserve"> </w:t>
      </w:r>
      <w:r>
        <w:rPr>
          <w:rFonts w:ascii="Arial" w:cs="Arial" w:eastAsia="Arial" w:hAnsi="Arial"/>
          <w:sz w:val="18"/>
          <w:szCs w:val="18"/>
          <w:color w:val="auto"/>
        </w:rPr>
        <w:t>(voting or other) or other disposition of, or creation of a security interest in or lien on, any of the Restricted Stock Units by any holder thereof in violation of the provisions of this Agreement or the Certificate of Incorporation or the By-Laws of the Company shall be valid. The foregoing restrictions are in addition to and not in lieu of any other remedies, legal or equitable, available to enforce said provisions.</w:t>
      </w:r>
    </w:p>
    <w:p>
      <w:pPr>
        <w:spacing w:after="0" w:line="71" w:lineRule="exact"/>
        <w:rPr>
          <w:rFonts w:ascii="Arial" w:cs="Arial" w:eastAsia="Arial" w:hAnsi="Arial"/>
          <w:sz w:val="18"/>
          <w:szCs w:val="18"/>
          <w:color w:val="auto"/>
        </w:rPr>
      </w:pPr>
    </w:p>
    <w:p>
      <w:pPr>
        <w:ind w:right="80" w:firstLine="1304"/>
        <w:spacing w:after="0" w:line="271" w:lineRule="auto"/>
        <w:tabs>
          <w:tab w:leader="none" w:pos="1944" w:val="left"/>
        </w:tabs>
        <w:numPr>
          <w:ilvl w:val="0"/>
          <w:numId w:val="112"/>
        </w:numPr>
        <w:rPr>
          <w:rFonts w:ascii="Arial" w:cs="Arial" w:eastAsia="Arial" w:hAnsi="Arial"/>
          <w:sz w:val="17"/>
          <w:szCs w:val="17"/>
          <w:color w:val="auto"/>
        </w:rPr>
      </w:pPr>
      <w:r>
        <w:rPr>
          <w:rFonts w:ascii="Arial" w:cs="Arial" w:eastAsia="Arial" w:hAnsi="Arial"/>
          <w:sz w:val="17"/>
          <w:szCs w:val="17"/>
          <w:b w:val="1"/>
          <w:bCs w:val="1"/>
          <w:color w:val="auto"/>
        </w:rPr>
        <w:t>Rights as a Shareholder</w:t>
      </w:r>
      <w:r>
        <w:rPr>
          <w:rFonts w:ascii="Arial" w:cs="Arial" w:eastAsia="Arial" w:hAnsi="Arial"/>
          <w:sz w:val="17"/>
          <w:szCs w:val="17"/>
          <w:color w:val="auto"/>
        </w:rPr>
        <w:t>. The Recipient will not have the rights of a shareholder with respect to shares of Company Stock</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Restricted Stock Units until the vesting of the Restricted Stock Units and the delivery of shares of Company Stock with respect to such vesting. To the extent that the Company declares a cash dividend while all or a portion of the Restricted Stock Units are unvested, the Recipient shall be credited with dividend equivalent rights with respect to each share of Company Stock subject to the unvested portion of the Restricted Stock Units. Such dividend equivalent right will entitle the Recipient to payment of such dividend only upon vesting of the corresponding portion of the Restricted Stock Unit; and such right will be forfeited to the extent the corresponding portion of the Restricted Stock Unit is forfeited. The Company may, in its sole discretion, determine to deliver any documents related to participation in the Plan or deliverable to the Recipient in the Recipient’s capacity as a shareholder of the Company by electronic means. The Recipient hereby consents to receive any and all such documents by electronic delivery to the extent the Company utilizes such delivery method from time to time.</w:t>
      </w:r>
    </w:p>
    <w:p>
      <w:pPr>
        <w:spacing w:after="0" w:line="65" w:lineRule="exact"/>
        <w:rPr>
          <w:rFonts w:ascii="Arial" w:cs="Arial" w:eastAsia="Arial" w:hAnsi="Arial"/>
          <w:sz w:val="17"/>
          <w:szCs w:val="17"/>
          <w:color w:val="auto"/>
        </w:rPr>
      </w:pPr>
    </w:p>
    <w:p>
      <w:pPr>
        <w:jc w:val="both"/>
        <w:ind w:right="140" w:firstLine="1304"/>
        <w:spacing w:after="0" w:line="266" w:lineRule="auto"/>
        <w:tabs>
          <w:tab w:leader="none" w:pos="1944"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Compliance with Law and Regulations</w:t>
      </w:r>
      <w:r>
        <w:rPr>
          <w:rFonts w:ascii="Arial" w:cs="Arial" w:eastAsia="Arial" w:hAnsi="Arial"/>
          <w:sz w:val="18"/>
          <w:szCs w:val="18"/>
          <w:color w:val="auto"/>
        </w:rPr>
        <w:t>. This Agreement, the award hereunder and any obligation of the Company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subject to all applicable federal, state and local laws, rules and regulations and to such approvals by any government or regulatory agency as may be required. Except to the extent</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9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preempted by any federal law, this Agreement shall be construed and administered in accordance with the laws of the State of New York without reference to its principles of conflicts of law.</w:t>
      </w:r>
    </w:p>
    <w:p>
      <w:pPr>
        <w:spacing w:after="0" w:line="58" w:lineRule="exact"/>
        <w:rPr>
          <w:sz w:val="20"/>
          <w:szCs w:val="20"/>
          <w:color w:val="auto"/>
        </w:rPr>
      </w:pPr>
    </w:p>
    <w:p>
      <w:pPr>
        <w:jc w:val="both"/>
        <w:ind w:firstLine="1304"/>
        <w:spacing w:after="0" w:line="314" w:lineRule="auto"/>
        <w:tabs>
          <w:tab w:leader="none" w:pos="1944" w:val="left"/>
        </w:tabs>
        <w:numPr>
          <w:ilvl w:val="0"/>
          <w:numId w:val="113"/>
        </w:numPr>
        <w:rPr>
          <w:rFonts w:ascii="Arial" w:cs="Arial" w:eastAsia="Arial" w:hAnsi="Arial"/>
          <w:sz w:val="16"/>
          <w:szCs w:val="16"/>
          <w:color w:val="auto"/>
        </w:rPr>
      </w:pPr>
      <w:r>
        <w:rPr>
          <w:rFonts w:ascii="Arial" w:cs="Arial" w:eastAsia="Arial" w:hAnsi="Arial"/>
          <w:sz w:val="16"/>
          <w:szCs w:val="16"/>
          <w:b w:val="1"/>
          <w:bCs w:val="1"/>
          <w:color w:val="auto"/>
        </w:rPr>
        <w:t>Recipient Bound by Plan</w:t>
      </w:r>
      <w:r>
        <w:rPr>
          <w:rFonts w:ascii="Arial" w:cs="Arial" w:eastAsia="Arial" w:hAnsi="Arial"/>
          <w:sz w:val="16"/>
          <w:szCs w:val="16"/>
          <w:color w:val="auto"/>
        </w:rPr>
        <w:t>. The Recipient acknowledges receipt of a copy of this Agreement and the Plan and agrees to be</w:t>
      </w:r>
      <w:r>
        <w:rPr>
          <w:rFonts w:ascii="Arial" w:cs="Arial" w:eastAsia="Arial" w:hAnsi="Arial"/>
          <w:sz w:val="16"/>
          <w:szCs w:val="16"/>
          <w:b w:val="1"/>
          <w:bCs w:val="1"/>
          <w:color w:val="auto"/>
        </w:rPr>
        <w:t xml:space="preserve"> </w:t>
      </w:r>
      <w:r>
        <w:rPr>
          <w:rFonts w:ascii="Arial" w:cs="Arial" w:eastAsia="Arial" w:hAnsi="Arial"/>
          <w:sz w:val="16"/>
          <w:szCs w:val="16"/>
          <w:color w:val="auto"/>
        </w:rPr>
        <w:t>bound by all the terms and provisions thereof, which are incorporated herein by reference. To the extent that this Agreement is silent with respect to, or in any way inconsistent with, the terms of the Plan, the provisions of the Plan shall govern and this Agreement shall be deemed to be modified accordingly.</w:t>
      </w:r>
    </w:p>
    <w:p>
      <w:pPr>
        <w:spacing w:after="0" w:line="33" w:lineRule="exact"/>
        <w:rPr>
          <w:rFonts w:ascii="Arial" w:cs="Arial" w:eastAsia="Arial" w:hAnsi="Arial"/>
          <w:sz w:val="16"/>
          <w:szCs w:val="16"/>
          <w:color w:val="auto"/>
        </w:rPr>
      </w:pPr>
    </w:p>
    <w:p>
      <w:pPr>
        <w:jc w:val="both"/>
        <w:ind w:firstLine="1304"/>
        <w:spacing w:after="0" w:line="277" w:lineRule="auto"/>
        <w:tabs>
          <w:tab w:leader="none" w:pos="1944" w:val="left"/>
        </w:tabs>
        <w:numPr>
          <w:ilvl w:val="0"/>
          <w:numId w:val="113"/>
        </w:numPr>
        <w:rPr>
          <w:rFonts w:ascii="Arial" w:cs="Arial" w:eastAsia="Arial" w:hAnsi="Arial"/>
          <w:sz w:val="17"/>
          <w:szCs w:val="17"/>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Any notice or communication given hereunder shall be in writing and shall be deemed given when delivered in person,</w:t>
      </w:r>
      <w:r>
        <w:rPr>
          <w:rFonts w:ascii="Arial" w:cs="Arial" w:eastAsia="Arial" w:hAnsi="Arial"/>
          <w:sz w:val="17"/>
          <w:szCs w:val="17"/>
          <w:b w:val="1"/>
          <w:bCs w:val="1"/>
          <w:color w:val="auto"/>
        </w:rPr>
        <w:t xml:space="preserve"> </w:t>
      </w:r>
      <w:r>
        <w:rPr>
          <w:rFonts w:ascii="Arial" w:cs="Arial" w:eastAsia="Arial" w:hAnsi="Arial"/>
          <w:sz w:val="17"/>
          <w:szCs w:val="17"/>
          <w:color w:val="auto"/>
        </w:rPr>
        <w:t>or by United States mail, at the following addresses: (i) if to the Company, to: Regeneron Pharmaceuticals, Inc., 777 Old Saw Mill River Road, Tarrytown, NY 10591, Attention: Secretary, and (ii) if to the Recipient, to: the Recipient at Regeneron Pharmaceuticals, Inc., 777 Old Saw Mill River Road, Tarrytown, NY 10591, or, if the Recipient has terminated service with the Company, to the last address for the Recipient indicated in the records of the Company, or such other address as the relevant party shall specify at any time hereafter in accordance with this Section 9.</w:t>
      </w:r>
    </w:p>
    <w:p>
      <w:pPr>
        <w:sectPr>
          <w:pgSz w:w="11900" w:h="16838" w:orient="portrait"/>
          <w:cols w:equalWidth="0" w:num="1">
            <w:col w:w="11240"/>
          </w:cols>
          <w:pgMar w:left="320" w:top="1440" w:right="3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color w:val="auto"/>
        </w:rPr>
        <w:t>Exhibit 10.3.7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1"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REGENERON PHARMACEUTICALS, INC.</w:t>
      </w:r>
    </w:p>
    <w:p>
      <w:pPr>
        <w:spacing w:after="0" w:line="63"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 xml:space="preserve">ID: </w:t>
      </w:r>
      <w:r>
        <w:rPr>
          <w:rFonts w:ascii="Arial" w:cs="Arial" w:eastAsia="Arial" w:hAnsi="Arial"/>
          <w:sz w:val="18"/>
          <w:szCs w:val="18"/>
          <w:color w:val="auto"/>
        </w:rPr>
        <w:t>13-3444607</w:t>
      </w:r>
    </w:p>
    <w:p>
      <w:pPr>
        <w:spacing w:after="0" w:line="8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777 Old Saw Mill River Road</w:t>
      </w:r>
    </w:p>
    <w:p>
      <w:pPr>
        <w:spacing w:after="0" w:line="6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Tarrytown, NY 10591</w:t>
      </w:r>
    </w:p>
    <w:p>
      <w:pPr>
        <w:spacing w:after="0" w:line="357" w:lineRule="exact"/>
        <w:rPr>
          <w:sz w:val="20"/>
          <w:szCs w:val="20"/>
          <w:color w:val="auto"/>
        </w:rPr>
      </w:pPr>
    </w:p>
    <w:p>
      <w:pPr>
        <w:jc w:val="both"/>
        <w:ind w:right="20"/>
        <w:spacing w:after="0" w:line="288" w:lineRule="auto"/>
        <w:rPr>
          <w:sz w:val="20"/>
          <w:szCs w:val="20"/>
          <w:color w:val="auto"/>
        </w:rPr>
      </w:pPr>
      <w:r>
        <w:rPr>
          <w:rFonts w:ascii="Arial" w:cs="Arial" w:eastAsia="Arial" w:hAnsi="Arial"/>
          <w:sz w:val="25"/>
          <w:szCs w:val="25"/>
          <w:b w:val="1"/>
          <w:bCs w:val="1"/>
          <w:color w:val="auto"/>
        </w:rPr>
        <w:t>Notice of Grant of Performance Restricted Stock Units and Performance Restricted Stock Unit Agreement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69862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15">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80" w:type="dxa"/>
            <w:vAlign w:val="bottom"/>
          </w:tcPr>
          <w:p>
            <w:pPr>
              <w:ind w:left="20"/>
              <w:spacing w:after="0"/>
              <w:rPr>
                <w:sz w:val="20"/>
                <w:szCs w:val="20"/>
                <w:color w:val="auto"/>
              </w:rPr>
            </w:pPr>
            <w:r>
              <w:rPr>
                <w:rFonts w:ascii="Arial" w:cs="Arial" w:eastAsia="Arial" w:hAnsi="Arial"/>
                <w:sz w:val="18"/>
                <w:szCs w:val="18"/>
                <w:b w:val="1"/>
                <w:bCs w:val="1"/>
                <w:color w:val="auto"/>
              </w:rPr>
              <w:t>[NAME]</w:t>
            </w:r>
          </w:p>
        </w:tc>
        <w:tc>
          <w:tcPr>
            <w:tcW w:w="5420" w:type="dxa"/>
            <w:vAlign w:val="bottom"/>
          </w:tcPr>
          <w:p>
            <w:pPr>
              <w:ind w:left="2480"/>
              <w:spacing w:after="0"/>
              <w:rPr>
                <w:sz w:val="20"/>
                <w:szCs w:val="20"/>
                <w:color w:val="auto"/>
              </w:rPr>
            </w:pPr>
            <w:r>
              <w:rPr>
                <w:rFonts w:ascii="Arial" w:cs="Arial" w:eastAsia="Arial" w:hAnsi="Arial"/>
                <w:sz w:val="18"/>
                <w:szCs w:val="18"/>
                <w:b w:val="1"/>
                <w:bCs w:val="1"/>
                <w:color w:val="auto"/>
              </w:rPr>
              <w:t>Performance RSU Number:</w:t>
            </w: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730"/>
              <w:spacing w:after="0"/>
              <w:rPr>
                <w:sz w:val="20"/>
                <w:szCs w:val="20"/>
                <w:color w:val="auto"/>
              </w:rPr>
            </w:pPr>
            <w:r>
              <w:rPr>
                <w:rFonts w:ascii="Arial" w:cs="Arial" w:eastAsia="Arial" w:hAnsi="Arial"/>
                <w:sz w:val="18"/>
                <w:szCs w:val="18"/>
                <w:b w:val="1"/>
                <w:bCs w:val="1"/>
                <w:color w:val="auto"/>
              </w:rPr>
              <w:t>]</w:t>
            </w:r>
          </w:p>
        </w:tc>
      </w:tr>
      <w:tr>
        <w:trPr>
          <w:trHeight w:val="270"/>
        </w:trPr>
        <w:tc>
          <w:tcPr>
            <w:tcW w:w="3480" w:type="dxa"/>
            <w:vAlign w:val="bottom"/>
          </w:tcPr>
          <w:p>
            <w:pPr>
              <w:ind w:left="20"/>
              <w:spacing w:after="0"/>
              <w:rPr>
                <w:sz w:val="20"/>
                <w:szCs w:val="20"/>
                <w:color w:val="auto"/>
              </w:rPr>
            </w:pPr>
            <w:r>
              <w:rPr>
                <w:rFonts w:ascii="Arial" w:cs="Arial" w:eastAsia="Arial" w:hAnsi="Arial"/>
                <w:sz w:val="18"/>
                <w:szCs w:val="18"/>
                <w:b w:val="1"/>
                <w:bCs w:val="1"/>
                <w:color w:val="auto"/>
              </w:rPr>
              <w:t>[ADDRESS]</w:t>
            </w:r>
          </w:p>
        </w:tc>
        <w:tc>
          <w:tcPr>
            <w:tcW w:w="5420" w:type="dxa"/>
            <w:vAlign w:val="bottom"/>
          </w:tcPr>
          <w:p>
            <w:pPr>
              <w:ind w:left="2480"/>
              <w:spacing w:after="0"/>
              <w:rPr>
                <w:sz w:val="20"/>
                <w:szCs w:val="20"/>
                <w:color w:val="auto"/>
              </w:rPr>
            </w:pPr>
            <w:r>
              <w:rPr>
                <w:rFonts w:ascii="Arial" w:cs="Arial" w:eastAsia="Arial" w:hAnsi="Arial"/>
                <w:sz w:val="18"/>
                <w:szCs w:val="18"/>
                <w:b w:val="1"/>
                <w:bCs w:val="1"/>
                <w:color w:val="auto"/>
              </w:rPr>
              <w:t>Plan:</w:t>
            </w: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730"/>
              <w:spacing w:after="0"/>
              <w:rPr>
                <w:sz w:val="20"/>
                <w:szCs w:val="20"/>
                <w:color w:val="auto"/>
              </w:rPr>
            </w:pPr>
            <w:r>
              <w:rPr>
                <w:rFonts w:ascii="Arial" w:cs="Arial" w:eastAsia="Arial" w:hAnsi="Arial"/>
                <w:sz w:val="18"/>
                <w:szCs w:val="18"/>
                <w:b w:val="1"/>
                <w:bCs w:val="1"/>
                <w:color w:val="auto"/>
              </w:rPr>
              <w:t>]</w:t>
            </w:r>
          </w:p>
        </w:tc>
      </w:tr>
      <w:tr>
        <w:trPr>
          <w:trHeight w:val="270"/>
        </w:trPr>
        <w:tc>
          <w:tcPr>
            <w:tcW w:w="3480" w:type="dxa"/>
            <w:vAlign w:val="bottom"/>
          </w:tcPr>
          <w:p>
            <w:pPr>
              <w:spacing w:after="0"/>
              <w:rPr>
                <w:sz w:val="23"/>
                <w:szCs w:val="23"/>
                <w:color w:val="auto"/>
              </w:rPr>
            </w:pPr>
          </w:p>
        </w:tc>
        <w:tc>
          <w:tcPr>
            <w:tcW w:w="5420" w:type="dxa"/>
            <w:vAlign w:val="bottom"/>
          </w:tcPr>
          <w:p>
            <w:pPr>
              <w:ind w:left="2480"/>
              <w:spacing w:after="0"/>
              <w:rPr>
                <w:sz w:val="20"/>
                <w:szCs w:val="20"/>
                <w:color w:val="auto"/>
              </w:rPr>
            </w:pPr>
            <w:r>
              <w:rPr>
                <w:rFonts w:ascii="Arial" w:cs="Arial" w:eastAsia="Arial" w:hAnsi="Arial"/>
                <w:sz w:val="18"/>
                <w:szCs w:val="18"/>
                <w:b w:val="1"/>
                <w:bCs w:val="1"/>
                <w:color w:val="auto"/>
              </w:rPr>
              <w:t>ID:</w:t>
            </w: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730"/>
              <w:spacing w:after="0"/>
              <w:rPr>
                <w:sz w:val="20"/>
                <w:szCs w:val="20"/>
                <w:color w:val="auto"/>
              </w:rPr>
            </w:pPr>
            <w:r>
              <w:rPr>
                <w:rFonts w:ascii="Arial" w:cs="Arial" w:eastAsia="Arial" w:hAnsi="Arial"/>
                <w:sz w:val="18"/>
                <w:szCs w:val="18"/>
                <w:b w:val="1"/>
                <w:bCs w:val="1"/>
                <w:color w:val="auto"/>
              </w:rPr>
              <w:t>]</w:t>
            </w:r>
          </w:p>
        </w:tc>
      </w:tr>
      <w:tr>
        <w:trPr>
          <w:trHeight w:val="297"/>
        </w:trPr>
        <w:tc>
          <w:tcPr>
            <w:tcW w:w="348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8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Effective &lt;date&gt;, (the “Grant Date”) you have been granted Performance Restricted Stock Units with respect to a target number of [ ] shares of REGENERON PHARMACEUTICALS, INC. (the “Company”) common stock (the “Target PSU”). Please refer to Section 2, Definitions below for definitions of certain terms used in this Notice. Any capitalized term used but not defined in this Notice shall have the meaning given to such term in the Plan.</w:t>
      </w:r>
    </w:p>
    <w:p>
      <w:pPr>
        <w:spacing w:after="0" w:line="237" w:lineRule="exact"/>
        <w:rPr>
          <w:sz w:val="20"/>
          <w:szCs w:val="20"/>
          <w:color w:val="auto"/>
        </w:rPr>
      </w:pPr>
    </w:p>
    <w:p>
      <w:pPr>
        <w:ind w:left="220" w:hanging="212"/>
        <w:spacing w:after="0"/>
        <w:tabs>
          <w:tab w:leader="none" w:pos="220" w:val="left"/>
        </w:tabs>
        <w:numPr>
          <w:ilvl w:val="0"/>
          <w:numId w:val="114"/>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Vesting Criteria and Rules</w:t>
      </w:r>
      <w:r>
        <w:rPr>
          <w:rFonts w:ascii="Arial" w:cs="Arial" w:eastAsia="Arial" w:hAnsi="Arial"/>
          <w:sz w:val="20"/>
          <w:szCs w:val="20"/>
          <w:color w:val="auto"/>
        </w:rPr>
        <w:t>.</w:t>
      </w:r>
    </w:p>
    <w:p>
      <w:pPr>
        <w:spacing w:after="0" w:line="242" w:lineRule="exact"/>
        <w:rPr>
          <w:rFonts w:ascii="Arial" w:cs="Arial" w:eastAsia="Arial" w:hAnsi="Arial"/>
          <w:sz w:val="20"/>
          <w:szCs w:val="20"/>
          <w:u w:val="single" w:color="auto"/>
          <w:color w:val="auto"/>
        </w:rPr>
      </w:pPr>
    </w:p>
    <w:p>
      <w:pPr>
        <w:ind w:left="660"/>
        <w:spacing w:after="0"/>
        <w:rPr>
          <w:rFonts w:ascii="Arial" w:cs="Arial" w:eastAsia="Arial" w:hAnsi="Arial"/>
          <w:sz w:val="20"/>
          <w:szCs w:val="20"/>
          <w:u w:val="single" w:color="auto"/>
          <w:color w:val="auto"/>
        </w:rPr>
      </w:pPr>
      <w:r>
        <w:rPr>
          <w:rFonts w:ascii="Arial" w:cs="Arial" w:eastAsia="Arial" w:hAnsi="Arial"/>
          <w:sz w:val="20"/>
          <w:szCs w:val="20"/>
          <w:u w:val="single" w:color="auto"/>
          <w:color w:val="auto"/>
        </w:rPr>
        <w:t>A. Primary Performance Criteria</w:t>
      </w:r>
      <w:r>
        <w:rPr>
          <w:rFonts w:ascii="Arial" w:cs="Arial" w:eastAsia="Arial" w:hAnsi="Arial"/>
          <w:sz w:val="20"/>
          <w:szCs w:val="20"/>
          <w:color w:val="auto"/>
        </w:rPr>
        <w:t>.</w:t>
      </w:r>
    </w:p>
    <w:p>
      <w:pPr>
        <w:spacing w:after="0" w:line="243"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Performance Restricted Stock Units shall be earned and eligible to vest based on TSR (as defined below) determinations that are to be made commencing on March 15, 2021 with respect to the Threshold level of performance set forth in the table below and commencing December 31, 2023 with respect to levels above such Threshold level of performance, subject to earlier determinations upon a Change in Control and in connection with certain terminations of Service (as defined below and further described in Section 1.C. below). To the extent that Performance Restricted Stock Units do not vest on or before December 31, 2025 (the period from the Grant Date until such date, the "Performance Period") either (1) pursuant to the criteria set forth in this Section 1.A. (the “Primary Performance Criteria”) or (2) pursuant to the criteria set forth in Section 1.B. (the “Secondary Performance Criteria”), such Performance Restricted Stock Units shall be forfeited on such date, subject to earlier vesting or termination pursuant to the application of the Special Vesting Rules Upon Certain Terminations and Change in Control set forth in Section 1.C.</w:t>
      </w:r>
    </w:p>
    <w:p>
      <w:pPr>
        <w:spacing w:after="0" w:line="23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If and to the extent earned pursuant to the Primary Performance Criteria or the Secondary Performance Criteria, the Performance Restricted Stock Units shall vest on December 31, 2025, subject to your continuous employment with the Company or service as a member of the Board of Directors or as a consultant to the Company on such date (such employment, service as a member of the Board of Directors, or service as a consultant to the Company is referred to herein as “Service”). Rules regarding</w:t>
      </w:r>
    </w:p>
    <w:p>
      <w:pPr>
        <w:sectPr>
          <w:pgSz w:w="11900" w:h="16838" w:orient="portrait"/>
          <w:cols w:equalWidth="0" w:num="1">
            <w:col w:w="11240"/>
          </w:cols>
          <w:pgMar w:left="320" w:top="1421" w:right="339" w:bottom="1440" w:gutter="0" w:footer="0" w:header="0"/>
        </w:sectPr>
      </w:pPr>
    </w:p>
    <w:bookmarkStart w:id="176" w:name="page177"/>
    <w:bookmarkEnd w:id="176"/>
    <w:p>
      <w:pPr>
        <w:jc w:val="both"/>
        <w:spacing w:after="0" w:line="246" w:lineRule="auto"/>
        <w:rPr>
          <w:sz w:val="20"/>
          <w:szCs w:val="20"/>
          <w:color w:val="auto"/>
        </w:rPr>
      </w:pPr>
      <w:r>
        <w:rPr>
          <w:rFonts w:ascii="Arial" w:cs="Arial" w:eastAsia="Arial" w:hAnsi="Arial"/>
          <w:sz w:val="20"/>
          <w:szCs w:val="20"/>
          <w:color w:val="auto"/>
        </w:rPr>
        <w:t>the timing of issuance of shares of Company Stock in connection with the vesting of Performance Restricted Stock Units are set forth below under Section 1.D. (“Delivery Rules”).</w:t>
      </w:r>
    </w:p>
    <w:p>
      <w:pPr>
        <w:spacing w:after="0" w:line="231" w:lineRule="exact"/>
        <w:rPr>
          <w:sz w:val="20"/>
          <w:szCs w:val="20"/>
          <w:color w:val="auto"/>
        </w:rPr>
      </w:pPr>
    </w:p>
    <w:p>
      <w:pPr>
        <w:jc w:val="both"/>
        <w:spacing w:after="0"/>
        <w:rPr>
          <w:sz w:val="20"/>
          <w:szCs w:val="20"/>
          <w:color w:val="auto"/>
        </w:rPr>
      </w:pPr>
      <w:r>
        <w:rPr>
          <w:rFonts w:ascii="Arial" w:cs="Arial" w:eastAsia="Arial" w:hAnsi="Arial"/>
          <w:sz w:val="20"/>
          <w:szCs w:val="20"/>
          <w:color w:val="auto"/>
        </w:rPr>
        <w:t>Attainment of the Primary Performance Criteria shall be based on attainment of the price target goals set forth in the “Price Target” column of the table below (the “Price Target Goals”), which attainment shall be measured using the Ending Stock Price as compared to the Price Target Goals. The Price Target Goals shall be subject to adjustment by the Committee in its discretion for any dividends or other shareholder distributions paid with respect to Company Stock during the Performance Period, recapitalizations or similar events. The number of shares of Company Stock, if any, earned in respect of the attainment of the Primary Performance Criteria shall be determined as follows:</w:t>
      </w:r>
    </w:p>
    <w:p>
      <w:pPr>
        <w:spacing w:after="0" w:line="216" w:lineRule="exact"/>
        <w:rPr>
          <w:sz w:val="20"/>
          <w:szCs w:val="20"/>
          <w:color w:val="auto"/>
        </w:rPr>
      </w:pPr>
    </w:p>
    <w:p>
      <w:pPr>
        <w:ind w:left="2680"/>
        <w:spacing w:after="0"/>
        <w:rPr>
          <w:sz w:val="20"/>
          <w:szCs w:val="20"/>
          <w:color w:val="auto"/>
        </w:rPr>
      </w:pPr>
      <w:r>
        <w:rPr>
          <w:rFonts w:ascii="Arial" w:cs="Arial" w:eastAsia="Arial" w:hAnsi="Arial"/>
          <w:sz w:val="20"/>
          <w:szCs w:val="20"/>
          <w:b w:val="1"/>
          <w:bCs w:val="1"/>
          <w:color w:val="auto"/>
        </w:rPr>
        <w:t>Primary Performance Criteria</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ind w:left="660"/>
              <w:spacing w:after="0"/>
              <w:rPr>
                <w:sz w:val="20"/>
                <w:szCs w:val="20"/>
                <w:color w:val="auto"/>
              </w:rPr>
            </w:pPr>
            <w:r>
              <w:rPr>
                <w:rFonts w:ascii="Arial" w:cs="Arial" w:eastAsia="Arial" w:hAnsi="Arial"/>
                <w:sz w:val="18"/>
                <w:szCs w:val="18"/>
                <w:b w:val="1"/>
                <w:bCs w:val="1"/>
                <w:color w:val="2952A4"/>
              </w:rPr>
              <w:t>Performance Level</w:t>
            </w:r>
          </w:p>
        </w:tc>
        <w:tc>
          <w:tcPr>
            <w:tcW w:w="2940" w:type="dxa"/>
            <w:vAlign w:val="bottom"/>
          </w:tcPr>
          <w:p>
            <w:pPr>
              <w:ind w:left="1260"/>
              <w:spacing w:after="0"/>
              <w:rPr>
                <w:sz w:val="20"/>
                <w:szCs w:val="20"/>
                <w:color w:val="auto"/>
              </w:rPr>
            </w:pPr>
            <w:r>
              <w:rPr>
                <w:rFonts w:ascii="Arial" w:cs="Arial" w:eastAsia="Arial" w:hAnsi="Arial"/>
                <w:sz w:val="18"/>
                <w:szCs w:val="18"/>
                <w:b w:val="1"/>
                <w:bCs w:val="1"/>
                <w:color w:val="2952A4"/>
              </w:rPr>
              <w:t>Price Target</w:t>
            </w:r>
          </w:p>
        </w:tc>
        <w:tc>
          <w:tcPr>
            <w:tcW w:w="2320" w:type="dxa"/>
            <w:vAlign w:val="bottom"/>
          </w:tcPr>
          <w:p>
            <w:pPr>
              <w:jc w:val="center"/>
              <w:ind w:left="530"/>
              <w:spacing w:after="0"/>
              <w:rPr>
                <w:sz w:val="20"/>
                <w:szCs w:val="20"/>
                <w:color w:val="auto"/>
              </w:rPr>
            </w:pPr>
            <w:r>
              <w:rPr>
                <w:rFonts w:ascii="Arial" w:cs="Arial" w:eastAsia="Arial" w:hAnsi="Arial"/>
                <w:sz w:val="18"/>
                <w:szCs w:val="18"/>
                <w:b w:val="1"/>
                <w:bCs w:val="1"/>
                <w:color w:val="2952A4"/>
                <w:w w:val="99"/>
              </w:rPr>
              <w:t>Payout in Shares</w:t>
            </w:r>
          </w:p>
        </w:tc>
      </w:tr>
      <w:tr>
        <w:trPr>
          <w:trHeight w:val="216"/>
        </w:trPr>
        <w:tc>
          <w:tcPr>
            <w:tcW w:w="29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320" w:type="dxa"/>
            <w:vAlign w:val="bottom"/>
          </w:tcPr>
          <w:p>
            <w:pPr>
              <w:jc w:val="center"/>
              <w:ind w:left="550"/>
              <w:spacing w:after="0"/>
              <w:rPr>
                <w:sz w:val="20"/>
                <w:szCs w:val="20"/>
                <w:color w:val="auto"/>
              </w:rPr>
            </w:pPr>
            <w:r>
              <w:rPr>
                <w:rFonts w:ascii="Arial" w:cs="Arial" w:eastAsia="Arial" w:hAnsi="Arial"/>
                <w:sz w:val="18"/>
                <w:szCs w:val="18"/>
                <w:b w:val="1"/>
                <w:bCs w:val="1"/>
                <w:color w:val="2952A4"/>
                <w:w w:val="99"/>
              </w:rPr>
              <w:t>(as a percentage of</w:t>
            </w:r>
          </w:p>
        </w:tc>
      </w:tr>
      <w:tr>
        <w:trPr>
          <w:trHeight w:val="239"/>
        </w:trPr>
        <w:tc>
          <w:tcPr>
            <w:tcW w:w="29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320" w:type="dxa"/>
            <w:vAlign w:val="bottom"/>
          </w:tcPr>
          <w:p>
            <w:pPr>
              <w:jc w:val="center"/>
              <w:ind w:left="550"/>
              <w:spacing w:after="0"/>
              <w:rPr>
                <w:sz w:val="20"/>
                <w:szCs w:val="20"/>
                <w:color w:val="auto"/>
              </w:rPr>
            </w:pPr>
            <w:r>
              <w:rPr>
                <w:rFonts w:ascii="Arial" w:cs="Arial" w:eastAsia="Arial" w:hAnsi="Arial"/>
                <w:sz w:val="18"/>
                <w:szCs w:val="18"/>
                <w:b w:val="1"/>
                <w:bCs w:val="1"/>
                <w:color w:val="2952A4"/>
                <w:w w:val="98"/>
              </w:rPr>
              <w:t>Target)</w:t>
            </w:r>
          </w:p>
        </w:tc>
      </w:tr>
      <w:tr>
        <w:trPr>
          <w:trHeight w:val="27"/>
        </w:trPr>
        <w:tc>
          <w:tcPr>
            <w:tcW w:w="29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68"/>
        </w:trPr>
        <w:tc>
          <w:tcPr>
            <w:tcW w:w="2920" w:type="dxa"/>
            <w:vAlign w:val="bottom"/>
            <w:tcBorders>
              <w:bottom w:val="single" w:sz="8" w:color="EAEAEC"/>
            </w:tcBorders>
            <w:shd w:val="clear" w:color="auto" w:fill="EAEAEC"/>
          </w:tcPr>
          <w:p>
            <w:pPr>
              <w:ind w:left="20"/>
              <w:spacing w:after="0"/>
              <w:rPr>
                <w:sz w:val="20"/>
                <w:szCs w:val="20"/>
                <w:color w:val="auto"/>
              </w:rPr>
            </w:pPr>
            <w:r>
              <w:rPr>
                <w:rFonts w:ascii="Arial" w:cs="Arial" w:eastAsia="Arial" w:hAnsi="Arial"/>
                <w:sz w:val="18"/>
                <w:szCs w:val="18"/>
                <w:b w:val="1"/>
                <w:bCs w:val="1"/>
                <w:color w:val="231F20"/>
              </w:rPr>
              <w:t>Maximum</w:t>
            </w:r>
          </w:p>
        </w:tc>
        <w:tc>
          <w:tcPr>
            <w:tcW w:w="2940" w:type="dxa"/>
            <w:vAlign w:val="bottom"/>
            <w:tcBorders>
              <w:bottom w:val="single" w:sz="8" w:color="EAEAEC"/>
            </w:tcBorders>
            <w:shd w:val="clear" w:color="auto" w:fill="EAEAEC"/>
          </w:tcPr>
          <w:p>
            <w:pPr>
              <w:jc w:val="center"/>
              <w:ind w:left="530"/>
              <w:spacing w:after="0"/>
              <w:rPr>
                <w:sz w:val="20"/>
                <w:szCs w:val="20"/>
                <w:color w:val="auto"/>
              </w:rPr>
            </w:pPr>
            <w:r>
              <w:rPr>
                <w:rFonts w:ascii="Arial" w:cs="Arial" w:eastAsia="Arial" w:hAnsi="Arial"/>
                <w:sz w:val="18"/>
                <w:szCs w:val="18"/>
                <w:b w:val="1"/>
                <w:bCs w:val="1"/>
                <w:color w:val="231F20"/>
              </w:rPr>
              <w:t>$1,150</w:t>
            </w:r>
          </w:p>
        </w:tc>
        <w:tc>
          <w:tcPr>
            <w:tcW w:w="2320" w:type="dxa"/>
            <w:vAlign w:val="bottom"/>
            <w:tcBorders>
              <w:bottom w:val="single" w:sz="8" w:color="EAEAEC"/>
            </w:tcBorders>
            <w:shd w:val="clear" w:color="auto" w:fill="EAEAEC"/>
          </w:tcPr>
          <w:p>
            <w:pPr>
              <w:jc w:val="right"/>
              <w:spacing w:after="0"/>
              <w:rPr>
                <w:sz w:val="20"/>
                <w:szCs w:val="20"/>
                <w:color w:val="auto"/>
              </w:rPr>
            </w:pPr>
            <w:r>
              <w:rPr>
                <w:rFonts w:ascii="Arial" w:cs="Arial" w:eastAsia="Arial" w:hAnsi="Arial"/>
                <w:sz w:val="18"/>
                <w:szCs w:val="18"/>
                <w:b w:val="1"/>
                <w:bCs w:val="1"/>
                <w:color w:val="231F20"/>
              </w:rPr>
              <w:t>250%</w:t>
            </w:r>
          </w:p>
        </w:tc>
      </w:tr>
      <w:tr>
        <w:trPr>
          <w:trHeight w:val="237"/>
        </w:trPr>
        <w:tc>
          <w:tcPr>
            <w:tcW w:w="2920" w:type="dxa"/>
            <w:vAlign w:val="bottom"/>
            <w:tcBorders>
              <w:top w:val="single" w:sz="8" w:color="auto"/>
            </w:tcBorders>
          </w:tcPr>
          <w:p>
            <w:pPr>
              <w:spacing w:after="0"/>
              <w:rPr>
                <w:sz w:val="20"/>
                <w:szCs w:val="20"/>
                <w:color w:val="auto"/>
              </w:rPr>
            </w:pPr>
          </w:p>
        </w:tc>
        <w:tc>
          <w:tcPr>
            <w:tcW w:w="2940" w:type="dxa"/>
            <w:vAlign w:val="bottom"/>
            <w:tcBorders>
              <w:top w:val="single" w:sz="8" w:color="auto"/>
            </w:tcBorders>
          </w:tcPr>
          <w:p>
            <w:pPr>
              <w:jc w:val="center"/>
              <w:ind w:left="530"/>
              <w:spacing w:after="0"/>
              <w:rPr>
                <w:sz w:val="20"/>
                <w:szCs w:val="20"/>
                <w:color w:val="auto"/>
              </w:rPr>
            </w:pPr>
            <w:r>
              <w:rPr>
                <w:rFonts w:ascii="Arial" w:cs="Arial" w:eastAsia="Arial" w:hAnsi="Arial"/>
                <w:sz w:val="18"/>
                <w:szCs w:val="18"/>
                <w:color w:val="231F20"/>
              </w:rPr>
              <w:t>$1,079</w:t>
            </w:r>
          </w:p>
        </w:tc>
        <w:tc>
          <w:tcPr>
            <w:tcW w:w="2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31F20"/>
              </w:rPr>
              <w:t>225%</w:t>
            </w:r>
          </w:p>
        </w:tc>
      </w:tr>
      <w:tr>
        <w:trPr>
          <w:trHeight w:val="27"/>
        </w:trPr>
        <w:tc>
          <w:tcPr>
            <w:tcW w:w="29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37"/>
        </w:trPr>
        <w:tc>
          <w:tcPr>
            <w:tcW w:w="2920" w:type="dxa"/>
            <w:vAlign w:val="bottom"/>
          </w:tcPr>
          <w:p>
            <w:pPr>
              <w:spacing w:after="0"/>
              <w:rPr>
                <w:sz w:val="20"/>
                <w:szCs w:val="20"/>
                <w:color w:val="auto"/>
              </w:rPr>
            </w:pPr>
          </w:p>
        </w:tc>
        <w:tc>
          <w:tcPr>
            <w:tcW w:w="2940" w:type="dxa"/>
            <w:vAlign w:val="bottom"/>
          </w:tcPr>
          <w:p>
            <w:pPr>
              <w:jc w:val="center"/>
              <w:ind w:left="530"/>
              <w:spacing w:after="0"/>
              <w:rPr>
                <w:sz w:val="20"/>
                <w:szCs w:val="20"/>
                <w:color w:val="auto"/>
              </w:rPr>
            </w:pPr>
            <w:r>
              <w:rPr>
                <w:rFonts w:ascii="Arial" w:cs="Arial" w:eastAsia="Arial" w:hAnsi="Arial"/>
                <w:sz w:val="18"/>
                <w:szCs w:val="18"/>
                <w:color w:val="231F20"/>
              </w:rPr>
              <w:t>$1,016</w:t>
            </w:r>
          </w:p>
        </w:tc>
        <w:tc>
          <w:tcPr>
            <w:tcW w:w="2320" w:type="dxa"/>
            <w:vAlign w:val="bottom"/>
          </w:tcPr>
          <w:p>
            <w:pPr>
              <w:jc w:val="right"/>
              <w:spacing w:after="0"/>
              <w:rPr>
                <w:sz w:val="20"/>
                <w:szCs w:val="20"/>
                <w:color w:val="auto"/>
              </w:rPr>
            </w:pPr>
            <w:r>
              <w:rPr>
                <w:rFonts w:ascii="Arial" w:cs="Arial" w:eastAsia="Arial" w:hAnsi="Arial"/>
                <w:sz w:val="18"/>
                <w:szCs w:val="18"/>
                <w:color w:val="231F20"/>
              </w:rPr>
              <w:t>200%</w:t>
            </w:r>
          </w:p>
        </w:tc>
      </w:tr>
      <w:tr>
        <w:trPr>
          <w:trHeight w:val="27"/>
        </w:trPr>
        <w:tc>
          <w:tcPr>
            <w:tcW w:w="29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37"/>
        </w:trPr>
        <w:tc>
          <w:tcPr>
            <w:tcW w:w="2920" w:type="dxa"/>
            <w:vAlign w:val="bottom"/>
          </w:tcPr>
          <w:p>
            <w:pPr>
              <w:spacing w:after="0"/>
              <w:rPr>
                <w:sz w:val="20"/>
                <w:szCs w:val="20"/>
                <w:color w:val="auto"/>
              </w:rPr>
            </w:pPr>
          </w:p>
        </w:tc>
        <w:tc>
          <w:tcPr>
            <w:tcW w:w="2940" w:type="dxa"/>
            <w:vAlign w:val="bottom"/>
          </w:tcPr>
          <w:p>
            <w:pPr>
              <w:jc w:val="center"/>
              <w:ind w:left="530"/>
              <w:spacing w:after="0"/>
              <w:rPr>
                <w:sz w:val="20"/>
                <w:szCs w:val="20"/>
                <w:color w:val="auto"/>
              </w:rPr>
            </w:pPr>
            <w:r>
              <w:rPr>
                <w:rFonts w:ascii="Arial" w:cs="Arial" w:eastAsia="Arial" w:hAnsi="Arial"/>
                <w:sz w:val="18"/>
                <w:szCs w:val="18"/>
                <w:color w:val="231F20"/>
                <w:w w:val="99"/>
              </w:rPr>
              <w:t>$956</w:t>
            </w:r>
          </w:p>
        </w:tc>
        <w:tc>
          <w:tcPr>
            <w:tcW w:w="2320" w:type="dxa"/>
            <w:vAlign w:val="bottom"/>
          </w:tcPr>
          <w:p>
            <w:pPr>
              <w:jc w:val="right"/>
              <w:spacing w:after="0"/>
              <w:rPr>
                <w:sz w:val="20"/>
                <w:szCs w:val="20"/>
                <w:color w:val="auto"/>
              </w:rPr>
            </w:pPr>
            <w:r>
              <w:rPr>
                <w:rFonts w:ascii="Arial" w:cs="Arial" w:eastAsia="Arial" w:hAnsi="Arial"/>
                <w:sz w:val="18"/>
                <w:szCs w:val="18"/>
                <w:color w:val="231F20"/>
              </w:rPr>
              <w:t>175%</w:t>
            </w:r>
          </w:p>
        </w:tc>
      </w:tr>
      <w:tr>
        <w:trPr>
          <w:trHeight w:val="27"/>
        </w:trPr>
        <w:tc>
          <w:tcPr>
            <w:tcW w:w="29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37"/>
        </w:trPr>
        <w:tc>
          <w:tcPr>
            <w:tcW w:w="2920" w:type="dxa"/>
            <w:vAlign w:val="bottom"/>
          </w:tcPr>
          <w:p>
            <w:pPr>
              <w:spacing w:after="0"/>
              <w:rPr>
                <w:sz w:val="20"/>
                <w:szCs w:val="20"/>
                <w:color w:val="auto"/>
              </w:rPr>
            </w:pPr>
          </w:p>
        </w:tc>
        <w:tc>
          <w:tcPr>
            <w:tcW w:w="2940" w:type="dxa"/>
            <w:vAlign w:val="bottom"/>
          </w:tcPr>
          <w:p>
            <w:pPr>
              <w:jc w:val="center"/>
              <w:ind w:left="530"/>
              <w:spacing w:after="0"/>
              <w:rPr>
                <w:sz w:val="20"/>
                <w:szCs w:val="20"/>
                <w:color w:val="auto"/>
              </w:rPr>
            </w:pPr>
            <w:r>
              <w:rPr>
                <w:rFonts w:ascii="Arial" w:cs="Arial" w:eastAsia="Arial" w:hAnsi="Arial"/>
                <w:sz w:val="18"/>
                <w:szCs w:val="18"/>
                <w:color w:val="231F20"/>
                <w:w w:val="99"/>
              </w:rPr>
              <w:t>$898</w:t>
            </w:r>
          </w:p>
        </w:tc>
        <w:tc>
          <w:tcPr>
            <w:tcW w:w="2320" w:type="dxa"/>
            <w:vAlign w:val="bottom"/>
          </w:tcPr>
          <w:p>
            <w:pPr>
              <w:jc w:val="right"/>
              <w:spacing w:after="0"/>
              <w:rPr>
                <w:sz w:val="20"/>
                <w:szCs w:val="20"/>
                <w:color w:val="auto"/>
              </w:rPr>
            </w:pPr>
            <w:r>
              <w:rPr>
                <w:rFonts w:ascii="Arial" w:cs="Arial" w:eastAsia="Arial" w:hAnsi="Arial"/>
                <w:sz w:val="18"/>
                <w:szCs w:val="18"/>
                <w:color w:val="231F20"/>
              </w:rPr>
              <w:t>150%</w:t>
            </w:r>
          </w:p>
        </w:tc>
      </w:tr>
      <w:tr>
        <w:trPr>
          <w:trHeight w:val="27"/>
        </w:trPr>
        <w:tc>
          <w:tcPr>
            <w:tcW w:w="29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37"/>
        </w:trPr>
        <w:tc>
          <w:tcPr>
            <w:tcW w:w="2920" w:type="dxa"/>
            <w:vAlign w:val="bottom"/>
          </w:tcPr>
          <w:p>
            <w:pPr>
              <w:spacing w:after="0"/>
              <w:rPr>
                <w:sz w:val="20"/>
                <w:szCs w:val="20"/>
                <w:color w:val="auto"/>
              </w:rPr>
            </w:pPr>
          </w:p>
        </w:tc>
        <w:tc>
          <w:tcPr>
            <w:tcW w:w="2940" w:type="dxa"/>
            <w:vAlign w:val="bottom"/>
          </w:tcPr>
          <w:p>
            <w:pPr>
              <w:jc w:val="center"/>
              <w:ind w:left="530"/>
              <w:spacing w:after="0"/>
              <w:rPr>
                <w:sz w:val="20"/>
                <w:szCs w:val="20"/>
                <w:color w:val="auto"/>
              </w:rPr>
            </w:pPr>
            <w:r>
              <w:rPr>
                <w:rFonts w:ascii="Arial" w:cs="Arial" w:eastAsia="Arial" w:hAnsi="Arial"/>
                <w:sz w:val="18"/>
                <w:szCs w:val="18"/>
                <w:color w:val="231F20"/>
                <w:w w:val="99"/>
              </w:rPr>
              <w:t>$844</w:t>
            </w:r>
          </w:p>
        </w:tc>
        <w:tc>
          <w:tcPr>
            <w:tcW w:w="2320" w:type="dxa"/>
            <w:vAlign w:val="bottom"/>
          </w:tcPr>
          <w:p>
            <w:pPr>
              <w:jc w:val="right"/>
              <w:spacing w:after="0"/>
              <w:rPr>
                <w:sz w:val="20"/>
                <w:szCs w:val="20"/>
                <w:color w:val="auto"/>
              </w:rPr>
            </w:pPr>
            <w:r>
              <w:rPr>
                <w:rFonts w:ascii="Arial" w:cs="Arial" w:eastAsia="Arial" w:hAnsi="Arial"/>
                <w:sz w:val="18"/>
                <w:szCs w:val="18"/>
                <w:color w:val="231F20"/>
              </w:rPr>
              <w:t>125%</w:t>
            </w:r>
          </w:p>
        </w:tc>
      </w:tr>
      <w:tr>
        <w:trPr>
          <w:trHeight w:val="27"/>
        </w:trPr>
        <w:tc>
          <w:tcPr>
            <w:tcW w:w="29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68"/>
        </w:trPr>
        <w:tc>
          <w:tcPr>
            <w:tcW w:w="2920" w:type="dxa"/>
            <w:vAlign w:val="bottom"/>
            <w:tcBorders>
              <w:bottom w:val="single" w:sz="8" w:color="2952A4"/>
            </w:tcBorders>
            <w:shd w:val="clear" w:color="auto" w:fill="2952A4"/>
          </w:tcPr>
          <w:p>
            <w:pPr>
              <w:ind w:left="20"/>
              <w:spacing w:after="0"/>
              <w:rPr>
                <w:sz w:val="20"/>
                <w:szCs w:val="20"/>
                <w:color w:val="auto"/>
              </w:rPr>
            </w:pPr>
            <w:r>
              <w:rPr>
                <w:rFonts w:ascii="Arial" w:cs="Arial" w:eastAsia="Arial" w:hAnsi="Arial"/>
                <w:sz w:val="18"/>
                <w:szCs w:val="18"/>
                <w:b w:val="1"/>
                <w:bCs w:val="1"/>
                <w:color w:val="FFFFFF"/>
              </w:rPr>
              <w:t>Target</w:t>
            </w:r>
          </w:p>
        </w:tc>
        <w:tc>
          <w:tcPr>
            <w:tcW w:w="2940" w:type="dxa"/>
            <w:vAlign w:val="bottom"/>
            <w:tcBorders>
              <w:bottom w:val="single" w:sz="8" w:color="2952A4"/>
            </w:tcBorders>
            <w:shd w:val="clear" w:color="auto" w:fill="2952A4"/>
          </w:tcPr>
          <w:p>
            <w:pPr>
              <w:jc w:val="center"/>
              <w:ind w:left="530"/>
              <w:spacing w:after="0"/>
              <w:rPr>
                <w:sz w:val="20"/>
                <w:szCs w:val="20"/>
                <w:color w:val="auto"/>
              </w:rPr>
            </w:pPr>
            <w:r>
              <w:rPr>
                <w:rFonts w:ascii="Arial" w:cs="Arial" w:eastAsia="Arial" w:hAnsi="Arial"/>
                <w:sz w:val="18"/>
                <w:szCs w:val="18"/>
                <w:color w:val="FFFFFF"/>
                <w:w w:val="99"/>
              </w:rPr>
              <w:t>$792</w:t>
            </w:r>
          </w:p>
        </w:tc>
        <w:tc>
          <w:tcPr>
            <w:tcW w:w="2320" w:type="dxa"/>
            <w:vAlign w:val="bottom"/>
            <w:tcBorders>
              <w:bottom w:val="single" w:sz="8" w:color="2952A4"/>
            </w:tcBorders>
            <w:shd w:val="clear" w:color="auto" w:fill="2952A4"/>
          </w:tcPr>
          <w:p>
            <w:pPr>
              <w:jc w:val="right"/>
              <w:spacing w:after="0"/>
              <w:rPr>
                <w:sz w:val="20"/>
                <w:szCs w:val="20"/>
                <w:color w:val="auto"/>
              </w:rPr>
            </w:pPr>
            <w:r>
              <w:rPr>
                <w:rFonts w:ascii="Arial" w:cs="Arial" w:eastAsia="Arial" w:hAnsi="Arial"/>
                <w:sz w:val="18"/>
                <w:szCs w:val="18"/>
                <w:b w:val="1"/>
                <w:bCs w:val="1"/>
                <w:color w:val="FFFFFF"/>
              </w:rPr>
              <w:t>100%</w:t>
            </w:r>
          </w:p>
        </w:tc>
      </w:tr>
      <w:tr>
        <w:trPr>
          <w:trHeight w:val="237"/>
        </w:trPr>
        <w:tc>
          <w:tcPr>
            <w:tcW w:w="2920" w:type="dxa"/>
            <w:vAlign w:val="bottom"/>
            <w:tcBorders>
              <w:top w:val="single" w:sz="8" w:color="auto"/>
            </w:tcBorders>
          </w:tcPr>
          <w:p>
            <w:pPr>
              <w:spacing w:after="0"/>
              <w:rPr>
                <w:sz w:val="20"/>
                <w:szCs w:val="20"/>
                <w:color w:val="auto"/>
              </w:rPr>
            </w:pPr>
          </w:p>
        </w:tc>
        <w:tc>
          <w:tcPr>
            <w:tcW w:w="2940" w:type="dxa"/>
            <w:vAlign w:val="bottom"/>
            <w:tcBorders>
              <w:top w:val="single" w:sz="8" w:color="auto"/>
            </w:tcBorders>
          </w:tcPr>
          <w:p>
            <w:pPr>
              <w:jc w:val="center"/>
              <w:ind w:left="530"/>
              <w:spacing w:after="0"/>
              <w:rPr>
                <w:sz w:val="20"/>
                <w:szCs w:val="20"/>
                <w:color w:val="auto"/>
              </w:rPr>
            </w:pPr>
            <w:r>
              <w:rPr>
                <w:rFonts w:ascii="Arial" w:cs="Arial" w:eastAsia="Arial" w:hAnsi="Arial"/>
                <w:sz w:val="18"/>
                <w:szCs w:val="18"/>
                <w:color w:val="231F20"/>
                <w:w w:val="99"/>
              </w:rPr>
              <w:t>$706</w:t>
            </w:r>
          </w:p>
        </w:tc>
        <w:tc>
          <w:tcPr>
            <w:tcW w:w="2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31F20"/>
              </w:rPr>
              <w:t>75%</w:t>
            </w:r>
          </w:p>
        </w:tc>
      </w:tr>
      <w:tr>
        <w:trPr>
          <w:trHeight w:val="27"/>
        </w:trPr>
        <w:tc>
          <w:tcPr>
            <w:tcW w:w="29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44"/>
        </w:trPr>
        <w:tc>
          <w:tcPr>
            <w:tcW w:w="2920" w:type="dxa"/>
            <w:vAlign w:val="bottom"/>
            <w:tcBorders>
              <w:bottom w:val="single" w:sz="8" w:color="EAEAEC"/>
            </w:tcBorders>
            <w:shd w:val="clear" w:color="auto" w:fill="EAEAEC"/>
          </w:tcPr>
          <w:p>
            <w:pPr>
              <w:ind w:left="20"/>
              <w:spacing w:after="0"/>
              <w:rPr>
                <w:sz w:val="20"/>
                <w:szCs w:val="20"/>
                <w:color w:val="auto"/>
              </w:rPr>
            </w:pPr>
            <w:r>
              <w:rPr>
                <w:rFonts w:ascii="Arial" w:cs="Arial" w:eastAsia="Arial" w:hAnsi="Arial"/>
                <w:sz w:val="18"/>
                <w:szCs w:val="18"/>
                <w:b w:val="1"/>
                <w:bCs w:val="1"/>
                <w:color w:val="231F20"/>
              </w:rPr>
              <w:t>Threshold</w:t>
            </w:r>
          </w:p>
        </w:tc>
        <w:tc>
          <w:tcPr>
            <w:tcW w:w="2940" w:type="dxa"/>
            <w:vAlign w:val="bottom"/>
            <w:tcBorders>
              <w:bottom w:val="single" w:sz="8" w:color="EAEAEC"/>
            </w:tcBorders>
            <w:shd w:val="clear" w:color="auto" w:fill="EAEAEC"/>
          </w:tcPr>
          <w:p>
            <w:pPr>
              <w:jc w:val="center"/>
              <w:ind w:left="530"/>
              <w:spacing w:after="0"/>
              <w:rPr>
                <w:sz w:val="20"/>
                <w:szCs w:val="20"/>
                <w:color w:val="auto"/>
              </w:rPr>
            </w:pPr>
            <w:r>
              <w:rPr>
                <w:rFonts w:ascii="Arial" w:cs="Arial" w:eastAsia="Arial" w:hAnsi="Arial"/>
                <w:sz w:val="18"/>
                <w:szCs w:val="18"/>
                <w:b w:val="1"/>
                <w:bCs w:val="1"/>
                <w:color w:val="231F20"/>
                <w:w w:val="99"/>
              </w:rPr>
              <w:t>$628</w:t>
            </w:r>
          </w:p>
        </w:tc>
        <w:tc>
          <w:tcPr>
            <w:tcW w:w="2320" w:type="dxa"/>
            <w:vAlign w:val="bottom"/>
            <w:tcBorders>
              <w:bottom w:val="single" w:sz="8" w:color="EAEAEC"/>
            </w:tcBorders>
            <w:shd w:val="clear" w:color="auto" w:fill="EAEAEC"/>
          </w:tcPr>
          <w:p>
            <w:pPr>
              <w:jc w:val="right"/>
              <w:spacing w:after="0"/>
              <w:rPr>
                <w:sz w:val="20"/>
                <w:szCs w:val="20"/>
                <w:color w:val="auto"/>
              </w:rPr>
            </w:pPr>
            <w:r>
              <w:rPr>
                <w:rFonts w:ascii="Arial" w:cs="Arial" w:eastAsia="Arial" w:hAnsi="Arial"/>
                <w:sz w:val="18"/>
                <w:szCs w:val="18"/>
                <w:b w:val="1"/>
                <w:bCs w:val="1"/>
                <w:color w:val="231F20"/>
              </w:rPr>
              <w:t>50%</w:t>
            </w:r>
          </w:p>
        </w:tc>
      </w:tr>
      <w:tr>
        <w:trPr>
          <w:trHeight w:val="20"/>
        </w:trPr>
        <w:tc>
          <w:tcPr>
            <w:tcW w:w="2920" w:type="dxa"/>
            <w:vAlign w:val="bottom"/>
            <w:shd w:val="clear" w:color="auto" w:fill="2952A4"/>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23" w:lineRule="exact"/>
        <w:rPr>
          <w:sz w:val="20"/>
          <w:szCs w:val="20"/>
          <w:color w:val="auto"/>
        </w:rPr>
      </w:pPr>
    </w:p>
    <w:p>
      <w:pPr>
        <w:jc w:val="both"/>
        <w:spacing w:after="0"/>
        <w:rPr>
          <w:sz w:val="20"/>
          <w:szCs w:val="20"/>
          <w:color w:val="auto"/>
        </w:rPr>
      </w:pPr>
      <w:r>
        <w:rPr>
          <w:rFonts w:ascii="Arial" w:cs="Arial" w:eastAsia="Arial" w:hAnsi="Arial"/>
          <w:sz w:val="20"/>
          <w:szCs w:val="20"/>
          <w:color w:val="auto"/>
        </w:rPr>
        <w:t>No Performance Restricted Stock Units shall be earned under this Section 1.A. for performance below the Threshold performance level and no additional Performance Restricted Stock Units shall be earned for performance above the Maximum performance level. Straight line interpolation shall be applied to determine the number of Performance Restricted Stock Units earned for performance above the Threshold performance level and falling between the Price Target Goals. Following vesting, the provisions of Section 1.D. shall apply to the delivery of Company Stock earned with respect to the Performance Restricted Stock Units due to attainment of the Primary Performance Criteria.</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B. Secondary Relative TSR Performance Criteria</w:t>
      </w:r>
    </w:p>
    <w:p>
      <w:pPr>
        <w:spacing w:after="0" w:line="243" w:lineRule="exact"/>
        <w:rPr>
          <w:sz w:val="20"/>
          <w:szCs w:val="20"/>
          <w:color w:val="auto"/>
        </w:rPr>
      </w:pPr>
    </w:p>
    <w:p>
      <w:pPr>
        <w:jc w:val="both"/>
        <w:spacing w:after="0"/>
        <w:rPr>
          <w:sz w:val="20"/>
          <w:szCs w:val="20"/>
          <w:color w:val="auto"/>
        </w:rPr>
      </w:pPr>
      <w:r>
        <w:rPr>
          <w:rFonts w:ascii="Arial" w:cs="Arial" w:eastAsia="Arial" w:hAnsi="Arial"/>
          <w:sz w:val="20"/>
          <w:szCs w:val="20"/>
          <w:color w:val="auto"/>
        </w:rPr>
        <w:t>If, at the end of the Performance Period, or following an earlier final determination of performance against the Primary Performance Criteria pursuant to Section 1.C., (a) no Performance Restricted Stock Units have been earned pursuant to Section 1.A and (b) the Company’s TSR for the applicable period is at least 200 basis points above the TSR of the Nasdaq Biotech Index (composite return) for the corresponding period, then the payout corresponding to the Threshold level of performance shall be earned as of such date. Following vesting, the provisions of Section 1.D. shall apply to the delivery of Company Stock earned with respect to the Performance Restricted Stock Units due to attainment of the Secondary Relative TSR Performance Criteria.</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C. Special Vesting Rules Upon Certain Terminations and Change in Control</w:t>
      </w:r>
    </w:p>
    <w:p>
      <w:pPr>
        <w:sectPr>
          <w:pgSz w:w="11900" w:h="16838" w:orient="portrait"/>
          <w:cols w:equalWidth="0" w:num="1">
            <w:col w:w="11240"/>
          </w:cols>
          <w:pgMar w:left="320" w:top="1432" w:right="339" w:bottom="1440" w:gutter="0" w:footer="0" w:header="0"/>
        </w:sectPr>
      </w:pPr>
    </w:p>
    <w:bookmarkStart w:id="177" w:name="page178"/>
    <w:bookmarkEnd w:id="177"/>
    <w:p>
      <w:pPr>
        <w:jc w:val="both"/>
        <w:spacing w:after="0" w:line="233" w:lineRule="auto"/>
        <w:rPr>
          <w:sz w:val="20"/>
          <w:szCs w:val="20"/>
          <w:color w:val="auto"/>
        </w:rPr>
      </w:pPr>
      <w:r>
        <w:rPr>
          <w:rFonts w:ascii="Arial" w:cs="Arial" w:eastAsia="Arial" w:hAnsi="Arial"/>
          <w:sz w:val="20"/>
          <w:szCs w:val="20"/>
          <w:color w:val="auto"/>
        </w:rPr>
        <w:t>Except as specifically set forth in this Section 1.C., any earned and unearned Performance Restricted Stock Units shall be forfeited in their entirety in the event that your Service ceases prior to the end of the Performance Period. You specifically acknowledge and agree that the provisions set forth herein with respect to termination of Service supersede any provisions of any other agreement between you and the Company or any Affiliate, including any agreement that provides a different treatment for equity awards due to death or retirement [(without limiting the generality of the foregoing, including Section 8(f) of the Amended and Restated Employment Agreement, dated as of November 14, 2008, by and between you and the Company, as in effect from time to time (the “Employment Agreement”))]</w:t>
      </w:r>
      <w:r>
        <w:rPr>
          <w:rFonts w:ascii="Arial" w:cs="Arial" w:eastAsia="Arial" w:hAnsi="Arial"/>
          <w:sz w:val="25"/>
          <w:szCs w:val="25"/>
          <w:color w:val="auto"/>
          <w:vertAlign w:val="superscript"/>
        </w:rPr>
        <w:t>1</w:t>
      </w:r>
      <w:r>
        <w:rPr>
          <w:rFonts w:ascii="Arial" w:cs="Arial" w:eastAsia="Arial" w:hAnsi="Arial"/>
          <w:sz w:val="20"/>
          <w:szCs w:val="20"/>
          <w:color w:val="auto"/>
        </w:rPr>
        <w:t>. The following special rules shall apply to the Performance Restricted Stock Units, notwithstanding the provisions of Section 1.A. and 1.B. above.</w:t>
      </w:r>
    </w:p>
    <w:p>
      <w:pPr>
        <w:spacing w:after="0" w:line="237" w:lineRule="exact"/>
        <w:rPr>
          <w:sz w:val="20"/>
          <w:szCs w:val="20"/>
          <w:color w:val="auto"/>
        </w:rPr>
      </w:pPr>
    </w:p>
    <w:p>
      <w:pPr>
        <w:jc w:val="both"/>
        <w:spacing w:after="0"/>
        <w:rPr>
          <w:sz w:val="20"/>
          <w:szCs w:val="20"/>
          <w:color w:val="auto"/>
        </w:rPr>
      </w:pPr>
      <w:r>
        <w:rPr>
          <w:rFonts w:ascii="Arial" w:cs="Arial" w:eastAsia="Arial" w:hAnsi="Arial"/>
          <w:sz w:val="20"/>
          <w:szCs w:val="20"/>
          <w:u w:val="single" w:color="auto"/>
          <w:color w:val="auto"/>
        </w:rPr>
        <w:t>Without Cause or for Good Reason</w:t>
      </w:r>
      <w:r>
        <w:rPr>
          <w:rFonts w:ascii="Arial" w:cs="Arial" w:eastAsia="Arial" w:hAnsi="Arial"/>
          <w:sz w:val="20"/>
          <w:szCs w:val="20"/>
          <w:color w:val="auto"/>
        </w:rPr>
        <w:t xml:space="preserve">. If your Service is terminated without Cause or you resign from your Service for a Good Reason prior to December 31, 2025, the Performance Period will be deemed to have ended upon the date of termination and an earnout determination shall be made as of the date of termination </w:t>
      </w:r>
      <w:r>
        <w:rPr>
          <w:rFonts w:ascii="Arial" w:cs="Arial" w:eastAsia="Arial" w:hAnsi="Arial"/>
          <w:sz w:val="20"/>
          <w:szCs w:val="20"/>
          <w:u w:val="single" w:color="auto"/>
          <w:color w:val="auto"/>
        </w:rPr>
        <w:t>first</w:t>
      </w:r>
      <w:r>
        <w:rPr>
          <w:rFonts w:ascii="Arial" w:cs="Arial" w:eastAsia="Arial" w:hAnsi="Arial"/>
          <w:sz w:val="20"/>
          <w:szCs w:val="20"/>
          <w:color w:val="auto"/>
        </w:rPr>
        <w:t xml:space="preserve"> pursuant to Section 1.A. and </w:t>
      </w:r>
      <w:r>
        <w:rPr>
          <w:rFonts w:ascii="Arial" w:cs="Arial" w:eastAsia="Arial" w:hAnsi="Arial"/>
          <w:sz w:val="20"/>
          <w:szCs w:val="20"/>
          <w:u w:val="single" w:color="auto"/>
          <w:color w:val="auto"/>
        </w:rPr>
        <w:t>second</w:t>
      </w:r>
      <w:r>
        <w:rPr>
          <w:rFonts w:ascii="Arial" w:cs="Arial" w:eastAsia="Arial" w:hAnsi="Arial"/>
          <w:sz w:val="20"/>
          <w:szCs w:val="20"/>
          <w:color w:val="auto"/>
        </w:rPr>
        <w:t>, if applicable, pursuant to Section 1.B., and any earned Performance Restricted Stock Units shall immediately vest as of such date. To the extent that any Performance Restricted Stock Units remain unearned following the earnout determination described in the preceding sentence, earnout determinations shall continue to be conducted until the earlier of the first anniversary of the date of termination and December 31, 2025 and, to the extent earned, such Performance Restricted Stock Units shall vest on the earlier of the first anniversary of the date of termination and December 31, 2025. To the extent any Performance Restricted Stock Units are determined to have been earned and vested pursuant to the two preceding sentences, the provisions of Section 1.D. regarding delivery shall apply to the shares of Company Stock deliverable in respect of such Performance Restricted Stock Units. Performance Restricted Stock Units which do not vest by the first anniversary of the date of termination shall be immediately forfeited.</w:t>
      </w:r>
    </w:p>
    <w:p>
      <w:pPr>
        <w:spacing w:after="0" w:line="237" w:lineRule="exact"/>
        <w:rPr>
          <w:sz w:val="20"/>
          <w:szCs w:val="20"/>
          <w:color w:val="auto"/>
        </w:rPr>
      </w:pPr>
    </w:p>
    <w:p>
      <w:pPr>
        <w:jc w:val="both"/>
        <w:spacing w:after="0"/>
        <w:rPr>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xml:space="preserve">. If, prior to December 31, 2025, a Change in Control occurs, the Performance Period shall be deemed to have ended immediately prior to the consummation of the Change in Control and, notwithstanding the definitions of TSR and Ending Stock Price herein, the price per share of Company Stock in the Change in Control transaction (as determined by the Committee), as adjusted for any Dividend Value, shall be used to make an earnout determination on the date of the Change in Control </w:t>
      </w:r>
      <w:r>
        <w:rPr>
          <w:rFonts w:ascii="Arial" w:cs="Arial" w:eastAsia="Arial" w:hAnsi="Arial"/>
          <w:sz w:val="20"/>
          <w:szCs w:val="20"/>
          <w:u w:val="single" w:color="auto"/>
          <w:color w:val="auto"/>
        </w:rPr>
        <w:t>first</w:t>
      </w:r>
      <w:r>
        <w:rPr>
          <w:rFonts w:ascii="Arial" w:cs="Arial" w:eastAsia="Arial" w:hAnsi="Arial"/>
          <w:sz w:val="20"/>
          <w:szCs w:val="20"/>
          <w:color w:val="auto"/>
        </w:rPr>
        <w:t xml:space="preserve"> pursuant to Section 1.A. and </w:t>
      </w:r>
      <w:r>
        <w:rPr>
          <w:rFonts w:ascii="Arial" w:cs="Arial" w:eastAsia="Arial" w:hAnsi="Arial"/>
          <w:sz w:val="20"/>
          <w:szCs w:val="20"/>
          <w:u w:val="single" w:color="auto"/>
          <w:color w:val="auto"/>
        </w:rPr>
        <w:t>second</w:t>
      </w:r>
      <w:r>
        <w:rPr>
          <w:rFonts w:ascii="Arial" w:cs="Arial" w:eastAsia="Arial" w:hAnsi="Arial"/>
          <w:sz w:val="20"/>
          <w:szCs w:val="20"/>
          <w:color w:val="auto"/>
        </w:rPr>
        <w:t>, if applicable, pursuant to Section 1.B. All Performance Restricted Stock Units earned as of that date shall vest immediately and shall not be subject to the provisions of Section 1.D. regarding delivery and shall be delivered as soon as practicable following the earnout determination; and any unearned Performance Restricted Stock Units as of that date shall be immediately forfeited.</w:t>
      </w:r>
    </w:p>
    <w:p>
      <w:pPr>
        <w:spacing w:after="0" w:line="23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u w:val="single" w:color="auto"/>
          <w:color w:val="auto"/>
        </w:rPr>
        <w:t>Death or Disability</w:t>
      </w:r>
      <w:r>
        <w:rPr>
          <w:rFonts w:ascii="Arial" w:cs="Arial" w:eastAsia="Arial" w:hAnsi="Arial"/>
          <w:sz w:val="20"/>
          <w:szCs w:val="20"/>
          <w:color w:val="auto"/>
        </w:rPr>
        <w:t>. In the case of your death or Disability prior to December 31, 2025, the Performance Restricted Stock Units shall remain outstanding and may be earned pursuant to the provisions hereof and, to the extent earned, shall vest on December 31, 2025 without regard to the continued Service requirement. To the extent earned and vested, shares deliverable pursuant to the Performance Restricted Stock Units following death or Disability shall not be subject to the provisions of Section 1.D. regarding deferred delivery and shall be delivered as soon as practicable following the vesting date.</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D. Delivery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17145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1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20" w:hanging="112"/>
        <w:spacing w:after="0"/>
        <w:tabs>
          <w:tab w:leader="none" w:pos="120" w:val="left"/>
        </w:tabs>
        <w:numPr>
          <w:ilvl w:val="0"/>
          <w:numId w:val="115"/>
        </w:numPr>
        <w:rPr>
          <w:rFonts w:ascii="Arial" w:cs="Arial" w:eastAsia="Arial" w:hAnsi="Arial"/>
          <w:sz w:val="23"/>
          <w:szCs w:val="23"/>
          <w:color w:val="auto"/>
          <w:vertAlign w:val="superscript"/>
        </w:rPr>
      </w:pPr>
      <w:r>
        <w:rPr>
          <w:rFonts w:ascii="Arial" w:cs="Arial" w:eastAsia="Arial" w:hAnsi="Arial"/>
          <w:sz w:val="18"/>
          <w:szCs w:val="18"/>
          <w:color w:val="auto"/>
        </w:rPr>
        <w:t xml:space="preserve">Only applicable to the </w:t>
      </w:r>
      <w:r>
        <w:rPr>
          <w:rFonts w:ascii="Arial" w:cs="Arial" w:eastAsia="Arial" w:hAnsi="Arial"/>
          <w:sz w:val="18"/>
          <w:szCs w:val="18"/>
          <w:i w:val="1"/>
          <w:iCs w:val="1"/>
          <w:color w:val="auto"/>
        </w:rPr>
        <w:t>Notice of Grant of Performance Restricted Units</w:t>
      </w:r>
      <w:r>
        <w:rPr>
          <w:rFonts w:ascii="Arial" w:cs="Arial" w:eastAsia="Arial" w:hAnsi="Arial"/>
          <w:sz w:val="18"/>
          <w:szCs w:val="18"/>
          <w:color w:val="auto"/>
        </w:rPr>
        <w:t xml:space="preserve"> for Leonard S. Schleifer, M.D., Ph.D.</w:t>
      </w:r>
    </w:p>
    <w:p>
      <w:pPr>
        <w:sectPr>
          <w:pgSz w:w="11900" w:h="16838" w:orient="portrait"/>
          <w:cols w:equalWidth="0" w:num="1">
            <w:col w:w="11240"/>
          </w:cols>
          <w:pgMar w:left="320" w:top="1432" w:right="339" w:bottom="1440" w:gutter="0" w:footer="0" w:header="0"/>
        </w:sectPr>
      </w:pPr>
    </w:p>
    <w:bookmarkStart w:id="178" w:name="page179"/>
    <w:bookmarkEnd w:id="178"/>
    <w:p>
      <w:pPr>
        <w:jc w:val="both"/>
        <w:spacing w:after="0"/>
        <w:rPr>
          <w:sz w:val="20"/>
          <w:szCs w:val="20"/>
          <w:color w:val="auto"/>
        </w:rPr>
      </w:pPr>
      <w:r>
        <w:rPr>
          <w:rFonts w:ascii="Arial" w:cs="Arial" w:eastAsia="Arial" w:hAnsi="Arial"/>
          <w:sz w:val="20"/>
          <w:szCs w:val="20"/>
          <w:u w:val="single" w:color="auto"/>
          <w:color w:val="auto"/>
        </w:rPr>
        <w:t>Holding Period</w:t>
      </w:r>
      <w:r>
        <w:rPr>
          <w:rFonts w:ascii="Arial" w:cs="Arial" w:eastAsia="Arial" w:hAnsi="Arial"/>
          <w:sz w:val="20"/>
          <w:szCs w:val="20"/>
          <w:color w:val="auto"/>
        </w:rPr>
        <w:t>. Shares of Company Stock deliverable in respect of earned and vested Performance Restricted Stock Units are, except as specifically set forth in Section 1.C. or this Section 1.D., subject to a mandatory deferral and holding period of three years after the applicable vesting date (the “Holding Period”) and shall not be delivered until immediately following the expiration of the Holding Period. Notwithstanding the foregoing and subject to compliance with the 409A Rules set forth below, any Holding Period shall end upon your death or Disability or a Change in Control (which terms shall be interpreted in a manner that complies with the requirements of Section 409A of the Code).</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2. Definitions</w:t>
      </w:r>
      <w:r>
        <w:rPr>
          <w:rFonts w:ascii="Arial" w:cs="Arial" w:eastAsia="Arial" w:hAnsi="Arial"/>
          <w:sz w:val="20"/>
          <w:szCs w:val="20"/>
          <w:color w:val="auto"/>
        </w:rPr>
        <w: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“Beginning Stock Price” shall mean the price of $478.30 per share of Company Stock.</w:t>
      </w:r>
    </w:p>
    <w:p>
      <w:pPr>
        <w:spacing w:after="0" w:line="243" w:lineRule="exact"/>
        <w:rPr>
          <w:sz w:val="20"/>
          <w:szCs w:val="20"/>
          <w:color w:val="auto"/>
        </w:rPr>
      </w:pPr>
    </w:p>
    <w:p>
      <w:pPr>
        <w:jc w:val="both"/>
        <w:spacing w:after="0"/>
        <w:rPr>
          <w:sz w:val="20"/>
          <w:szCs w:val="20"/>
          <w:color w:val="auto"/>
        </w:rPr>
      </w:pPr>
      <w:r>
        <w:rPr>
          <w:rFonts w:ascii="Arial" w:cs="Arial" w:eastAsia="Arial" w:hAnsi="Arial"/>
          <w:sz w:val="20"/>
          <w:szCs w:val="20"/>
          <w:color w:val="auto"/>
        </w:rPr>
        <w:t>"Cause" shall mean (i) in the case where there is no employment agreement, consulting agreement, change in control agreement or plan, or similar agreement or plan in effect between you and the Company (or otherwise applicable to you) on the Grant Date (or where there is such an agreement or plan but it does not define “cause” (or words of like import) or such agreement or plan would not apply) (A) the willful and continued failure by you substantially to perform your duties and obligations to the Company (other than any such failure resulting from your incapacity due to physical or mental illness), including without limitation, repeated refusal to follow the reasonable directions of the Company, violation of the Company’s Code of Business Conduct and Ethics, knowing violation of law in the course of performance of your duties of employment, repeated absences from work without a reasonable excuse, or intoxication with alcohol or illegal drugs while on the Company’s premises during regular business hours; (B) fraud or material dishonesty against the Company; or (C) a conviction or plea of guilty or nolo contendere to a felony or a crime involving material dishonesty; or (ii) in the case where there is an employment agreement, consulting agreement, change in control agreement or plan, or similar agreement or plan in effect between you and the Company (or otherwise applicable to you) on the Grant Date that defines “cause” (or words of like import) and such agreement or plan applies, as defined under such agreement or plan. For purposes of this paragraph, no act, or failure to act, on your part shall be considered “willful” unless done, or omitted to be done, by you in bad faith and without reasonable belief that the action or omission was in the best interest of the Company.</w:t>
      </w:r>
    </w:p>
    <w:p>
      <w:pPr>
        <w:spacing w:after="0" w:line="22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“Closing Price” of a share of Company Stock, as of a date of determination, shall mean (1) the closing sales price per share of Company Stock on the national securities exchange or national market system on which such stock is principally traded on such date or, if such date is not a trading day, on the last preceding date on which there was a sale of such stock on such exchange, or (2) if the shares of Company Stock are not then listed on a national securities exchange or national market system, or the value of such shares is not otherwise determinable, such value as determined by the Committee in good faith.</w:t>
      </w:r>
    </w:p>
    <w:p>
      <w:pPr>
        <w:spacing w:after="0" w:line="235" w:lineRule="exact"/>
        <w:rPr>
          <w:sz w:val="20"/>
          <w:szCs w:val="20"/>
          <w:color w:val="auto"/>
        </w:rPr>
      </w:pPr>
    </w:p>
    <w:p>
      <w:pPr>
        <w:jc w:val="both"/>
        <w:spacing w:after="0" w:line="223" w:lineRule="auto"/>
        <w:rPr>
          <w:sz w:val="20"/>
          <w:szCs w:val="20"/>
          <w:color w:val="auto"/>
        </w:rPr>
      </w:pPr>
      <w:r>
        <w:rPr>
          <w:rFonts w:ascii="Arial" w:cs="Arial" w:eastAsia="Arial" w:hAnsi="Arial"/>
          <w:sz w:val="20"/>
          <w:szCs w:val="20"/>
          <w:color w:val="auto"/>
        </w:rPr>
        <w:t>"Disability" shall mean [a Permanent Disability as such term is defined in the Employment Agreement, provided that such termination also qualifies as]</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a termination of Service on account of a disability which meets the requirements of 1.409A-3(i)(4) of the Treasury Regulations, as determined by the Committee.</w:t>
      </w:r>
    </w:p>
    <w:p>
      <w:pPr>
        <w:spacing w:after="0" w:line="23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“Dividend Value” shall mean the value of any dividends paid on a share of Company Stock during the applicable measurement period, with the payment date deemed to have occurred on the ex-dividend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145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1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6" w:lineRule="exact"/>
        <w:rPr>
          <w:sz w:val="20"/>
          <w:szCs w:val="20"/>
          <w:color w:val="auto"/>
        </w:rPr>
      </w:pPr>
    </w:p>
    <w:p>
      <w:pPr>
        <w:ind w:left="120" w:hanging="112"/>
        <w:spacing w:after="0"/>
        <w:tabs>
          <w:tab w:leader="none" w:pos="120" w:val="left"/>
        </w:tabs>
        <w:numPr>
          <w:ilvl w:val="0"/>
          <w:numId w:val="116"/>
        </w:numPr>
        <w:rPr>
          <w:rFonts w:ascii="Arial" w:cs="Arial" w:eastAsia="Arial" w:hAnsi="Arial"/>
          <w:sz w:val="23"/>
          <w:szCs w:val="23"/>
          <w:color w:val="auto"/>
          <w:vertAlign w:val="superscript"/>
        </w:rPr>
      </w:pPr>
      <w:r>
        <w:rPr>
          <w:rFonts w:ascii="Arial" w:cs="Arial" w:eastAsia="Arial" w:hAnsi="Arial"/>
          <w:sz w:val="18"/>
          <w:szCs w:val="18"/>
          <w:color w:val="auto"/>
        </w:rPr>
        <w:t xml:space="preserve">Only applicable to the </w:t>
      </w:r>
      <w:r>
        <w:rPr>
          <w:rFonts w:ascii="Arial" w:cs="Arial" w:eastAsia="Arial" w:hAnsi="Arial"/>
          <w:sz w:val="18"/>
          <w:szCs w:val="18"/>
          <w:i w:val="1"/>
          <w:iCs w:val="1"/>
          <w:color w:val="auto"/>
        </w:rPr>
        <w:t>Notice of Grant of Performance Restricted Units</w:t>
      </w:r>
      <w:r>
        <w:rPr>
          <w:rFonts w:ascii="Arial" w:cs="Arial" w:eastAsia="Arial" w:hAnsi="Arial"/>
          <w:sz w:val="18"/>
          <w:szCs w:val="18"/>
          <w:color w:val="auto"/>
        </w:rPr>
        <w:t xml:space="preserve"> for Leonard S. Schleifer, M.D., Ph.D.</w:t>
      </w:r>
    </w:p>
    <w:p>
      <w:pPr>
        <w:sectPr>
          <w:pgSz w:w="11900" w:h="16838" w:orient="portrait"/>
          <w:cols w:equalWidth="0" w:num="1">
            <w:col w:w="11240"/>
          </w:cols>
          <w:pgMar w:left="320" w:top="1432" w:right="339" w:bottom="1440" w:gutter="0" w:footer="0" w:header="0"/>
        </w:sectPr>
      </w:pPr>
    </w:p>
    <w:bookmarkStart w:id="179" w:name="page180"/>
    <w:bookmarkEnd w:id="179"/>
    <w:p>
      <w:pPr>
        <w:jc w:val="both"/>
        <w:spacing w:after="0" w:line="246" w:lineRule="auto"/>
        <w:rPr>
          <w:sz w:val="20"/>
          <w:szCs w:val="20"/>
          <w:color w:val="auto"/>
        </w:rPr>
      </w:pPr>
      <w:r>
        <w:rPr>
          <w:rFonts w:ascii="Arial" w:cs="Arial" w:eastAsia="Arial" w:hAnsi="Arial"/>
          <w:sz w:val="20"/>
          <w:szCs w:val="20"/>
          <w:color w:val="auto"/>
        </w:rPr>
        <w:t>date for such dividend and the amount of such dividend deemed reinvested in shares of Company Stock as of the ex-dividend date (based on the Closing Price of such shares on such date).</w:t>
      </w:r>
    </w:p>
    <w:p>
      <w:pPr>
        <w:spacing w:after="0" w:line="23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“Ending Stock Price” shall mean the average Closing Price of a share of Company Stock for the twenty trading days immediately preceding the applicable determination date, after adjusting for the Dividend Value, as applicable.</w:t>
      </w: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 xml:space="preserve">"Good Reason" shall mean (i) in the case where there is no employment agreement, consulting agreement, change in control agreement or plan, or similar agreement or plan in effect between you and the Company (or otherwise applicable to you) on the Grant Date (or where there is such an agreement or plan but it does not define “good reason” (or words of like import) or such agreement or plan would not apply) a termination of employment by you within one hundred twenty (120) days after the occurrence of one of the following events unless such events are fully corrected in all material respects by the Company within thirty (30) days following written notification by you to the Company that you intend to terminate your employment hereunder for one of the reasons set forth below: (A) (1) any material diminution in your duties and responsibilities from those which existed as of the Grant Date (except in each case in connection with the termination of your employment for Cause or as a result of your death, or temporarily as a result of your illness or other absence), or (2) the assignment to you of duties and responsibilities materially inconsistent with the position held by you; (B) any material breach by the Company of any material provision of any written agreement with you or failure to timely pay any compensation obligation to you; (C) a reduction in your annual base salary or target bonus opportunity (if any) from that which existed as of the Grant Date; or (D) if you are based at the Company’s principal executive office, any relocation therefrom or, in any event, a relocation of your primary office of more than fifty (50) miles from the location as of the Grant Date; (ii) in the case where there is an employment agreement, consulting agreement, change in control agreement or plan, or similar agreement or plan in effect between you and the Company (or otherwise applicable to you) on the Grant Date that defines “good reason” (or words of like import) and such agreement or plan applies, as defined under such agreement or plan[;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such definition shall be deemed, solely for purposes of this Notice, to include as one of the reasons that the employment of Leonard S. Schleifer, M.D., Ph.D. with the Company under the Amended and Restated Employment Agreement, dated as of November 14, 2008, by and between Dr. Schleifer and the Company, as in effect from time to time (the “Employment Agreement”), has ended due to Dr. Schleifer’s Involuntary Termination (as defined in the Employment Agreement)]</w:t>
      </w:r>
      <w:r>
        <w:rPr>
          <w:rFonts w:ascii="Arial" w:cs="Arial" w:eastAsia="Arial" w:hAnsi="Arial"/>
          <w:sz w:val="24"/>
          <w:szCs w:val="24"/>
          <w:color w:val="auto"/>
          <w:vertAlign w:val="superscript"/>
        </w:rPr>
        <w:t>3</w:t>
      </w:r>
      <w:r>
        <w:rPr>
          <w:rFonts w:ascii="Arial" w:cs="Arial" w:eastAsia="Arial" w:hAnsi="Arial"/>
          <w:sz w:val="19"/>
          <w:szCs w:val="19"/>
          <w:color w:val="auto"/>
        </w:rPr>
        <w:t>; or (iii) at a time when you are no longer employed by the Company because your employment has been terminated without Cause or you have resigned from your employment for a reason specified in clause (i) or clause (ii) of this definition of “Good Reason” but your Service continues because you serve as a member of the Board of Directors or a consultant to the Company, your voluntary resignation or other termination of your service as a member of the Board of Directors or voluntary resignation or termination of your service as a consultant (as applicable).</w:t>
      </w:r>
    </w:p>
    <w:p>
      <w:pPr>
        <w:spacing w:after="0" w:line="200" w:lineRule="exact"/>
        <w:rPr>
          <w:sz w:val="20"/>
          <w:szCs w:val="20"/>
          <w:color w:val="auto"/>
        </w:rPr>
      </w:pPr>
    </w:p>
    <w:p>
      <w:pPr>
        <w:spacing w:after="0" w:line="25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“Plan” shall mean the Second Amended and Restated Regeneron Pharmaceuticals, Inc. 2014 Long-Term Incentive Plan, as amended from time to time.</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“TSR” shall mean the percent return on a share of Company Stock, determined using the following calculation: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TSR = (Ending Stock Price - Beginning Stock Price)/(Beginning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17145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1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20" w:hanging="112"/>
        <w:spacing w:after="0"/>
        <w:tabs>
          <w:tab w:leader="none" w:pos="120" w:val="left"/>
        </w:tabs>
        <w:numPr>
          <w:ilvl w:val="0"/>
          <w:numId w:val="117"/>
        </w:numPr>
        <w:rPr>
          <w:rFonts w:ascii="Arial" w:cs="Arial" w:eastAsia="Arial" w:hAnsi="Arial"/>
          <w:sz w:val="23"/>
          <w:szCs w:val="23"/>
          <w:color w:val="auto"/>
          <w:vertAlign w:val="superscript"/>
        </w:rPr>
      </w:pPr>
      <w:r>
        <w:rPr>
          <w:rFonts w:ascii="Arial" w:cs="Arial" w:eastAsia="Arial" w:hAnsi="Arial"/>
          <w:sz w:val="18"/>
          <w:szCs w:val="18"/>
          <w:color w:val="auto"/>
        </w:rPr>
        <w:t xml:space="preserve">Only applicable to the </w:t>
      </w:r>
      <w:r>
        <w:rPr>
          <w:rFonts w:ascii="Arial" w:cs="Arial" w:eastAsia="Arial" w:hAnsi="Arial"/>
          <w:sz w:val="18"/>
          <w:szCs w:val="18"/>
          <w:i w:val="1"/>
          <w:iCs w:val="1"/>
          <w:color w:val="auto"/>
        </w:rPr>
        <w:t>Notice of Grant of Performance Restricted Units</w:t>
      </w:r>
      <w:r>
        <w:rPr>
          <w:rFonts w:ascii="Arial" w:cs="Arial" w:eastAsia="Arial" w:hAnsi="Arial"/>
          <w:sz w:val="18"/>
          <w:szCs w:val="18"/>
          <w:color w:val="auto"/>
        </w:rPr>
        <w:t xml:space="preserve"> for George D. Yancopoulos, M.D., Ph.D.</w:t>
      </w:r>
    </w:p>
    <w:p>
      <w:pPr>
        <w:sectPr>
          <w:pgSz w:w="11900" w:h="16838" w:orient="portrait"/>
          <w:cols w:equalWidth="0" w:num="1">
            <w:col w:w="11240"/>
          </w:cols>
          <w:pgMar w:left="320" w:top="1432" w:right="339" w:bottom="1440" w:gutter="0" w:footer="0" w:header="0"/>
        </w:sectPr>
      </w:pPr>
    </w:p>
    <w:bookmarkStart w:id="180" w:name="page181"/>
    <w:bookmarkEnd w:id="180"/>
    <w:p>
      <w:pPr>
        <w:spacing w:after="0"/>
        <w:rPr>
          <w:sz w:val="20"/>
          <w:szCs w:val="20"/>
          <w:color w:val="auto"/>
        </w:rPr>
      </w:pPr>
      <w:r>
        <w:rPr>
          <w:rFonts w:ascii="Arial" w:cs="Arial" w:eastAsia="Arial" w:hAnsi="Arial"/>
          <w:sz w:val="20"/>
          <w:szCs w:val="20"/>
          <w:u w:val="single" w:color="auto"/>
          <w:color w:val="auto"/>
        </w:rPr>
        <w:t>3. Special Rules</w:t>
      </w:r>
      <w:r>
        <w:rPr>
          <w:rFonts w:ascii="Arial" w:cs="Arial" w:eastAsia="Arial" w:hAnsi="Arial"/>
          <w:sz w:val="20"/>
          <w:szCs w:val="20"/>
          <w:color w:val="auto"/>
        </w:rPr>
        <w:t>.</w:t>
      </w:r>
    </w:p>
    <w:p>
      <w:pPr>
        <w:spacing w:after="0" w:line="243"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For the avoidance of doubt, and notwithstanding any provision in this Notice, the Performance Restricted Stock Unit Agreement, or the Plan to the contrary, no termination of Service shall be deemed to take place unless you cease both to be employed by and to provide service to the Company and/or its Subsidiaries as a consultant or as a member of the Board of Directors. In addition, to the extent necessary to comply with the requirements of Section 409A of the Code, no termination shall be deemed to occur unless the termination constitutes a "separation from service" for purposes of Section 409A of the Code.</w:t>
      </w:r>
    </w:p>
    <w:p>
      <w:pPr>
        <w:spacing w:after="0" w:line="22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In the event that the Company pays dividends during the Performance Period, the number of shares of Company Stock subject to the Target PSU shall be increased by a number of shares of Company Stock equal to the aggregate amount of the dividend payable with respect to the number of shares of Company Stock subject to the Target PSU, divided by the Fair Market Value of a share of the Company Stock on the ex-dividend date with respect to such dividend.</w:t>
      </w:r>
    </w:p>
    <w:p>
      <w:pPr>
        <w:spacing w:after="0" w:line="23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Shares of Company Stock earned and vested pursuant to the Performance Restricted Stock Unit Agreement and this Notice shall be delivered (subject to satisfaction of the applicable tax withholding requirements) as soon as practicable (but in no event more than 30 days) following either the end of the Holding Period or the applicable vesting date, as applicable.</w:t>
      </w:r>
    </w:p>
    <w:p>
      <w:pPr>
        <w:spacing w:after="0" w:line="23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You and the Company agree that these Performance Restricted Stock Units are granted under and governed by the terms and conditions of the Plan and the enclosed Performance Restricted Stock Unit Agreement, both of which are attached and made a part of this document.</w:t>
      </w:r>
    </w:p>
    <w:p>
      <w:pPr>
        <w:spacing w:after="0" w:line="233" w:lineRule="exact"/>
        <w:rPr>
          <w:sz w:val="20"/>
          <w:szCs w:val="20"/>
          <w:color w:val="auto"/>
        </w:rPr>
      </w:pPr>
    </w:p>
    <w:p>
      <w:pPr>
        <w:jc w:val="both"/>
        <w:spacing w:after="0" w:line="252" w:lineRule="auto"/>
        <w:rPr>
          <w:sz w:val="20"/>
          <w:szCs w:val="20"/>
          <w:color w:val="auto"/>
        </w:rPr>
      </w:pPr>
      <w:r>
        <w:rPr>
          <w:rFonts w:ascii="Arial" w:cs="Arial" w:eastAsia="Arial" w:hAnsi="Arial"/>
          <w:sz w:val="19"/>
          <w:szCs w:val="19"/>
          <w:u w:val="single" w:color="auto"/>
          <w:color w:val="auto"/>
        </w:rPr>
        <w:t>409A Rules</w:t>
      </w:r>
      <w:r>
        <w:rPr>
          <w:rFonts w:ascii="Arial" w:cs="Arial" w:eastAsia="Arial" w:hAnsi="Arial"/>
          <w:sz w:val="19"/>
          <w:szCs w:val="19"/>
          <w:color w:val="auto"/>
        </w:rPr>
        <w:t>. The Performance Restricted Stock Units are intended to comply with the requirements of Section 409A of the Code and shall be administered and interpreted in a manner consistent with this intent. If the Company determines that this award is subject to Section 409A of the Code and that it does not comply with or is inconsistent with the applicable requirements, the Company may, in its sole discretion, and without your consent, amend this award to cause it to comply with Section 409A of the Code. Notwithstanding any provision of this award to the contrary, in the event that any settlement of the Performance Restricted Stock Units occurs as a result of your termination of employment and the Company determines that you are a “specified employee” (within the meaning of Section 409A of the Code) subject to Section 409A of the Code at the time of your termination of employment, and provided further that such settlement does not otherwise qualify for an applicable exemption from Section 409A of the Code, then no such settlement shall occur until the date that is the earlier to occur of: (i) your death, or</w:t>
      </w:r>
    </w:p>
    <w:p>
      <w:pPr>
        <w:spacing w:after="0" w:line="1" w:lineRule="exact"/>
        <w:rPr>
          <w:sz w:val="20"/>
          <w:szCs w:val="20"/>
          <w:color w:val="auto"/>
        </w:rPr>
      </w:pPr>
    </w:p>
    <w:p>
      <w:pPr>
        <w:jc w:val="both"/>
        <w:ind w:firstLine="8"/>
        <w:spacing w:after="0"/>
        <w:tabs>
          <w:tab w:leader="none" w:pos="294" w:val="left"/>
        </w:tabs>
        <w:numPr>
          <w:ilvl w:val="0"/>
          <w:numId w:val="118"/>
        </w:numPr>
        <w:rPr>
          <w:rFonts w:ascii="Arial" w:cs="Arial" w:eastAsia="Arial" w:hAnsi="Arial"/>
          <w:sz w:val="20"/>
          <w:szCs w:val="20"/>
          <w:color w:val="auto"/>
        </w:rPr>
      </w:pPr>
      <w:r>
        <w:rPr>
          <w:rFonts w:ascii="Arial" w:cs="Arial" w:eastAsia="Arial" w:hAnsi="Arial"/>
          <w:sz w:val="20"/>
          <w:szCs w:val="20"/>
          <w:color w:val="auto"/>
        </w:rPr>
        <w:t>six (6) months and one (1) day following your termination of employment. To the extent necessary to comply with Section 409A of the Code, the terms “Retirement,” “terminate,” “termination,” “termination of employment,” termination of Service, and variations thereof as used in this Award Agreement are intended to mean a “separation from service” as such term is defined under Section 409A of the Code. Although this award is intended to comply with the requirements of Section 409A of the Code, the Company does not represent or warrant that this award or the payments provided hereunder will comply with Section 409A of the Code or any other provisions of federal, state, local, or non-U.S. law. The Company shall not be liable to you (or any other individual claiming a benefit through you) for any tax, interest, or penalties you may owe as a result of compensation paid under this award, and the Company shall have no obligation to indemnify or otherwise protect you from the obligation to pay any taxes pursuant to Section 409A of the Code. Each payment of shares of Company Stock hereunder shall be considered a separate payment for purposes of Code Section 409A.</w:t>
      </w:r>
    </w:p>
    <w:p>
      <w:pPr>
        <w:sectPr>
          <w:pgSz w:w="11900" w:h="16838" w:orient="portrait"/>
          <w:cols w:equalWidth="0" w:num="1">
            <w:col w:w="11240"/>
          </w:cols>
          <w:pgMar w:left="320" w:top="1432" w:right="339" w:bottom="1440" w:gutter="0" w:footer="0" w:header="0"/>
        </w:sectPr>
      </w:pPr>
    </w:p>
    <w:bookmarkStart w:id="181" w:name="page182"/>
    <w:bookmarkEnd w:id="181"/>
    <w:p>
      <w:pPr>
        <w:jc w:val="center"/>
        <w:spacing w:after="0"/>
        <w:rPr>
          <w:sz w:val="20"/>
          <w:szCs w:val="20"/>
          <w:color w:val="auto"/>
        </w:rPr>
      </w:pPr>
      <w:r>
        <w:rPr>
          <w:rFonts w:ascii="Arial" w:cs="Arial" w:eastAsia="Arial" w:hAnsi="Arial"/>
          <w:sz w:val="25"/>
          <w:szCs w:val="25"/>
          <w:b w:val="1"/>
          <w:bCs w:val="1"/>
          <w:color w:val="800000"/>
        </w:rPr>
        <w:t>REGENERON PHARMACEUTICALS, INC.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RESTRICTED STOCK UNIT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SECOND AMENDED AND RESTATED REGENERON PHARMACEUTICALS,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2014 LONG-TERM INCENTIVE PLAN</w:t>
      </w:r>
    </w:p>
    <w:p>
      <w:pPr>
        <w:spacing w:after="0" w:line="303"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6"/>
          <w:szCs w:val="16"/>
          <w:color w:val="auto"/>
        </w:rPr>
        <w:t>THIS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made as of the date on the </w:t>
      </w:r>
      <w:r>
        <w:rPr>
          <w:rFonts w:ascii="Arial" w:cs="Arial" w:eastAsia="Arial" w:hAnsi="Arial"/>
          <w:sz w:val="16"/>
          <w:szCs w:val="16"/>
          <w:i w:val="1"/>
          <w:iCs w:val="1"/>
          <w:color w:val="auto"/>
        </w:rPr>
        <w:t>Notice of Grant of Performance Restricted Stock Units</w:t>
      </w:r>
      <w:r>
        <w:rPr>
          <w:rFonts w:ascii="Arial" w:cs="Arial" w:eastAsia="Arial" w:hAnsi="Arial"/>
          <w:sz w:val="16"/>
          <w:szCs w:val="16"/>
          <w:color w:val="auto"/>
        </w:rPr>
        <w:t>, by and between Regeneron Pharmaceuticals, Inc., a New York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together with its Subsidiaries, the “</w:t>
      </w:r>
      <w:r>
        <w:rPr>
          <w:rFonts w:ascii="Arial" w:cs="Arial" w:eastAsia="Arial" w:hAnsi="Arial"/>
          <w:sz w:val="16"/>
          <w:szCs w:val="16"/>
          <w:u w:val="single" w:color="auto"/>
          <w:color w:val="auto"/>
        </w:rPr>
        <w:t>Employer</w:t>
      </w:r>
      <w:r>
        <w:rPr>
          <w:rFonts w:ascii="Arial" w:cs="Arial" w:eastAsia="Arial" w:hAnsi="Arial"/>
          <w:sz w:val="16"/>
          <w:szCs w:val="16"/>
          <w:color w:val="auto"/>
        </w:rPr>
        <w:t>”), and the employee</w:t>
      </w:r>
    </w:p>
    <w:p>
      <w:pPr>
        <w:jc w:val="both"/>
        <w:ind w:right="20"/>
        <w:spacing w:after="0" w:line="277" w:lineRule="auto"/>
        <w:rPr>
          <w:sz w:val="20"/>
          <w:szCs w:val="20"/>
          <w:color w:val="auto"/>
        </w:rPr>
      </w:pPr>
      <w:r>
        <w:rPr>
          <w:rFonts w:ascii="Arial" w:cs="Arial" w:eastAsia="Arial" w:hAnsi="Arial"/>
          <w:sz w:val="18"/>
          <w:szCs w:val="18"/>
          <w:color w:val="auto"/>
        </w:rPr>
        <w:t xml:space="preserve">named on the </w:t>
      </w:r>
      <w:r>
        <w:rPr>
          <w:rFonts w:ascii="Arial" w:cs="Arial" w:eastAsia="Arial" w:hAnsi="Arial"/>
          <w:sz w:val="18"/>
          <w:szCs w:val="18"/>
          <w:i w:val="1"/>
          <w:iCs w:val="1"/>
          <w:color w:val="auto"/>
        </w:rPr>
        <w:t>Notice of Grant of Performance Restricted Stock Units</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Recipient</w:t>
      </w:r>
      <w:r>
        <w:rPr>
          <w:rFonts w:ascii="Arial" w:cs="Arial" w:eastAsia="Arial" w:hAnsi="Arial"/>
          <w:sz w:val="18"/>
          <w:szCs w:val="18"/>
          <w:color w:val="auto"/>
        </w:rPr>
        <w:t>”). Any capitalized term used but not defined in this Agreement shall have the meaning given to such term in the Plan (as defined below).</w:t>
      </w:r>
    </w:p>
    <w:p>
      <w:pPr>
        <w:spacing w:after="0" w:line="62"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WHEREAS, the Recipient is an employee of the Company (or a Subsidiary of the Company) and the Company desires to afford the Recipient the opportunity to acquire or enlarge the Recipient’s stock ownership in the Company so that the Recipient may have a direct proprietary interest in the Company’s success; and</w:t>
      </w:r>
    </w:p>
    <w:p>
      <w:pPr>
        <w:spacing w:after="0" w:line="76" w:lineRule="exact"/>
        <w:rPr>
          <w:sz w:val="20"/>
          <w:szCs w:val="20"/>
          <w:color w:val="auto"/>
        </w:rPr>
      </w:pPr>
    </w:p>
    <w:p>
      <w:pPr>
        <w:jc w:val="both"/>
        <w:ind w:right="20" w:firstLine="1296"/>
        <w:spacing w:after="0" w:line="259" w:lineRule="auto"/>
        <w:rPr>
          <w:sz w:val="20"/>
          <w:szCs w:val="20"/>
          <w:color w:val="auto"/>
        </w:rPr>
      </w:pPr>
      <w:r>
        <w:rPr>
          <w:rFonts w:ascii="Arial" w:cs="Arial" w:eastAsia="Arial" w:hAnsi="Arial"/>
          <w:sz w:val="18"/>
          <w:szCs w:val="18"/>
          <w:color w:val="auto"/>
        </w:rPr>
        <w:t>WHEREAS, the Committee administering the Second Amended and Restated Regeneron Pharmaceuticals, Inc. 2014 Long-Term Incentive Plan (as amended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xml:space="preserve">”) has granted (as of the effective date of grant specified in the </w:t>
      </w:r>
      <w:r>
        <w:rPr>
          <w:rFonts w:ascii="Arial" w:cs="Arial" w:eastAsia="Arial" w:hAnsi="Arial"/>
          <w:sz w:val="18"/>
          <w:szCs w:val="18"/>
          <w:i w:val="1"/>
          <w:iCs w:val="1"/>
          <w:color w:val="auto"/>
        </w:rPr>
        <w:t>Notice of Grant of Performance</w:t>
      </w:r>
      <w:r>
        <w:rPr>
          <w:rFonts w:ascii="Arial" w:cs="Arial" w:eastAsia="Arial" w:hAnsi="Arial"/>
          <w:sz w:val="18"/>
          <w:szCs w:val="18"/>
          <w:color w:val="auto"/>
        </w:rPr>
        <w:t xml:space="preserve"> </w:t>
      </w:r>
      <w:r>
        <w:rPr>
          <w:rFonts w:ascii="Arial" w:cs="Arial" w:eastAsia="Arial" w:hAnsi="Arial"/>
          <w:sz w:val="18"/>
          <w:szCs w:val="18"/>
          <w:i w:val="1"/>
          <w:iCs w:val="1"/>
          <w:color w:val="auto"/>
        </w:rPr>
        <w:t>Restricted Stock Units</w:t>
      </w:r>
      <w:r>
        <w:rPr>
          <w:rFonts w:ascii="Arial" w:cs="Arial" w:eastAsia="Arial" w:hAnsi="Arial"/>
          <w:sz w:val="18"/>
          <w:szCs w:val="18"/>
          <w:color w:val="auto"/>
        </w:rPr>
        <w:t>) to the Recipient a Performance Restricted Stock Unit (as defined below) with respect to the number of shares of Company Stock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set forth in the </w:t>
      </w:r>
      <w:r>
        <w:rPr>
          <w:rFonts w:ascii="Arial" w:cs="Arial" w:eastAsia="Arial" w:hAnsi="Arial"/>
          <w:sz w:val="18"/>
          <w:szCs w:val="18"/>
          <w:i w:val="1"/>
          <w:iCs w:val="1"/>
          <w:color w:val="auto"/>
        </w:rPr>
        <w:t>Notice of Grant of Performance Restricted Stock Units</w:t>
      </w:r>
      <w:r>
        <w:rPr>
          <w:rFonts w:ascii="Arial" w:cs="Arial" w:eastAsia="Arial" w:hAnsi="Arial"/>
          <w:sz w:val="18"/>
          <w:szCs w:val="18"/>
          <w:color w:val="auto"/>
        </w:rPr>
        <w:t>.</w:t>
      </w:r>
    </w:p>
    <w:p>
      <w:pPr>
        <w:spacing w:after="0" w:line="7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NOW, THEREFORE, in consideration of the covenants and agreements herein contained, the parties agree as follows:</w:t>
      </w:r>
    </w:p>
    <w:p>
      <w:pPr>
        <w:spacing w:after="0" w:line="113" w:lineRule="exact"/>
        <w:rPr>
          <w:sz w:val="20"/>
          <w:szCs w:val="20"/>
          <w:color w:val="auto"/>
        </w:rPr>
      </w:pPr>
    </w:p>
    <w:p>
      <w:pPr>
        <w:jc w:val="both"/>
        <w:ind w:firstLine="1304"/>
        <w:spacing w:after="0" w:line="274" w:lineRule="auto"/>
        <w:tabs>
          <w:tab w:leader="none" w:pos="1944" w:val="left"/>
        </w:tabs>
        <w:numPr>
          <w:ilvl w:val="0"/>
          <w:numId w:val="119"/>
        </w:numPr>
        <w:rPr>
          <w:rFonts w:ascii="Arial" w:cs="Arial" w:eastAsia="Arial" w:hAnsi="Arial"/>
          <w:sz w:val="17"/>
          <w:szCs w:val="17"/>
          <w:color w:val="auto"/>
        </w:rPr>
      </w:pPr>
      <w:r>
        <w:rPr>
          <w:rFonts w:ascii="Arial" w:cs="Arial" w:eastAsia="Arial" w:hAnsi="Arial"/>
          <w:sz w:val="17"/>
          <w:szCs w:val="17"/>
          <w:b w:val="1"/>
          <w:bCs w:val="1"/>
          <w:color w:val="auto"/>
        </w:rPr>
        <w:t>Grant of Award</w:t>
      </w:r>
      <w:r>
        <w:rPr>
          <w:rFonts w:ascii="Arial" w:cs="Arial" w:eastAsia="Arial" w:hAnsi="Arial"/>
          <w:sz w:val="17"/>
          <w:szCs w:val="17"/>
          <w:color w:val="auto"/>
        </w:rPr>
        <w:t>. Pursuant to Section 9 of the Plan, the Company grants to the Recipient, subject to the terms and conditions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Plan and subject further to the terms and conditions set forth herein, a restricted stock unit (referred to in the Plan as “Phantom Stock”) (each such unit, a “</w:t>
      </w:r>
      <w:r>
        <w:rPr>
          <w:rFonts w:ascii="Arial" w:cs="Arial" w:eastAsia="Arial" w:hAnsi="Arial"/>
          <w:sz w:val="17"/>
          <w:szCs w:val="17"/>
          <w:u w:val="single" w:color="auto"/>
          <w:color w:val="auto"/>
        </w:rPr>
        <w:t>Performance Restricted Stock Unit</w:t>
      </w:r>
      <w:r>
        <w:rPr>
          <w:rFonts w:ascii="Arial" w:cs="Arial" w:eastAsia="Arial" w:hAnsi="Arial"/>
          <w:sz w:val="17"/>
          <w:szCs w:val="17"/>
          <w:color w:val="auto"/>
        </w:rPr>
        <w:t xml:space="preserve">”) with respect to the number of shares of Company Stock as determined in accordance with the </w:t>
      </w:r>
      <w:r>
        <w:rPr>
          <w:rFonts w:ascii="Arial" w:cs="Arial" w:eastAsia="Arial" w:hAnsi="Arial"/>
          <w:sz w:val="17"/>
          <w:szCs w:val="17"/>
          <w:i w:val="1"/>
          <w:iCs w:val="1"/>
          <w:color w:val="auto"/>
        </w:rPr>
        <w:t>Notice of Grant of</w:t>
      </w:r>
      <w:r>
        <w:rPr>
          <w:rFonts w:ascii="Arial" w:cs="Arial" w:eastAsia="Arial" w:hAnsi="Arial"/>
          <w:sz w:val="17"/>
          <w:szCs w:val="17"/>
          <w:color w:val="auto"/>
        </w:rPr>
        <w:t xml:space="preserve"> </w:t>
      </w:r>
      <w:r>
        <w:rPr>
          <w:rFonts w:ascii="Arial" w:cs="Arial" w:eastAsia="Arial" w:hAnsi="Arial"/>
          <w:sz w:val="17"/>
          <w:szCs w:val="17"/>
          <w:i w:val="1"/>
          <w:iCs w:val="1"/>
          <w:color w:val="auto"/>
        </w:rPr>
        <w:t>Performance Restricted Stock Units</w:t>
      </w:r>
      <w:r>
        <w:rPr>
          <w:rFonts w:ascii="Arial" w:cs="Arial" w:eastAsia="Arial" w:hAnsi="Arial"/>
          <w:sz w:val="17"/>
          <w:szCs w:val="17"/>
          <w:color w:val="auto"/>
        </w:rPr>
        <w:t>. The Recipient’s record of Company Stock ownership shall be recorded in the books of the Company only when and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extent the Performance Restricted Stock Units vest and the shares of Company Stock are issued. At the Recipient’s request, vested shares that have been issued may be evidenced by stock certificates or book-entry registration.</w:t>
      </w:r>
    </w:p>
    <w:p>
      <w:pPr>
        <w:spacing w:after="0" w:line="65" w:lineRule="exact"/>
        <w:rPr>
          <w:rFonts w:ascii="Arial" w:cs="Arial" w:eastAsia="Arial" w:hAnsi="Arial"/>
          <w:sz w:val="17"/>
          <w:szCs w:val="17"/>
          <w:color w:val="auto"/>
        </w:rPr>
      </w:pPr>
    </w:p>
    <w:p>
      <w:pPr>
        <w:jc w:val="both"/>
        <w:ind w:firstLine="1304"/>
        <w:spacing w:after="0" w:line="271" w:lineRule="auto"/>
        <w:tabs>
          <w:tab w:leader="none" w:pos="1944" w:val="left"/>
        </w:tabs>
        <w:numPr>
          <w:ilvl w:val="0"/>
          <w:numId w:val="119"/>
        </w:numPr>
        <w:rPr>
          <w:rFonts w:ascii="Arial" w:cs="Arial" w:eastAsia="Arial" w:hAnsi="Arial"/>
          <w:sz w:val="17"/>
          <w:szCs w:val="17"/>
          <w:color w:val="auto"/>
        </w:rPr>
      </w:pPr>
      <w:r>
        <w:rPr>
          <w:rFonts w:ascii="Arial" w:cs="Arial" w:eastAsia="Arial" w:hAnsi="Arial"/>
          <w:sz w:val="17"/>
          <w:szCs w:val="17"/>
          <w:b w:val="1"/>
          <w:bCs w:val="1"/>
          <w:color w:val="auto"/>
        </w:rPr>
        <w:t>Vesting; Forfeiture</w:t>
      </w:r>
      <w:r>
        <w:rPr>
          <w:rFonts w:ascii="Arial" w:cs="Arial" w:eastAsia="Arial" w:hAnsi="Arial"/>
          <w:sz w:val="17"/>
          <w:szCs w:val="17"/>
          <w:color w:val="auto"/>
        </w:rPr>
        <w:t>. (a) The Performance Restricted Stock Units granted to the Recipient shall vest or be forfeited as 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the </w:t>
      </w:r>
      <w:r>
        <w:rPr>
          <w:rFonts w:ascii="Arial" w:cs="Arial" w:eastAsia="Arial" w:hAnsi="Arial"/>
          <w:sz w:val="17"/>
          <w:szCs w:val="17"/>
          <w:i w:val="1"/>
          <w:iCs w:val="1"/>
          <w:color w:val="auto"/>
        </w:rPr>
        <w:t>Notice of Grant of Performance Restricted Stock Units</w:t>
      </w:r>
      <w:r>
        <w:rPr>
          <w:rFonts w:ascii="Arial" w:cs="Arial" w:eastAsia="Arial" w:hAnsi="Arial"/>
          <w:sz w:val="17"/>
          <w:szCs w:val="17"/>
          <w:color w:val="auto"/>
        </w:rPr>
        <w:t xml:space="preserve">. The provisions of this Section 2(a) are subject to the provisions set forth in the </w:t>
      </w:r>
      <w:r>
        <w:rPr>
          <w:rFonts w:ascii="Arial" w:cs="Arial" w:eastAsia="Arial" w:hAnsi="Arial"/>
          <w:sz w:val="17"/>
          <w:szCs w:val="17"/>
          <w:i w:val="1"/>
          <w:iCs w:val="1"/>
          <w:color w:val="auto"/>
        </w:rPr>
        <w:t>Notice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Grant of Performance Restricted Stock Units </w:t>
      </w:r>
      <w:r>
        <w:rPr>
          <w:rFonts w:ascii="Arial" w:cs="Arial" w:eastAsia="Arial" w:hAnsi="Arial"/>
          <w:sz w:val="17"/>
          <w:szCs w:val="17"/>
          <w:color w:val="auto"/>
        </w:rPr>
        <w:t>and the Recipient acknowledges and agrees that except as specifically set forth in Section 2(b)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Agreement with respect to potential excise tax, the provisions of this agreement and the </w:t>
      </w:r>
      <w:r>
        <w:rPr>
          <w:rFonts w:ascii="Arial" w:cs="Arial" w:eastAsia="Arial" w:hAnsi="Arial"/>
          <w:sz w:val="17"/>
          <w:szCs w:val="17"/>
          <w:i w:val="1"/>
          <w:iCs w:val="1"/>
          <w:color w:val="auto"/>
        </w:rPr>
        <w:t>Notice of Grant of Performance Restricted Stock Units</w:t>
      </w:r>
      <w:r>
        <w:rPr>
          <w:rFonts w:ascii="Arial" w:cs="Arial" w:eastAsia="Arial" w:hAnsi="Arial"/>
          <w:sz w:val="17"/>
          <w:szCs w:val="17"/>
          <w:color w:val="auto"/>
        </w:rPr>
        <w:t xml:space="preserve"> supersede any contradictory provisions contained in any employment agreement, consulting agreement, change in control agreement or plan, or similar agreement or plan in effect between the Employer and the Recipient (or otherwise applicable to the Recipient) on the date of grant specified in the </w:t>
      </w:r>
      <w:r>
        <w:rPr>
          <w:rFonts w:ascii="Arial" w:cs="Arial" w:eastAsia="Arial" w:hAnsi="Arial"/>
          <w:sz w:val="17"/>
          <w:szCs w:val="17"/>
          <w:i w:val="1"/>
          <w:iCs w:val="1"/>
          <w:color w:val="auto"/>
        </w:rPr>
        <w:t>Notice of Grant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Performance Restricted Stock Units </w:t>
      </w:r>
      <w:r>
        <w:rPr>
          <w:rFonts w:ascii="Arial" w:cs="Arial" w:eastAsia="Arial" w:hAnsi="Arial"/>
          <w:sz w:val="17"/>
          <w:szCs w:val="17"/>
          <w:color w:val="auto"/>
        </w:rPr>
        <w:t>[(without limiting the generality of the foregoing, the Recipient acknowledges and agrees that the provisions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Agreement and the </w:t>
      </w:r>
      <w:r>
        <w:rPr>
          <w:rFonts w:ascii="Arial" w:cs="Arial" w:eastAsia="Arial" w:hAnsi="Arial"/>
          <w:sz w:val="17"/>
          <w:szCs w:val="17"/>
          <w:i w:val="1"/>
          <w:iCs w:val="1"/>
          <w:color w:val="auto"/>
        </w:rPr>
        <w:t>Notice of Grant of Performance Restricted Units</w:t>
      </w:r>
      <w:r>
        <w:rPr>
          <w:rFonts w:ascii="Arial" w:cs="Arial" w:eastAsia="Arial" w:hAnsi="Arial"/>
          <w:sz w:val="17"/>
          <w:szCs w:val="17"/>
          <w:color w:val="auto"/>
        </w:rPr>
        <w:t xml:space="preserve"> supersede Section 8(f) of the Amended and Restated Employment Agreement, dated as of November 14, 2008, by and between the Recipient and the Company, as in effect from time to time)]</w:t>
      </w:r>
      <w:r>
        <w:rPr>
          <w:rFonts w:ascii="Arial" w:cs="Arial" w:eastAsia="Arial" w:hAnsi="Arial"/>
          <w:sz w:val="22"/>
          <w:szCs w:val="22"/>
          <w:color w:val="auto"/>
          <w:vertAlign w:val="superscript"/>
        </w:rPr>
        <w:t>4</w:t>
      </w:r>
      <w:r>
        <w:rPr>
          <w:rFonts w:ascii="Arial" w:cs="Arial" w:eastAsia="Arial" w:hAnsi="Arial"/>
          <w:sz w:val="17"/>
          <w:szCs w:val="17"/>
          <w:color w:val="auto"/>
        </w:rPr>
        <w:t>.</w:t>
      </w:r>
    </w:p>
    <w:p>
      <w:pPr>
        <w:spacing w:after="0" w:line="5" w:lineRule="exact"/>
        <w:rPr>
          <w:sz w:val="20"/>
          <w:szCs w:val="20"/>
          <w:color w:val="auto"/>
        </w:rPr>
      </w:pPr>
    </w:p>
    <w:p>
      <w:pPr>
        <w:jc w:val="both"/>
        <w:ind w:firstLine="1304"/>
        <w:spacing w:after="0" w:line="286" w:lineRule="auto"/>
        <w:tabs>
          <w:tab w:leader="none" w:pos="174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 xml:space="preserve">Except as otherwise provided in any employment agreement, consulting agreement, change in control agreement or plan, or similar agreement or plan in effect between the Employer and the Recipient (or otherwise applicable to the Recipient) on the date of grant specified in the </w:t>
      </w:r>
      <w:r>
        <w:rPr>
          <w:rFonts w:ascii="Arial" w:cs="Arial" w:eastAsia="Arial" w:hAnsi="Arial"/>
          <w:sz w:val="17"/>
          <w:szCs w:val="17"/>
          <w:i w:val="1"/>
          <w:iCs w:val="1"/>
          <w:color w:val="auto"/>
        </w:rPr>
        <w:t>Notice of</w:t>
      </w:r>
      <w:r>
        <w:rPr>
          <w:rFonts w:ascii="Arial" w:cs="Arial" w:eastAsia="Arial" w:hAnsi="Arial"/>
          <w:sz w:val="17"/>
          <w:szCs w:val="17"/>
          <w:color w:val="auto"/>
        </w:rPr>
        <w:t xml:space="preserve"> </w:t>
      </w:r>
      <w:r>
        <w:rPr>
          <w:rFonts w:ascii="Arial" w:cs="Arial" w:eastAsia="Arial" w:hAnsi="Arial"/>
          <w:sz w:val="17"/>
          <w:szCs w:val="17"/>
          <w:i w:val="1"/>
          <w:iCs w:val="1"/>
          <w:color w:val="auto"/>
        </w:rPr>
        <w:t>Grant of Performance Restricted Stock Units</w:t>
      </w:r>
      <w:r>
        <w:rPr>
          <w:rFonts w:ascii="Arial" w:cs="Arial" w:eastAsia="Arial" w:hAnsi="Arial"/>
          <w:sz w:val="17"/>
          <w:szCs w:val="17"/>
          <w:color w:val="auto"/>
        </w:rPr>
        <w:t>, if the application of the Change in Control provisions set forth in the</w:t>
      </w:r>
      <w:r>
        <w:rPr>
          <w:rFonts w:ascii="Arial" w:cs="Arial" w:eastAsia="Arial" w:hAnsi="Arial"/>
          <w:sz w:val="17"/>
          <w:szCs w:val="17"/>
          <w:i w:val="1"/>
          <w:iCs w:val="1"/>
          <w:color w:val="auto"/>
        </w:rPr>
        <w:t xml:space="preserve"> Notice of Grant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7145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1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79" w:lineRule="exact"/>
        <w:rPr>
          <w:sz w:val="20"/>
          <w:szCs w:val="20"/>
          <w:color w:val="auto"/>
        </w:rPr>
      </w:pPr>
    </w:p>
    <w:p>
      <w:pPr>
        <w:ind w:left="120" w:hanging="112"/>
        <w:spacing w:after="0"/>
        <w:tabs>
          <w:tab w:leader="none" w:pos="120" w:val="left"/>
        </w:tabs>
        <w:numPr>
          <w:ilvl w:val="0"/>
          <w:numId w:val="121"/>
        </w:numPr>
        <w:rPr>
          <w:rFonts w:ascii="Arial" w:cs="Arial" w:eastAsia="Arial" w:hAnsi="Arial"/>
          <w:sz w:val="23"/>
          <w:szCs w:val="23"/>
          <w:color w:val="auto"/>
          <w:vertAlign w:val="superscript"/>
        </w:rPr>
      </w:pPr>
      <w:r>
        <w:rPr>
          <w:rFonts w:ascii="Arial" w:cs="Arial" w:eastAsia="Arial" w:hAnsi="Arial"/>
          <w:sz w:val="18"/>
          <w:szCs w:val="18"/>
          <w:color w:val="auto"/>
        </w:rPr>
        <w:t>Only applicable to the Performance Restricted Stock Unit Agreements for Leonard S. Schleifer, M.D., Ph.D.</w:t>
      </w:r>
    </w:p>
    <w:p>
      <w:pPr>
        <w:sectPr>
          <w:pgSz w:w="11900" w:h="16838" w:orient="portrait"/>
          <w:cols w:equalWidth="0" w:num="1">
            <w:col w:w="11240"/>
          </w:cols>
          <w:pgMar w:left="320" w:top="1413" w:right="339" w:bottom="1440" w:gutter="0" w:footer="0" w:header="0"/>
        </w:sectPr>
      </w:pPr>
    </w:p>
    <w:bookmarkStart w:id="182" w:name="page183"/>
    <w:bookmarkEnd w:id="182"/>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Performance Restricted Stock Units</w:t>
      </w:r>
      <w:r>
        <w:rPr>
          <w:rFonts w:ascii="Arial" w:cs="Arial" w:eastAsia="Arial" w:hAnsi="Arial"/>
          <w:sz w:val="16"/>
          <w:szCs w:val="16"/>
          <w:color w:val="auto"/>
        </w:rPr>
        <w:t>, similar provisions in other stock option or equity compensation grants, and other payments and benefits payable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Recipient upon termination of employment with the Employer or otherwise (collectively, the “</w:t>
      </w:r>
      <w:r>
        <w:rPr>
          <w:rFonts w:ascii="Arial" w:cs="Arial" w:eastAsia="Arial" w:hAnsi="Arial"/>
          <w:sz w:val="16"/>
          <w:szCs w:val="16"/>
          <w:u w:val="single" w:color="auto"/>
          <w:color w:val="auto"/>
        </w:rPr>
        <w:t>Company Payments</w:t>
      </w:r>
      <w:r>
        <w:rPr>
          <w:rFonts w:ascii="Arial" w:cs="Arial" w:eastAsia="Arial" w:hAnsi="Arial"/>
          <w:sz w:val="16"/>
          <w:szCs w:val="16"/>
          <w:color w:val="auto"/>
        </w:rPr>
        <w:t>”) would result in the Recipient being subject to excise tax (the “</w:t>
      </w:r>
      <w:r>
        <w:rPr>
          <w:rFonts w:ascii="Arial" w:cs="Arial" w:eastAsia="Arial" w:hAnsi="Arial"/>
          <w:sz w:val="16"/>
          <w:szCs w:val="16"/>
          <w:u w:val="single" w:color="auto"/>
          <w:color w:val="auto"/>
        </w:rPr>
        <w:t>Excise Tax</w:t>
      </w:r>
      <w:r>
        <w:rPr>
          <w:rFonts w:ascii="Arial" w:cs="Arial" w:eastAsia="Arial" w:hAnsi="Arial"/>
          <w:sz w:val="16"/>
          <w:szCs w:val="16"/>
          <w:color w:val="auto"/>
        </w:rPr>
        <w:t>”) payable under Section 4999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xml:space="preserve">”), the amount of any Company Payments shall be automatically reduced to an amount one dollar less than an amount that would subject the Recipient to the Excise Tax;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reduction shall occur only if the reduced Company Payments received by the Recipient (after taking into account further reductions for applicable federal, state and local income, social security and other taxes) would be greater than the unreduced Company Payments to be received by the Recipient minus (i) the Excise Tax payable with respect to such Company Payments and (ii) all applicable federal, state and local income, social security and other taxes on such Company Payments. If the Company Payments are to be reduced in accordance with the foregoing, the Company Payments shall be reduced as mutually agreed between the Employer and the Recipient or, in the event the parties cannot agree, in the following order: (1) acceleration of vesting of any option where the exercise price exceeds the fair market value of the underlying shares at the time the acceleration would otherwise occur; (2) any lump-sum severance based on a multiple of base salary or bonus; (3) any other cash amounts payable to the Recipient; (4) any benefits valued as parachute payments; and (5) acceleration of vesting of any equity not covered by (1) above.</w:t>
      </w:r>
    </w:p>
    <w:p>
      <w:pPr>
        <w:spacing w:after="0" w:line="56" w:lineRule="exact"/>
        <w:rPr>
          <w:sz w:val="20"/>
          <w:szCs w:val="20"/>
          <w:color w:val="auto"/>
        </w:rPr>
      </w:pPr>
    </w:p>
    <w:p>
      <w:pPr>
        <w:jc w:val="both"/>
        <w:ind w:firstLine="1304"/>
        <w:spacing w:after="0" w:line="277" w:lineRule="auto"/>
        <w:tabs>
          <w:tab w:leader="none" w:pos="1944" w:val="left"/>
        </w:tabs>
        <w:numPr>
          <w:ilvl w:val="0"/>
          <w:numId w:val="122"/>
        </w:numPr>
        <w:rPr>
          <w:rFonts w:ascii="Arial" w:cs="Arial" w:eastAsia="Arial" w:hAnsi="Arial"/>
          <w:sz w:val="17"/>
          <w:szCs w:val="17"/>
          <w:color w:val="auto"/>
        </w:rPr>
      </w:pPr>
      <w:r>
        <w:rPr>
          <w:rFonts w:ascii="Arial" w:cs="Arial" w:eastAsia="Arial" w:hAnsi="Arial"/>
          <w:sz w:val="17"/>
          <w:szCs w:val="17"/>
          <w:b w:val="1"/>
          <w:bCs w:val="1"/>
          <w:color w:val="auto"/>
        </w:rPr>
        <w:t xml:space="preserve">Recipient Acknowledgement. </w:t>
      </w:r>
      <w:r>
        <w:rPr>
          <w:rFonts w:ascii="Arial" w:cs="Arial" w:eastAsia="Arial" w:hAnsi="Arial"/>
          <w:sz w:val="17"/>
          <w:szCs w:val="17"/>
          <w:color w:val="auto"/>
        </w:rPr>
        <w:t>The Recipient hereby acknowledges and agrees that it is the mutual intent of that Recipient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that the award of Performance Restricted Stock Units made pursuant to this Agreement shall be in lieu of any equity, equity-based or other long-term incentive award, in each case for the five-year period commencing on the date hereof and ending on the date on which the Company grants annual equity awards in respect of 2025 and that the Recipient shall have no entitlement for any such awards during that five-year period, whether or not any portion of the award of Performance Restricted Stock Units made pursuant to this Agreement is earned.</w:t>
      </w:r>
    </w:p>
    <w:p>
      <w:pPr>
        <w:spacing w:after="0" w:line="59" w:lineRule="exact"/>
        <w:rPr>
          <w:rFonts w:ascii="Arial" w:cs="Arial" w:eastAsia="Arial" w:hAnsi="Arial"/>
          <w:sz w:val="17"/>
          <w:szCs w:val="17"/>
          <w:color w:val="auto"/>
        </w:rPr>
      </w:pPr>
    </w:p>
    <w:p>
      <w:pPr>
        <w:jc w:val="both"/>
        <w:ind w:firstLine="1304"/>
        <w:spacing w:after="0" w:line="266" w:lineRule="auto"/>
        <w:tabs>
          <w:tab w:leader="none" w:pos="1944" w:val="left"/>
        </w:tabs>
        <w:numPr>
          <w:ilvl w:val="0"/>
          <w:numId w:val="122"/>
        </w:numPr>
        <w:rPr>
          <w:rFonts w:ascii="Arial" w:cs="Arial" w:eastAsia="Arial" w:hAnsi="Arial"/>
          <w:sz w:val="18"/>
          <w:szCs w:val="18"/>
          <w:color w:val="auto"/>
        </w:rPr>
      </w:pPr>
      <w:r>
        <w:rPr>
          <w:rFonts w:ascii="Arial" w:cs="Arial" w:eastAsia="Arial" w:hAnsi="Arial"/>
          <w:sz w:val="18"/>
          <w:szCs w:val="18"/>
          <w:b w:val="1"/>
          <w:bCs w:val="1"/>
          <w:color w:val="auto"/>
        </w:rPr>
        <w:t>Securities Laws Requirements</w:t>
      </w:r>
      <w:r>
        <w:rPr>
          <w:rFonts w:ascii="Arial" w:cs="Arial" w:eastAsia="Arial" w:hAnsi="Arial"/>
          <w:sz w:val="18"/>
          <w:szCs w:val="18"/>
          <w:color w:val="auto"/>
        </w:rPr>
        <w:t>. The Company shall not be obligated to transfer any shares of Company Stock to the Recipient,</w:t>
      </w:r>
      <w:r>
        <w:rPr>
          <w:rFonts w:ascii="Arial" w:cs="Arial" w:eastAsia="Arial" w:hAnsi="Arial"/>
          <w:sz w:val="18"/>
          <w:szCs w:val="18"/>
          <w:b w:val="1"/>
          <w:bCs w:val="1"/>
          <w:color w:val="auto"/>
        </w:rPr>
        <w:t xml:space="preserve"> </w:t>
      </w:r>
      <w:r>
        <w:rPr>
          <w:rFonts w:ascii="Arial" w:cs="Arial" w:eastAsia="Arial" w:hAnsi="Arial"/>
          <w:sz w:val="18"/>
          <w:szCs w:val="18"/>
          <w:color w:val="auto"/>
        </w:rPr>
        <w:t>if such transfer, in the opinion of counsel for the Company, would violate the Securities Act (or any other federal or state statutes having similar requirements as may be in effect at that time).</w:t>
      </w:r>
    </w:p>
    <w:p>
      <w:pPr>
        <w:spacing w:after="0" w:line="67" w:lineRule="exact"/>
        <w:rPr>
          <w:rFonts w:ascii="Arial" w:cs="Arial" w:eastAsia="Arial" w:hAnsi="Arial"/>
          <w:sz w:val="18"/>
          <w:szCs w:val="18"/>
          <w:color w:val="auto"/>
        </w:rPr>
      </w:pPr>
    </w:p>
    <w:p>
      <w:pPr>
        <w:jc w:val="both"/>
        <w:ind w:firstLine="1304"/>
        <w:spacing w:after="0" w:line="281" w:lineRule="auto"/>
        <w:tabs>
          <w:tab w:leader="none" w:pos="1944" w:val="left"/>
        </w:tabs>
        <w:numPr>
          <w:ilvl w:val="0"/>
          <w:numId w:val="122"/>
        </w:numPr>
        <w:rPr>
          <w:rFonts w:ascii="Arial" w:cs="Arial" w:eastAsia="Arial" w:hAnsi="Arial"/>
          <w:sz w:val="17"/>
          <w:szCs w:val="17"/>
          <w:color w:val="auto"/>
        </w:rPr>
      </w:pPr>
      <w:r>
        <w:rPr>
          <w:rFonts w:ascii="Arial" w:cs="Arial" w:eastAsia="Arial" w:hAnsi="Arial"/>
          <w:sz w:val="17"/>
          <w:szCs w:val="17"/>
          <w:b w:val="1"/>
          <w:bCs w:val="1"/>
          <w:color w:val="auto"/>
        </w:rPr>
        <w:t>Invalid Transfers</w:t>
      </w:r>
      <w:r>
        <w:rPr>
          <w:rFonts w:ascii="Arial" w:cs="Arial" w:eastAsia="Arial" w:hAnsi="Arial"/>
          <w:sz w:val="17"/>
          <w:szCs w:val="17"/>
          <w:color w:val="auto"/>
        </w:rPr>
        <w:t>. No purported sale, assignment, mortgage, hypothecation, transfer, pledge, encumbrance, gift, transfer in trust</w:t>
      </w:r>
      <w:r>
        <w:rPr>
          <w:rFonts w:ascii="Arial" w:cs="Arial" w:eastAsia="Arial" w:hAnsi="Arial"/>
          <w:sz w:val="17"/>
          <w:szCs w:val="17"/>
          <w:b w:val="1"/>
          <w:bCs w:val="1"/>
          <w:color w:val="auto"/>
        </w:rPr>
        <w:t xml:space="preserve"> </w:t>
      </w:r>
      <w:r>
        <w:rPr>
          <w:rFonts w:ascii="Arial" w:cs="Arial" w:eastAsia="Arial" w:hAnsi="Arial"/>
          <w:sz w:val="17"/>
          <w:szCs w:val="17"/>
          <w:color w:val="auto"/>
        </w:rPr>
        <w:t>(voting or other) or other disposition of, or creation of a security interest in or lien on, any of the Performance Restricted Stock Units by any holder thereof in violation of the provisions of this Agreement or the Certificate of Incorporation or the By-Laws of the Company shall be valid. The foregoing restrictions are in addition to and not in lieu of any other remedies, legal or equitable, available to enforce said provisions.</w:t>
      </w:r>
    </w:p>
    <w:p>
      <w:pPr>
        <w:spacing w:after="0" w:line="56" w:lineRule="exact"/>
        <w:rPr>
          <w:rFonts w:ascii="Arial" w:cs="Arial" w:eastAsia="Arial" w:hAnsi="Arial"/>
          <w:sz w:val="17"/>
          <w:szCs w:val="17"/>
          <w:color w:val="auto"/>
        </w:rPr>
      </w:pPr>
    </w:p>
    <w:p>
      <w:pPr>
        <w:jc w:val="both"/>
        <w:ind w:firstLine="1304"/>
        <w:spacing w:after="0" w:line="271" w:lineRule="auto"/>
        <w:tabs>
          <w:tab w:leader="none" w:pos="1944" w:val="left"/>
        </w:tabs>
        <w:numPr>
          <w:ilvl w:val="0"/>
          <w:numId w:val="122"/>
        </w:numPr>
        <w:rPr>
          <w:rFonts w:ascii="Arial" w:cs="Arial" w:eastAsia="Arial" w:hAnsi="Arial"/>
          <w:sz w:val="17"/>
          <w:szCs w:val="17"/>
          <w:color w:val="auto"/>
        </w:rPr>
      </w:pPr>
      <w:r>
        <w:rPr>
          <w:rFonts w:ascii="Arial" w:cs="Arial" w:eastAsia="Arial" w:hAnsi="Arial"/>
          <w:sz w:val="17"/>
          <w:szCs w:val="17"/>
          <w:b w:val="1"/>
          <w:bCs w:val="1"/>
          <w:color w:val="auto"/>
        </w:rPr>
        <w:t>Taxes</w:t>
      </w:r>
      <w:r>
        <w:rPr>
          <w:rFonts w:ascii="Arial" w:cs="Arial" w:eastAsia="Arial" w:hAnsi="Arial"/>
          <w:sz w:val="17"/>
          <w:szCs w:val="17"/>
          <w:color w:val="auto"/>
        </w:rPr>
        <w:t>. At the time the Recipient recognizes taxable income in respect of the Performance Restricted Stock Units, an amount</w:t>
      </w:r>
      <w:r>
        <w:rPr>
          <w:rFonts w:ascii="Arial" w:cs="Arial" w:eastAsia="Arial" w:hAnsi="Arial"/>
          <w:sz w:val="17"/>
          <w:szCs w:val="17"/>
          <w:b w:val="1"/>
          <w:bCs w:val="1"/>
          <w:color w:val="auto"/>
        </w:rPr>
        <w:t xml:space="preserve"> </w:t>
      </w:r>
      <w:r>
        <w:rPr>
          <w:rFonts w:ascii="Arial" w:cs="Arial" w:eastAsia="Arial" w:hAnsi="Arial"/>
          <w:sz w:val="17"/>
          <w:szCs w:val="17"/>
          <w:color w:val="auto"/>
        </w:rPr>
        <w:t>equal to the federal, state and/or local taxes the Company determines it is required to withhold under applicable tax laws with respect to the Performance Restricted Stock Units shall be due from the Recipient to the Company and shall (except as may otherwise be determined by the Board of Directors or the Committee from time to time (including following the date hereof)) be satisfied by surrendering to the Company a portion of the shares of Company Stock otherwise deliverable with respect to the Performance Restricted Stock Units the vesting of which gives rise to the withholding obligation (but only to the extent of the minimum withholding required by law). Shares so surrendered by the Recipient shall be credited against any such withholding obligation at the Fair Market Value of such shares on the date of such vesting (and the amount equal to the Fair Market Value of such shares shall be remitted by the Company to the appropriate tax authorities). The Recipient understands that he or she (and not the Company) shall be responsible for any tax liability that may arise as a result of the transactions contemplated by this Agreement.</w:t>
      </w:r>
    </w:p>
    <w:p>
      <w:pPr>
        <w:spacing w:after="0" w:line="65" w:lineRule="exact"/>
        <w:rPr>
          <w:rFonts w:ascii="Arial" w:cs="Arial" w:eastAsia="Arial" w:hAnsi="Arial"/>
          <w:sz w:val="17"/>
          <w:szCs w:val="17"/>
          <w:color w:val="auto"/>
        </w:rPr>
      </w:pPr>
    </w:p>
    <w:p>
      <w:pPr>
        <w:jc w:val="both"/>
        <w:ind w:firstLine="1304"/>
        <w:spacing w:after="0" w:line="258" w:lineRule="auto"/>
        <w:tabs>
          <w:tab w:leader="none" w:pos="1944" w:val="left"/>
        </w:tabs>
        <w:numPr>
          <w:ilvl w:val="0"/>
          <w:numId w:val="122"/>
        </w:numPr>
        <w:rPr>
          <w:rFonts w:ascii="Arial" w:cs="Arial" w:eastAsia="Arial" w:hAnsi="Arial"/>
          <w:sz w:val="18"/>
          <w:szCs w:val="18"/>
          <w:color w:val="auto"/>
        </w:rPr>
      </w:pPr>
      <w:r>
        <w:rPr>
          <w:rFonts w:ascii="Arial" w:cs="Arial" w:eastAsia="Arial" w:hAnsi="Arial"/>
          <w:sz w:val="18"/>
          <w:szCs w:val="18"/>
          <w:b w:val="1"/>
          <w:bCs w:val="1"/>
          <w:color w:val="auto"/>
        </w:rPr>
        <w:t>Rights as a Shareholder</w:t>
      </w:r>
      <w:r>
        <w:rPr>
          <w:rFonts w:ascii="Arial" w:cs="Arial" w:eastAsia="Arial" w:hAnsi="Arial"/>
          <w:sz w:val="18"/>
          <w:szCs w:val="18"/>
          <w:color w:val="auto"/>
        </w:rPr>
        <w:t>. The Recipient will not have the rights of a shareholder with respect to shares of Company Stock</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subject to the Performance Restricted Stock Units until the vesting of the Performance Restricted Stock Units and the delivery of shares of Company Stock with respect to such vesting following the expiration of the Holding Period (as defined in the </w:t>
      </w:r>
      <w:r>
        <w:rPr>
          <w:rFonts w:ascii="Arial" w:cs="Arial" w:eastAsia="Arial" w:hAnsi="Arial"/>
          <w:sz w:val="18"/>
          <w:szCs w:val="18"/>
          <w:i w:val="1"/>
          <w:iCs w:val="1"/>
          <w:color w:val="auto"/>
        </w:rPr>
        <w:t>Notice of Grant of Performance Restricted Stock Units</w:t>
      </w:r>
      <w:r>
        <w:rPr>
          <w:rFonts w:ascii="Arial" w:cs="Arial" w:eastAsia="Arial" w:hAnsi="Arial"/>
          <w:sz w:val="18"/>
          <w:szCs w:val="18"/>
          <w:color w:val="auto"/>
        </w:rPr>
        <w:t>) (if applicable). The Company may, in its sole discretion, determine to deliver any documents related to participation in the Plan or deliverable to the Recipient in the Recipient’s capacity as a shareholder of the Company</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by electronic means. The Recipient hereby consents to receive any and all such documents by electronic delivery to the extent the Company utilizes such delivery method from time to time.</w:t>
      </w:r>
    </w:p>
    <w:p>
      <w:pPr>
        <w:spacing w:after="0" w:line="58" w:lineRule="exact"/>
        <w:rPr>
          <w:sz w:val="20"/>
          <w:szCs w:val="20"/>
          <w:color w:val="auto"/>
        </w:rPr>
      </w:pPr>
    </w:p>
    <w:p>
      <w:pPr>
        <w:jc w:val="both"/>
        <w:ind w:firstLine="1304"/>
        <w:spacing w:after="0" w:line="261" w:lineRule="auto"/>
        <w:tabs>
          <w:tab w:leader="none" w:pos="1944"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Compliance with Law and Regulations</w:t>
      </w:r>
      <w:r>
        <w:rPr>
          <w:rFonts w:ascii="Arial" w:cs="Arial" w:eastAsia="Arial" w:hAnsi="Arial"/>
          <w:sz w:val="18"/>
          <w:szCs w:val="18"/>
          <w:color w:val="auto"/>
        </w:rPr>
        <w:t>. This Agreement, the award hereunder and any obligation of the Company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subject to all applicable federal, state and local laws, rules and regulations and to such approvals by any government or regulatory agency as may be required. Except to the extent preempted by any federal law, this Agreement shall be construed and administered in accordance with the laws of the State of New York without reference to its principles of conflicts of law.</w:t>
      </w:r>
    </w:p>
    <w:p>
      <w:pPr>
        <w:spacing w:after="0" w:line="71" w:lineRule="exact"/>
        <w:rPr>
          <w:rFonts w:ascii="Arial" w:cs="Arial" w:eastAsia="Arial" w:hAnsi="Arial"/>
          <w:sz w:val="18"/>
          <w:szCs w:val="18"/>
          <w:color w:val="auto"/>
        </w:rPr>
      </w:pPr>
    </w:p>
    <w:p>
      <w:pPr>
        <w:jc w:val="both"/>
        <w:ind w:firstLine="1304"/>
        <w:spacing w:after="0" w:line="314" w:lineRule="auto"/>
        <w:tabs>
          <w:tab w:leader="none" w:pos="1944" w:val="left"/>
        </w:tabs>
        <w:numPr>
          <w:ilvl w:val="0"/>
          <w:numId w:val="123"/>
        </w:numPr>
        <w:rPr>
          <w:rFonts w:ascii="Arial" w:cs="Arial" w:eastAsia="Arial" w:hAnsi="Arial"/>
          <w:sz w:val="16"/>
          <w:szCs w:val="16"/>
          <w:color w:val="auto"/>
        </w:rPr>
      </w:pPr>
      <w:r>
        <w:rPr>
          <w:rFonts w:ascii="Arial" w:cs="Arial" w:eastAsia="Arial" w:hAnsi="Arial"/>
          <w:sz w:val="16"/>
          <w:szCs w:val="16"/>
          <w:b w:val="1"/>
          <w:bCs w:val="1"/>
          <w:color w:val="auto"/>
        </w:rPr>
        <w:t>Recipient Bound by Plan</w:t>
      </w:r>
      <w:r>
        <w:rPr>
          <w:rFonts w:ascii="Arial" w:cs="Arial" w:eastAsia="Arial" w:hAnsi="Arial"/>
          <w:sz w:val="16"/>
          <w:szCs w:val="16"/>
          <w:color w:val="auto"/>
        </w:rPr>
        <w:t>. The Recipient acknowledges receipt of a copy of this Agreement and the Plan and agrees to be</w:t>
      </w:r>
      <w:r>
        <w:rPr>
          <w:rFonts w:ascii="Arial" w:cs="Arial" w:eastAsia="Arial" w:hAnsi="Arial"/>
          <w:sz w:val="16"/>
          <w:szCs w:val="16"/>
          <w:b w:val="1"/>
          <w:bCs w:val="1"/>
          <w:color w:val="auto"/>
        </w:rPr>
        <w:t xml:space="preserve"> </w:t>
      </w:r>
      <w:r>
        <w:rPr>
          <w:rFonts w:ascii="Arial" w:cs="Arial" w:eastAsia="Arial" w:hAnsi="Arial"/>
          <w:sz w:val="16"/>
          <w:szCs w:val="16"/>
          <w:color w:val="auto"/>
        </w:rPr>
        <w:t>bound by all the terms and provisions thereof, which are incorporated herein by reference. To the extent that this Agreement is silent with respect to, or in any way inconsistent with, the terms of the Plan, the provisions of the Plan shall govern and this Agreement shall be deemed to be modified accordingly.</w:t>
      </w:r>
    </w:p>
    <w:p>
      <w:pPr>
        <w:spacing w:after="0" w:line="33" w:lineRule="exact"/>
        <w:rPr>
          <w:rFonts w:ascii="Arial" w:cs="Arial" w:eastAsia="Arial" w:hAnsi="Arial"/>
          <w:sz w:val="16"/>
          <w:szCs w:val="16"/>
          <w:color w:val="auto"/>
        </w:rPr>
      </w:pPr>
    </w:p>
    <w:p>
      <w:pPr>
        <w:jc w:val="both"/>
        <w:ind w:firstLine="1304"/>
        <w:spacing w:after="0" w:line="277" w:lineRule="auto"/>
        <w:tabs>
          <w:tab w:leader="none" w:pos="1939" w:val="left"/>
        </w:tabs>
        <w:numPr>
          <w:ilvl w:val="0"/>
          <w:numId w:val="123"/>
        </w:numPr>
        <w:rPr>
          <w:rFonts w:ascii="Arial" w:cs="Arial" w:eastAsia="Arial" w:hAnsi="Arial"/>
          <w:sz w:val="17"/>
          <w:szCs w:val="17"/>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Any notice or communication given hereunder shall be in writing and shall be deemed given when delivered in person,</w:t>
      </w:r>
      <w:r>
        <w:rPr>
          <w:rFonts w:ascii="Arial" w:cs="Arial" w:eastAsia="Arial" w:hAnsi="Arial"/>
          <w:sz w:val="17"/>
          <w:szCs w:val="17"/>
          <w:b w:val="1"/>
          <w:bCs w:val="1"/>
          <w:color w:val="auto"/>
        </w:rPr>
        <w:t xml:space="preserve"> </w:t>
      </w:r>
      <w:r>
        <w:rPr>
          <w:rFonts w:ascii="Arial" w:cs="Arial" w:eastAsia="Arial" w:hAnsi="Arial"/>
          <w:sz w:val="17"/>
          <w:szCs w:val="17"/>
          <w:color w:val="auto"/>
        </w:rPr>
        <w:t>or by United States mail, at the following addresses: (i) if to the Company, to: Regeneron Pharmaceuticals, Inc., 777 Old Saw Mill River Road, Tarrytown, NY 10591, Attention: Secretary, and (ii) if to the Recipient, to: the Recipient at Regeneron Pharmaceuticals, Inc., 777 Old Saw Mill River Road, Tarrytown, NY 10591, or, if the Recipient has terminated service with the Company, to the last address for the Recipient indicated in the records of the Company, or such other address as the relevant party shall specify at any time hereafter in accordance with this Section 10.</w:t>
      </w:r>
    </w:p>
    <w:p>
      <w:pPr>
        <w:spacing w:after="0" w:line="59" w:lineRule="exact"/>
        <w:rPr>
          <w:rFonts w:ascii="Arial" w:cs="Arial" w:eastAsia="Arial" w:hAnsi="Arial"/>
          <w:sz w:val="17"/>
          <w:szCs w:val="17"/>
          <w:color w:val="auto"/>
        </w:rPr>
      </w:pPr>
    </w:p>
    <w:p>
      <w:pPr>
        <w:ind w:firstLine="1304"/>
        <w:spacing w:after="0" w:line="282" w:lineRule="auto"/>
        <w:tabs>
          <w:tab w:leader="none" w:pos="1933"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No Obligation to Continue Employment</w:t>
      </w:r>
      <w:r>
        <w:rPr>
          <w:rFonts w:ascii="Arial" w:cs="Arial" w:eastAsia="Arial" w:hAnsi="Arial"/>
          <w:sz w:val="18"/>
          <w:szCs w:val="18"/>
          <w:color w:val="auto"/>
        </w:rPr>
        <w:t>. This Agreement does not guarantee that the Employer will employ the Recipient for</w:t>
      </w:r>
      <w:r>
        <w:rPr>
          <w:rFonts w:ascii="Arial" w:cs="Arial" w:eastAsia="Arial" w:hAnsi="Arial"/>
          <w:sz w:val="18"/>
          <w:szCs w:val="18"/>
          <w:b w:val="1"/>
          <w:bCs w:val="1"/>
          <w:color w:val="auto"/>
        </w:rPr>
        <w:t xml:space="preserve"> </w:t>
      </w:r>
      <w:r>
        <w:rPr>
          <w:rFonts w:ascii="Arial" w:cs="Arial" w:eastAsia="Arial" w:hAnsi="Arial"/>
          <w:sz w:val="18"/>
          <w:szCs w:val="18"/>
          <w:color w:val="auto"/>
        </w:rPr>
        <w:t>any specified time period, nor does it modify in any respect the Recipient’s employment or compensation.</w:t>
      </w:r>
    </w:p>
    <w:p>
      <w:pPr>
        <w:spacing w:after="0" w:line="161" w:lineRule="exact"/>
        <w:rPr>
          <w:rFonts w:ascii="Arial" w:cs="Arial" w:eastAsia="Arial" w:hAnsi="Arial"/>
          <w:sz w:val="18"/>
          <w:szCs w:val="18"/>
          <w:color w:val="auto"/>
        </w:rPr>
      </w:pPr>
    </w:p>
    <w:p>
      <w:pPr>
        <w:jc w:val="both"/>
        <w:ind w:firstLine="1304"/>
        <w:spacing w:after="0" w:line="277" w:lineRule="auto"/>
        <w:tabs>
          <w:tab w:leader="none" w:pos="1939" w:val="left"/>
        </w:tabs>
        <w:numPr>
          <w:ilvl w:val="0"/>
          <w:numId w:val="123"/>
        </w:numPr>
        <w:rPr>
          <w:rFonts w:ascii="Arial" w:cs="Arial" w:eastAsia="Arial" w:hAnsi="Arial"/>
          <w:sz w:val="17"/>
          <w:szCs w:val="17"/>
          <w:color w:val="auto"/>
        </w:rPr>
      </w:pPr>
      <w:r>
        <w:rPr>
          <w:rFonts w:ascii="Arial" w:cs="Arial" w:eastAsia="Arial" w:hAnsi="Arial"/>
          <w:sz w:val="17"/>
          <w:szCs w:val="17"/>
          <w:b w:val="1"/>
          <w:bCs w:val="1"/>
          <w:color w:val="auto"/>
        </w:rPr>
        <w:t>Recoupment</w:t>
      </w:r>
      <w:r>
        <w:rPr>
          <w:rFonts w:ascii="Arial" w:cs="Arial" w:eastAsia="Arial" w:hAnsi="Arial"/>
          <w:sz w:val="17"/>
          <w:szCs w:val="17"/>
          <w:color w:val="auto"/>
        </w:rPr>
        <w:t>. By entering into this Agreement and accepting the award hereunder, the Recipient agrees to be bound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terms of the Company’s Policy Regarding Recoupment or Reduction of Incentive Compensation for Compliance Violations, as in effect from time to time (or any successor policy thereto) (the “</w:t>
      </w:r>
      <w:r>
        <w:rPr>
          <w:rFonts w:ascii="Arial" w:cs="Arial" w:eastAsia="Arial" w:hAnsi="Arial"/>
          <w:sz w:val="17"/>
          <w:szCs w:val="17"/>
          <w:u w:val="single" w:color="auto"/>
          <w:color w:val="auto"/>
        </w:rPr>
        <w:t>Recoupment Policy</w:t>
      </w:r>
      <w:r>
        <w:rPr>
          <w:rFonts w:ascii="Arial" w:cs="Arial" w:eastAsia="Arial" w:hAnsi="Arial"/>
          <w:sz w:val="17"/>
          <w:szCs w:val="17"/>
          <w:color w:val="auto"/>
        </w:rPr>
        <w:t>”), and further acknowledges and agrees that the Recoupment Policy shall apply to the Performance Restricted Stock Units and the shares of Company Stock deliverable pursuant to the Performance Restricted Stock Units granted hereunder (including following the expiration of the Holding Period and otherwise after all restrictions on such shares have lapsed).</w:t>
      </w:r>
    </w:p>
    <w:p>
      <w:pPr>
        <w:sectPr>
          <w:pgSz w:w="11900" w:h="16838" w:orient="portrait"/>
          <w:cols w:equalWidth="0" w:num="1">
            <w:col w:w="11240"/>
          </w:cols>
          <w:pgMar w:left="320" w:top="1440" w:right="339" w:bottom="1440" w:gutter="0" w:footer="0" w:header="0"/>
        </w:sectPr>
      </w:pPr>
    </w:p>
    <w:bookmarkStart w:id="184" w:name="page185"/>
    <w:bookmarkEnd w:id="184"/>
    <w:p>
      <w:pPr>
        <w:ind w:left="8300"/>
        <w:spacing w:after="0"/>
        <w:rPr>
          <w:sz w:val="20"/>
          <w:szCs w:val="20"/>
          <w:color w:val="auto"/>
        </w:rPr>
      </w:pPr>
      <w:r>
        <w:rPr>
          <w:rFonts w:ascii="Arial" w:cs="Arial" w:eastAsia="Arial" w:hAnsi="Arial"/>
          <w:sz w:val="17"/>
          <w:szCs w:val="17"/>
          <w:color w:val="auto"/>
        </w:rPr>
        <w:t>Exhibit 10.34</w:t>
      </w:r>
    </w:p>
    <w:p>
      <w:pPr>
        <w:spacing w:after="0" w:line="223" w:lineRule="exact"/>
        <w:rPr>
          <w:sz w:val="20"/>
          <w:szCs w:val="20"/>
          <w:color w:val="auto"/>
        </w:rPr>
      </w:pPr>
    </w:p>
    <w:p>
      <w:pPr>
        <w:jc w:val="center"/>
        <w:ind w:left="1320"/>
        <w:spacing w:after="0" w:line="255" w:lineRule="auto"/>
        <w:rPr>
          <w:sz w:val="20"/>
          <w:szCs w:val="20"/>
          <w:color w:val="auto"/>
        </w:rPr>
      </w:pPr>
      <w:r>
        <w:rPr>
          <w:rFonts w:ascii="Arial" w:cs="Arial" w:eastAsia="Arial" w:hAnsi="Arial"/>
          <w:sz w:val="20"/>
          <w:szCs w:val="20"/>
          <w:b w:val="1"/>
          <w:bCs w:val="1"/>
          <w:color w:val="auto"/>
        </w:rPr>
        <w:t>CERTAIN CONFIDENTIAL PORTIONS OF THIS EXHIBIT, MARKED BY BRACKETS, WERE OMITTED BECAUSE THOSE PORTIONS ARE NOT MATERIAL AND WOULD BE COMPETITIVELY HARMFUL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151765</wp:posOffset>
            </wp:positionV>
            <wp:extent cx="5597525" cy="5740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20">
                      <a:extLst>
                        <a:ext uri="{28A0092B-C50C-407E-A947-70E740481C1C}"/>
                      </a:extLst>
                    </a:blip>
                    <a:srcRect/>
                    <a:stretch>
                      <a:fillRect/>
                    </a:stretch>
                  </pic:blipFill>
                  <pic:spPr bwMode="auto">
                    <a:xfrm>
                      <a:off x="0" y="0"/>
                      <a:ext cx="5597525"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3180" w:val="left"/>
        </w:tabs>
        <w:rPr>
          <w:sz w:val="20"/>
          <w:szCs w:val="20"/>
          <w:color w:val="auto"/>
        </w:rPr>
      </w:pPr>
      <w:r>
        <w:rPr>
          <w:rFonts w:ascii="Arial" w:cs="Arial" w:eastAsia="Arial" w:hAnsi="Arial"/>
          <w:sz w:val="22"/>
          <w:szCs w:val="22"/>
          <w:b w:val="1"/>
          <w:bCs w:val="1"/>
          <w:color w:val="auto"/>
        </w:rPr>
        <w:t>PROJECT AGREEMENT NO.:</w:t>
      </w:r>
      <w:r>
        <w:rPr>
          <w:sz w:val="20"/>
          <w:szCs w:val="20"/>
          <w:color w:val="auto"/>
        </w:rPr>
        <w:tab/>
      </w:r>
      <w:r>
        <w:rPr>
          <w:rFonts w:ascii="Arial" w:cs="Arial" w:eastAsia="Arial" w:hAnsi="Arial"/>
          <w:sz w:val="21"/>
          <w:szCs w:val="21"/>
          <w:b w:val="1"/>
          <w:bCs w:val="1"/>
          <w:color w:val="auto"/>
        </w:rPr>
        <w:t>1</w:t>
      </w:r>
    </w:p>
    <w:p>
      <w:pPr>
        <w:spacing w:after="0" w:line="260" w:lineRule="exact"/>
        <w:rPr>
          <w:sz w:val="20"/>
          <w:szCs w:val="20"/>
          <w:color w:val="auto"/>
        </w:rPr>
      </w:pPr>
    </w:p>
    <w:p>
      <w:pPr>
        <w:spacing w:after="0"/>
        <w:tabs>
          <w:tab w:leader="none" w:pos="3460" w:val="left"/>
        </w:tabs>
        <w:rPr>
          <w:sz w:val="20"/>
          <w:szCs w:val="20"/>
          <w:color w:val="auto"/>
        </w:rPr>
      </w:pPr>
      <w:r>
        <w:rPr>
          <w:rFonts w:ascii="Arial" w:cs="Arial" w:eastAsia="Arial" w:hAnsi="Arial"/>
          <w:sz w:val="22"/>
          <w:szCs w:val="22"/>
          <w:b w:val="1"/>
          <w:bCs w:val="1"/>
          <w:color w:val="auto"/>
        </w:rPr>
        <w:t>MCDC BASE AGREEMENT NO.:</w:t>
      </w:r>
      <w:r>
        <w:rPr>
          <w:sz w:val="20"/>
          <w:szCs w:val="20"/>
          <w:color w:val="auto"/>
        </w:rPr>
        <w:tab/>
      </w:r>
      <w:r>
        <w:rPr>
          <w:rFonts w:ascii="Arial" w:cs="Arial" w:eastAsia="Arial" w:hAnsi="Arial"/>
          <w:sz w:val="19"/>
          <w:szCs w:val="19"/>
          <w:color w:val="auto"/>
        </w:rPr>
        <w:t>2020-504</w:t>
      </w:r>
    </w:p>
    <w:p>
      <w:pPr>
        <w:spacing w:after="0" w:line="247" w:lineRule="exact"/>
        <w:rPr>
          <w:sz w:val="20"/>
          <w:szCs w:val="20"/>
          <w:color w:val="auto"/>
        </w:rPr>
      </w:pPr>
    </w:p>
    <w:p>
      <w:pPr>
        <w:ind w:left="4140" w:right="1280" w:hanging="4125"/>
        <w:spacing w:after="0" w:line="269" w:lineRule="auto"/>
        <w:rPr>
          <w:sz w:val="20"/>
          <w:szCs w:val="20"/>
          <w:color w:val="auto"/>
        </w:rPr>
      </w:pPr>
      <w:r>
        <w:rPr>
          <w:rFonts w:ascii="Arial" w:cs="Arial" w:eastAsia="Arial" w:hAnsi="Arial"/>
          <w:sz w:val="22"/>
          <w:szCs w:val="22"/>
          <w:b w:val="1"/>
          <w:bCs w:val="1"/>
          <w:color w:val="auto"/>
        </w:rPr>
        <w:t xml:space="preserve">PROJECT TITLE: </w:t>
      </w:r>
      <w:r>
        <w:rPr>
          <w:rFonts w:ascii="Arial" w:cs="Arial" w:eastAsia="Arial" w:hAnsi="Arial"/>
          <w:sz w:val="22"/>
          <w:szCs w:val="22"/>
          <w:color w:val="auto"/>
        </w:rPr>
        <w:t>MCDC2008-005; Large-Scale Manufacturing of Antibodies Directed to</w:t>
      </w:r>
      <w:r>
        <w:rPr>
          <w:rFonts w:ascii="Arial" w:cs="Arial" w:eastAsia="Arial" w:hAnsi="Arial"/>
          <w:sz w:val="22"/>
          <w:szCs w:val="22"/>
          <w:b w:val="1"/>
          <w:bCs w:val="1"/>
          <w:color w:val="auto"/>
        </w:rPr>
        <w:t xml:space="preserve"> </w:t>
      </w:r>
      <w:r>
        <w:rPr>
          <w:rFonts w:ascii="Arial" w:cs="Arial" w:eastAsia="Arial" w:hAnsi="Arial"/>
          <w:sz w:val="22"/>
          <w:szCs w:val="22"/>
          <w:color w:val="auto"/>
        </w:rPr>
        <w:t>SARS-CoV-2</w:t>
      </w:r>
    </w:p>
    <w:p>
      <w:pPr>
        <w:spacing w:after="0" w:line="189" w:lineRule="exact"/>
        <w:rPr>
          <w:sz w:val="20"/>
          <w:szCs w:val="20"/>
          <w:color w:val="auto"/>
        </w:rPr>
      </w:pPr>
    </w:p>
    <w:p>
      <w:pPr>
        <w:jc w:val="center"/>
        <w:ind w:right="2140"/>
        <w:spacing w:after="0"/>
        <w:tabs>
          <w:tab w:leader="none" w:pos="180" w:val="left"/>
        </w:tabs>
        <w:rPr>
          <w:sz w:val="20"/>
          <w:szCs w:val="20"/>
          <w:color w:val="auto"/>
        </w:rPr>
      </w:pPr>
      <w:r>
        <w:rPr>
          <w:rFonts w:ascii="Arial" w:cs="Arial" w:eastAsia="Arial" w:hAnsi="Arial"/>
          <w:sz w:val="22"/>
          <w:szCs w:val="22"/>
          <w:b w:val="1"/>
          <w:bCs w:val="1"/>
          <w:color w:val="auto"/>
        </w:rPr>
        <w:t>PARTIES:</w:t>
      </w:r>
      <w:r>
        <w:rPr>
          <w:sz w:val="20"/>
          <w:szCs w:val="20"/>
          <w:color w:val="auto"/>
        </w:rPr>
        <w:tab/>
      </w:r>
      <w:r>
        <w:rPr>
          <w:rFonts w:ascii="Arial" w:cs="Arial" w:eastAsia="Arial" w:hAnsi="Arial"/>
          <w:sz w:val="19"/>
          <w:szCs w:val="19"/>
          <w:color w:val="auto"/>
        </w:rPr>
        <w:t>Advanced Technology International (“MCDC CMF”) and Regeneron</w:t>
      </w:r>
    </w:p>
    <w:p>
      <w:pPr>
        <w:spacing w:after="0" w:line="27" w:lineRule="exact"/>
        <w:rPr>
          <w:sz w:val="20"/>
          <w:szCs w:val="20"/>
          <w:color w:val="auto"/>
        </w:rPr>
      </w:pPr>
    </w:p>
    <w:p>
      <w:pPr>
        <w:jc w:val="center"/>
        <w:ind w:right="2220"/>
        <w:spacing w:after="0"/>
        <w:rPr>
          <w:sz w:val="20"/>
          <w:szCs w:val="20"/>
          <w:color w:val="auto"/>
        </w:rPr>
      </w:pPr>
      <w:r>
        <w:rPr>
          <w:rFonts w:ascii="Arial" w:cs="Arial" w:eastAsia="Arial" w:hAnsi="Arial"/>
          <w:sz w:val="22"/>
          <w:szCs w:val="22"/>
          <w:color w:val="auto"/>
        </w:rPr>
        <w:t>Pharmaceuticals, Inc. (“Project Agreement Holder”)</w:t>
      </w:r>
    </w:p>
    <w:p>
      <w:pPr>
        <w:spacing w:after="0" w:line="229" w:lineRule="exact"/>
        <w:rPr>
          <w:sz w:val="20"/>
          <w:szCs w:val="20"/>
          <w:color w:val="auto"/>
        </w:rPr>
      </w:pPr>
    </w:p>
    <w:p>
      <w:pPr>
        <w:jc w:val="both"/>
        <w:ind w:right="300"/>
        <w:spacing w:after="0" w:line="261" w:lineRule="auto"/>
        <w:rPr>
          <w:sz w:val="20"/>
          <w:szCs w:val="20"/>
          <w:color w:val="auto"/>
        </w:rPr>
      </w:pPr>
      <w:r>
        <w:rPr>
          <w:rFonts w:ascii="Arial" w:cs="Arial" w:eastAsia="Arial" w:hAnsi="Arial"/>
          <w:sz w:val="21"/>
          <w:szCs w:val="21"/>
          <w:color w:val="auto"/>
        </w:rPr>
        <w:t>This Project Agreement is awarded under the authority of MCDC Base Agreement No. 2020-504, and herein incorporates all the terms and conditions thereof, as such terms and conditions are modified by the terms of the Statement Of Work attached hereto as Exhibit A (the “Statement of Work” or “SOW”). The parties agree that, to the extent any terms or conditions of the Statement of Work conflict with the terms and conditions of MCDC Base Agreement No. 2020-504, the terms and conditions of the Statement of Work shall apply and take precedence.</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PAYMENT METHOD</w:t>
      </w:r>
    </w:p>
    <w:p>
      <w:pPr>
        <w:spacing w:after="0" w:line="14" w:lineRule="exact"/>
        <w:rPr>
          <w:sz w:val="20"/>
          <w:szCs w:val="20"/>
          <w:color w:val="auto"/>
        </w:rPr>
      </w:pPr>
    </w:p>
    <w:p>
      <w:pPr>
        <w:spacing w:after="0"/>
        <w:rPr>
          <w:sz w:val="20"/>
          <w:szCs w:val="20"/>
          <w:color w:val="auto"/>
        </w:rPr>
      </w:pPr>
      <w:r>
        <w:rPr>
          <w:rFonts w:ascii="Arial" w:cs="Arial" w:eastAsia="Arial" w:hAnsi="Arial"/>
          <w:sz w:val="21"/>
          <w:szCs w:val="21"/>
          <w:color w:val="auto"/>
        </w:rPr>
        <w:t>The Payment Method for this Project Agreement is Firm Fixed Price with a not to exceed ceiling.</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TERM OF THE PROJECT AGREEMENT</w:t>
      </w:r>
    </w:p>
    <w:p>
      <w:pPr>
        <w:spacing w:after="0" w:line="27" w:lineRule="exact"/>
        <w:rPr>
          <w:sz w:val="20"/>
          <w:szCs w:val="20"/>
          <w:color w:val="auto"/>
        </w:rPr>
      </w:pPr>
    </w:p>
    <w:p>
      <w:pPr>
        <w:jc w:val="both"/>
        <w:ind w:right="300"/>
        <w:spacing w:after="0" w:line="246" w:lineRule="auto"/>
        <w:rPr>
          <w:sz w:val="20"/>
          <w:szCs w:val="20"/>
          <w:color w:val="auto"/>
        </w:rPr>
      </w:pPr>
      <w:r>
        <w:rPr>
          <w:rFonts w:ascii="Arial" w:cs="Arial" w:eastAsia="Arial" w:hAnsi="Arial"/>
          <w:sz w:val="22"/>
          <w:szCs w:val="22"/>
          <w:color w:val="auto"/>
        </w:rPr>
        <w:t xml:space="preserve">The period of performance for this Project Agreement is from </w:t>
      </w:r>
      <w:r>
        <w:rPr>
          <w:rFonts w:ascii="Arial" w:cs="Arial" w:eastAsia="Arial" w:hAnsi="Arial"/>
          <w:sz w:val="22"/>
          <w:szCs w:val="22"/>
          <w:u w:val="single" w:color="auto"/>
          <w:color w:val="auto"/>
        </w:rPr>
        <w:t>the effective date, which is the date of the</w:t>
      </w:r>
      <w:r>
        <w:rPr>
          <w:rFonts w:ascii="Arial" w:cs="Arial" w:eastAsia="Arial" w:hAnsi="Arial"/>
          <w:sz w:val="22"/>
          <w:szCs w:val="22"/>
          <w:color w:val="auto"/>
        </w:rPr>
        <w:t xml:space="preserve"> </w:t>
      </w:r>
      <w:r>
        <w:rPr>
          <w:rFonts w:ascii="Arial" w:cs="Arial" w:eastAsia="Arial" w:hAnsi="Arial"/>
          <w:sz w:val="22"/>
          <w:szCs w:val="22"/>
          <w:u w:val="single" w:color="auto"/>
          <w:color w:val="auto"/>
        </w:rPr>
        <w:t>last signature</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June 30, 2021.</w:t>
      </w: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OBLIGATION</w:t>
      </w:r>
    </w:p>
    <w:p>
      <w:pPr>
        <w:spacing w:after="0" w:line="27" w:lineRule="exact"/>
        <w:rPr>
          <w:sz w:val="20"/>
          <w:szCs w:val="20"/>
          <w:color w:val="auto"/>
        </w:rPr>
      </w:pPr>
    </w:p>
    <w:p>
      <w:pPr>
        <w:jc w:val="both"/>
        <w:ind w:right="300"/>
        <w:spacing w:after="0" w:line="245" w:lineRule="auto"/>
        <w:rPr>
          <w:sz w:val="20"/>
          <w:szCs w:val="20"/>
          <w:color w:val="auto"/>
        </w:rPr>
      </w:pPr>
      <w:r>
        <w:rPr>
          <w:rFonts w:ascii="Arial" w:cs="Arial" w:eastAsia="Arial" w:hAnsi="Arial"/>
          <w:sz w:val="22"/>
          <w:szCs w:val="22"/>
          <w:color w:val="auto"/>
        </w:rPr>
        <w:t>The MCDC CMF’s liability to make payments to the Project Agreement Holder is limited to only those funds obligated under this Project Agreement or by modification to the Project Agreement. MCDC CMF may incrementally fund this Project Agreement.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TOTAL FIRM FIXED PRICE</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The total firm fixed price for the services to be provided by the Project Agreement Holder is as follows:</w:t>
      </w:r>
    </w:p>
    <w:p>
      <w:pPr>
        <w:spacing w:after="0" w:line="257" w:lineRule="exact"/>
        <w:rPr>
          <w:sz w:val="20"/>
          <w:szCs w:val="20"/>
          <w:color w:val="auto"/>
        </w:rPr>
      </w:pPr>
    </w:p>
    <w:p>
      <w:pPr>
        <w:ind w:left="660"/>
        <w:spacing w:after="0"/>
        <w:tabs>
          <w:tab w:leader="none" w:pos="2940" w:val="left"/>
        </w:tabs>
        <w:rPr>
          <w:sz w:val="20"/>
          <w:szCs w:val="20"/>
          <w:color w:val="auto"/>
        </w:rPr>
      </w:pPr>
      <w:r>
        <w:rPr>
          <w:rFonts w:ascii="Arial" w:cs="Arial" w:eastAsia="Arial" w:hAnsi="Arial"/>
          <w:sz w:val="22"/>
          <w:szCs w:val="22"/>
          <w:b w:val="1"/>
          <w:bCs w:val="1"/>
          <w:color w:val="auto"/>
        </w:rPr>
        <w:t>Total Firm Fixed Price</w:t>
      </w:r>
      <w:r>
        <w:rPr>
          <w:sz w:val="20"/>
          <w:szCs w:val="20"/>
          <w:color w:val="auto"/>
        </w:rPr>
        <w:tab/>
      </w:r>
      <w:r>
        <w:rPr>
          <w:rFonts w:ascii="Arial" w:cs="Arial" w:eastAsia="Arial" w:hAnsi="Arial"/>
          <w:sz w:val="19"/>
          <w:szCs w:val="19"/>
          <w:b w:val="1"/>
          <w:bCs w:val="1"/>
          <w:color w:val="auto"/>
        </w:rPr>
        <w:t>$450,262,000</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TOTAL FUNDING</w:t>
      </w:r>
    </w:p>
    <w:p>
      <w:pPr>
        <w:spacing w:after="0" w:line="27" w:lineRule="exact"/>
        <w:rPr>
          <w:sz w:val="20"/>
          <w:szCs w:val="20"/>
          <w:color w:val="auto"/>
        </w:rPr>
      </w:pPr>
    </w:p>
    <w:p>
      <w:pPr>
        <w:jc w:val="both"/>
        <w:ind w:right="300"/>
        <w:spacing w:after="0" w:line="246" w:lineRule="auto"/>
        <w:rPr>
          <w:sz w:val="20"/>
          <w:szCs w:val="20"/>
          <w:color w:val="auto"/>
        </w:rPr>
      </w:pPr>
      <w:r>
        <w:rPr>
          <w:rFonts w:ascii="Arial" w:cs="Arial" w:eastAsia="Arial" w:hAnsi="Arial"/>
          <w:sz w:val="22"/>
          <w:szCs w:val="22"/>
          <w:color w:val="auto"/>
        </w:rPr>
        <w:t xml:space="preserve">The total amount of funding currently available for payment and allotted to this Project Agreement is </w:t>
      </w:r>
      <w:r>
        <w:rPr>
          <w:rFonts w:ascii="Arial" w:cs="Arial" w:eastAsia="Arial" w:hAnsi="Arial"/>
          <w:sz w:val="22"/>
          <w:szCs w:val="22"/>
          <w:b w:val="1"/>
          <w:bCs w:val="1"/>
          <w:u w:val="single" w:color="auto"/>
          <w:color w:val="auto"/>
        </w:rPr>
        <w:t>$450,262,000</w:t>
      </w:r>
      <w:r>
        <w:rPr>
          <w:rFonts w:ascii="Arial" w:cs="Arial" w:eastAsia="Arial" w:hAnsi="Arial"/>
          <w:sz w:val="22"/>
          <w:szCs w:val="22"/>
          <w:color w:val="auto"/>
        </w:rPr>
        <w:t>.</w:t>
      </w:r>
    </w:p>
    <w:p>
      <w:pPr>
        <w:sectPr>
          <w:pgSz w:w="11900" w:h="16838" w:orient="portrait"/>
          <w:cols w:equalWidth="0" w:num="1">
            <w:col w:w="9340"/>
          </w:cols>
          <w:pgMar w:left="1220" w:top="854" w:right="1339" w:bottom="1440" w:gutter="0" w:footer="0" w:header="0"/>
        </w:sectPr>
      </w:pPr>
    </w:p>
    <w:bookmarkStart w:id="185" w:name="page186"/>
    <w:bookmarkEnd w:id="185"/>
    <w:p>
      <w:pPr>
        <w:spacing w:after="0"/>
        <w:rPr>
          <w:sz w:val="20"/>
          <w:szCs w:val="20"/>
          <w:color w:val="auto"/>
        </w:rPr>
      </w:pPr>
      <w:r>
        <w:rPr>
          <w:rFonts w:ascii="Arial" w:cs="Arial" w:eastAsia="Arial" w:hAnsi="Arial"/>
          <w:sz w:val="22"/>
          <w:szCs w:val="22"/>
          <w:b w:val="1"/>
          <w:bCs w:val="1"/>
          <w:color w:val="auto"/>
        </w:rPr>
        <w:t>6.  MILESTONE PAYMENT SCHEDULE</w:t>
      </w:r>
    </w:p>
    <w:p>
      <w:pPr>
        <w:spacing w:after="0" w:line="27" w:lineRule="exact"/>
        <w:rPr>
          <w:sz w:val="20"/>
          <w:szCs w:val="20"/>
          <w:color w:val="auto"/>
        </w:rPr>
      </w:pPr>
    </w:p>
    <w:p>
      <w:pPr>
        <w:jc w:val="both"/>
        <w:ind w:right="199"/>
        <w:spacing w:after="0" w:line="244" w:lineRule="auto"/>
        <w:rPr>
          <w:sz w:val="20"/>
          <w:szCs w:val="20"/>
          <w:color w:val="auto"/>
        </w:rPr>
      </w:pPr>
      <w:r>
        <w:rPr>
          <w:rFonts w:ascii="Arial" w:cs="Arial" w:eastAsia="Arial" w:hAnsi="Arial"/>
          <w:sz w:val="22"/>
          <w:szCs w:val="22"/>
          <w:color w:val="auto"/>
        </w:rPr>
        <w:t>The Project Agreement Holder shall document the accomplishments of each Project Payable Milestone under each Project Agreement. Acceptance of Milestones shall be contingent upon approval from the Government Agreements Officer Representative (AOR) detailed in Clause No. 9, Technical and Administrative Representatives. Milestone payments will be paid in the amount indicated in the attached Milestone Payment Schedule (Attachment A).</w:t>
      </w: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APPROACH TO MEETING THE OTHER TRANSACTION AUTHORITY</w:t>
      </w:r>
    </w:p>
    <w:p>
      <w:pPr>
        <w:spacing w:after="0" w:line="27" w:lineRule="exact"/>
        <w:rPr>
          <w:sz w:val="20"/>
          <w:szCs w:val="20"/>
          <w:color w:val="auto"/>
        </w:rPr>
      </w:pPr>
    </w:p>
    <w:p>
      <w:pPr>
        <w:jc w:val="both"/>
        <w:ind w:right="199"/>
        <w:spacing w:after="0" w:line="284" w:lineRule="auto"/>
        <w:rPr>
          <w:sz w:val="20"/>
          <w:szCs w:val="20"/>
          <w:color w:val="auto"/>
        </w:rPr>
      </w:pPr>
      <w:r>
        <w:rPr>
          <w:rFonts w:ascii="Arial" w:cs="Arial" w:eastAsia="Arial" w:hAnsi="Arial"/>
          <w:sz w:val="19"/>
          <w:szCs w:val="19"/>
          <w:color w:val="auto"/>
        </w:rPr>
        <w:t>In accordance with provision contained in 10 USC 2371b governing the use Other Transaction Agreements each MCDC Member Organization must meet at least one of the following conditions: have at least one nontraditional defense contractor or nonprofit research institution participating to a significant extent in the performance of an awarded Project Agreement; all significant participants in the Project Agreement other than the Federal Government are small businesses (including small businesses participating in a program described under section 9 of the Small Business Act (15 U.S.C. 638)) or nontraditional defense contractors; or provide a cost share of no less than one third of the value of the Project Agreement awarded to the Member Organization. The Project Agreement Holder’s approach to meeting the Other Transaction Authority requirement is identified below. Throughout the period of performance of any Project Agreement, the CMF and the Government will actively monitor the award to ensure compliance with this provision in accordance with implementation guidance from Headquarters – Department of the Army (HQDA) and/or Office of the Secretary of Defense (OSD). The Project Agreement Holder will be given the opportunity to become compliant with the guidance should they be found non-compliant. Failure to comply may result in termination.</w:t>
      </w:r>
    </w:p>
    <w:p>
      <w:pPr>
        <w:spacing w:after="0" w:line="210" w:lineRule="exact"/>
        <w:rPr>
          <w:sz w:val="20"/>
          <w:szCs w:val="20"/>
          <w:color w:val="auto"/>
        </w:rPr>
      </w:pPr>
    </w:p>
    <w:p>
      <w:pPr>
        <w:jc w:val="both"/>
        <w:ind w:right="199"/>
        <w:spacing w:after="0" w:line="253" w:lineRule="auto"/>
        <w:rPr>
          <w:sz w:val="20"/>
          <w:szCs w:val="20"/>
          <w:color w:val="auto"/>
        </w:rPr>
      </w:pPr>
      <w:r>
        <w:rPr>
          <w:rFonts w:ascii="Arial" w:cs="Arial" w:eastAsia="Arial" w:hAnsi="Arial"/>
          <w:sz w:val="22"/>
          <w:szCs w:val="22"/>
          <w:color w:val="auto"/>
        </w:rPr>
        <w:t>The warranties and representations submitted as part of the proposal are hereby incorporated into this Project Agreement. The Project Agreement Holder was proposed as a nontraditional defense contractor and determined to be providing a significant contribution.</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STATEMENT OF WORK</w:t>
      </w:r>
    </w:p>
    <w:p>
      <w:pPr>
        <w:spacing w:after="0" w:line="27" w:lineRule="exact"/>
        <w:rPr>
          <w:sz w:val="20"/>
          <w:szCs w:val="20"/>
          <w:color w:val="auto"/>
        </w:rPr>
      </w:pPr>
    </w:p>
    <w:p>
      <w:pPr>
        <w:jc w:val="both"/>
        <w:ind w:right="199"/>
        <w:spacing w:after="0" w:line="244" w:lineRule="auto"/>
        <w:rPr>
          <w:sz w:val="20"/>
          <w:szCs w:val="20"/>
          <w:color w:val="auto"/>
        </w:rPr>
      </w:pPr>
      <w:r>
        <w:rPr>
          <w:rFonts w:ascii="Arial" w:cs="Arial" w:eastAsia="Arial" w:hAnsi="Arial"/>
          <w:sz w:val="22"/>
          <w:szCs w:val="22"/>
          <w:color w:val="auto"/>
        </w:rPr>
        <w:t>The Statement of Work, Attachment A, provides a detailed description of the work to be accomplished and reports and deliverables required by this Project Agreement. All changes to Attachment A must be incorporated via written modification to this Project Agreement. Additional guidance on report requirements is in Attachment B, Report Requirements.</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TECHNICAL AND ADMINISTRATIVE REPRESENTATIVES</w:t>
      </w:r>
    </w:p>
    <w:p>
      <w:pPr>
        <w:spacing w:after="0" w:line="27" w:lineRule="exact"/>
        <w:rPr>
          <w:sz w:val="20"/>
          <w:szCs w:val="20"/>
          <w:color w:val="auto"/>
        </w:rPr>
      </w:pPr>
    </w:p>
    <w:p>
      <w:pPr>
        <w:jc w:val="both"/>
        <w:ind w:right="199"/>
        <w:spacing w:after="0" w:line="245" w:lineRule="auto"/>
        <w:rPr>
          <w:sz w:val="20"/>
          <w:szCs w:val="20"/>
          <w:color w:val="auto"/>
        </w:rPr>
      </w:pPr>
      <w:r>
        <w:rPr>
          <w:rFonts w:ascii="Arial" w:cs="Arial" w:eastAsia="Arial" w:hAnsi="Arial"/>
          <w:sz w:val="22"/>
          <w:szCs w:val="22"/>
          <w:color w:val="auto"/>
        </w:rPr>
        <w:t>The following technical and contractual representatives of the Parties are hereby designated for this Project Agreement. Either party may change their designated representatives by written notification to the other.</w:t>
      </w:r>
    </w:p>
    <w:p>
      <w:pPr>
        <w:sectPr>
          <w:pgSz w:w="11900" w:h="16838" w:orient="portrait"/>
          <w:cols w:equalWidth="0" w:num="1">
            <w:col w:w="9239"/>
          </w:cols>
          <w:pgMar w:left="1220" w:top="1165" w:right="1440" w:bottom="1440" w:gutter="0" w:footer="0" w:header="0"/>
        </w:sectPr>
      </w:pPr>
    </w:p>
    <w:bookmarkStart w:id="186" w:name="page187"/>
    <w:bookmarkEnd w:id="186"/>
    <w:p>
      <w:pPr>
        <w:ind w:left="980"/>
        <w:spacing w:after="0"/>
        <w:rPr>
          <w:sz w:val="20"/>
          <w:szCs w:val="20"/>
          <w:color w:val="auto"/>
        </w:rPr>
      </w:pPr>
      <w:r>
        <w:rPr>
          <w:rFonts w:ascii="Arial" w:cs="Arial" w:eastAsia="Arial" w:hAnsi="Arial"/>
          <w:sz w:val="22"/>
          <w:szCs w:val="22"/>
          <w:color w:val="auto"/>
        </w:rPr>
        <w:t>MCDC CMF Contractual Representative:</w:t>
      </w:r>
    </w:p>
    <w:p>
      <w:pPr>
        <w:spacing w:after="0" w:line="58"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Contracts Administrator</w:t>
      </w:r>
    </w:p>
    <w:p>
      <w:pPr>
        <w:spacing w:after="0" w:line="58" w:lineRule="exact"/>
        <w:rPr>
          <w:sz w:val="20"/>
          <w:szCs w:val="20"/>
          <w:color w:val="auto"/>
        </w:rPr>
      </w:pPr>
    </w:p>
    <w:p>
      <w:pPr>
        <w:ind w:left="980"/>
        <w:spacing w:after="0"/>
        <w:rPr>
          <w:sz w:val="20"/>
          <w:szCs w:val="20"/>
          <w:color w:val="auto"/>
        </w:rPr>
      </w:pPr>
      <w:r>
        <w:rPr>
          <w:rFonts w:ascii="Arial" w:cs="Arial" w:eastAsia="Arial" w:hAnsi="Arial"/>
          <w:sz w:val="22"/>
          <w:szCs w:val="22"/>
          <w:color w:val="auto"/>
        </w:rPr>
        <w:t>Advanced Technology International</w:t>
      </w:r>
    </w:p>
    <w:p>
      <w:pPr>
        <w:spacing w:after="0" w:line="58" w:lineRule="exact"/>
        <w:rPr>
          <w:sz w:val="20"/>
          <w:szCs w:val="20"/>
          <w:color w:val="auto"/>
        </w:rPr>
      </w:pPr>
    </w:p>
    <w:p>
      <w:pPr>
        <w:ind w:left="980"/>
        <w:spacing w:after="0"/>
        <w:rPr>
          <w:sz w:val="20"/>
          <w:szCs w:val="20"/>
          <w:color w:val="auto"/>
        </w:rPr>
      </w:pPr>
      <w:r>
        <w:rPr>
          <w:rFonts w:ascii="Arial" w:cs="Arial" w:eastAsia="Arial" w:hAnsi="Arial"/>
          <w:sz w:val="22"/>
          <w:szCs w:val="22"/>
          <w:color w:val="auto"/>
        </w:rPr>
        <w:t>315 Sigma Drive</w:t>
      </w:r>
    </w:p>
    <w:p>
      <w:pPr>
        <w:spacing w:after="0" w:line="31" w:lineRule="exact"/>
        <w:rPr>
          <w:sz w:val="20"/>
          <w:szCs w:val="20"/>
          <w:color w:val="auto"/>
        </w:rPr>
      </w:pPr>
    </w:p>
    <w:p>
      <w:pPr>
        <w:ind w:left="980"/>
        <w:spacing w:after="0"/>
        <w:rPr>
          <w:sz w:val="20"/>
          <w:szCs w:val="20"/>
          <w:color w:val="auto"/>
        </w:rPr>
      </w:pPr>
      <w:r>
        <w:rPr>
          <w:rFonts w:ascii="Arial" w:cs="Arial" w:eastAsia="Arial" w:hAnsi="Arial"/>
          <w:sz w:val="22"/>
          <w:szCs w:val="22"/>
          <w:color w:val="auto"/>
        </w:rPr>
        <w:t>Summerville, SC 29486</w:t>
      </w:r>
    </w:p>
    <w:p>
      <w:pPr>
        <w:spacing w:after="0" w:line="31" w:lineRule="exact"/>
        <w:rPr>
          <w:sz w:val="20"/>
          <w:szCs w:val="20"/>
          <w:color w:val="auto"/>
        </w:rPr>
      </w:pPr>
    </w:p>
    <w:p>
      <w:pPr>
        <w:ind w:left="980"/>
        <w:spacing w:after="0"/>
        <w:rPr>
          <w:sz w:val="20"/>
          <w:szCs w:val="20"/>
          <w:color w:val="auto"/>
        </w:rPr>
      </w:pPr>
      <w:r>
        <w:rPr>
          <w:rFonts w:ascii="Arial" w:cs="Arial" w:eastAsia="Arial" w:hAnsi="Arial"/>
          <w:sz w:val="22"/>
          <w:szCs w:val="22"/>
          <w:color w:val="auto"/>
        </w:rPr>
        <w:t>Email:</w:t>
      </w:r>
    </w:p>
    <w:p>
      <w:pPr>
        <w:spacing w:after="0" w:line="44" w:lineRule="exact"/>
        <w:rPr>
          <w:sz w:val="20"/>
          <w:szCs w:val="20"/>
          <w:color w:val="auto"/>
        </w:rPr>
      </w:pPr>
    </w:p>
    <w:p>
      <w:pPr>
        <w:ind w:left="980"/>
        <w:spacing w:after="0"/>
        <w:rPr>
          <w:sz w:val="20"/>
          <w:szCs w:val="20"/>
          <w:color w:val="auto"/>
        </w:rPr>
      </w:pPr>
      <w:r>
        <w:rPr>
          <w:rFonts w:ascii="Arial" w:cs="Arial" w:eastAsia="Arial" w:hAnsi="Arial"/>
          <w:sz w:val="22"/>
          <w:szCs w:val="22"/>
          <w:color w:val="auto"/>
        </w:rPr>
        <w:t>Phone:</w:t>
      </w:r>
    </w:p>
    <w:p>
      <w:pPr>
        <w:spacing w:after="0" w:line="287"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Government Technical Representatives</w:t>
      </w:r>
      <w:r>
        <w:rPr>
          <w:rFonts w:ascii="Arial" w:cs="Arial" w:eastAsia="Arial" w:hAnsi="Arial"/>
          <w:sz w:val="22"/>
          <w:szCs w:val="22"/>
          <w:color w:val="auto"/>
        </w:rPr>
        <w:t>:</w:t>
      </w:r>
    </w:p>
    <w:p>
      <w:pPr>
        <w:spacing w:after="0" w:line="44" w:lineRule="exact"/>
        <w:rPr>
          <w:sz w:val="20"/>
          <w:szCs w:val="20"/>
          <w:color w:val="auto"/>
        </w:rPr>
      </w:pPr>
    </w:p>
    <w:p>
      <w:pPr>
        <w:ind w:left="980"/>
        <w:spacing w:after="0"/>
        <w:rPr>
          <w:sz w:val="20"/>
          <w:szCs w:val="20"/>
          <w:color w:val="auto"/>
        </w:rPr>
      </w:pPr>
      <w:r>
        <w:rPr>
          <w:rFonts w:ascii="Arial" w:cs="Arial" w:eastAsia="Arial" w:hAnsi="Arial"/>
          <w:sz w:val="22"/>
          <w:szCs w:val="22"/>
          <w:color w:val="auto"/>
        </w:rPr>
        <w:t>Agreements Officer Representative (AOR):</w:t>
      </w:r>
    </w:p>
    <w:p>
      <w:pPr>
        <w:spacing w:after="0" w:line="328" w:lineRule="exact"/>
        <w:rPr>
          <w:sz w:val="20"/>
          <w:szCs w:val="20"/>
          <w:color w:val="auto"/>
        </w:rPr>
      </w:pPr>
    </w:p>
    <w:p>
      <w:pPr>
        <w:ind w:left="980"/>
        <w:spacing w:after="0"/>
        <w:rPr>
          <w:sz w:val="20"/>
          <w:szCs w:val="20"/>
          <w:color w:val="auto"/>
        </w:rPr>
      </w:pPr>
      <w:r>
        <w:rPr>
          <w:rFonts w:ascii="Arial" w:cs="Arial" w:eastAsia="Arial" w:hAnsi="Arial"/>
          <w:sz w:val="22"/>
          <w:szCs w:val="22"/>
          <w:color w:val="auto"/>
        </w:rPr>
        <w:t>Email:</w:t>
      </w:r>
    </w:p>
    <w:p>
      <w:pPr>
        <w:spacing w:after="0" w:line="58" w:lineRule="exact"/>
        <w:rPr>
          <w:sz w:val="20"/>
          <w:szCs w:val="20"/>
          <w:color w:val="auto"/>
        </w:rPr>
      </w:pPr>
    </w:p>
    <w:p>
      <w:pPr>
        <w:ind w:left="980"/>
        <w:spacing w:after="0"/>
        <w:rPr>
          <w:sz w:val="20"/>
          <w:szCs w:val="20"/>
          <w:color w:val="auto"/>
        </w:rPr>
      </w:pPr>
      <w:r>
        <w:rPr>
          <w:rFonts w:ascii="Arial" w:cs="Arial" w:eastAsia="Arial" w:hAnsi="Arial"/>
          <w:sz w:val="22"/>
          <w:szCs w:val="22"/>
          <w:color w:val="auto"/>
        </w:rPr>
        <w:t>Phone:</w:t>
      </w:r>
    </w:p>
    <w:p>
      <w:pPr>
        <w:spacing w:after="0" w:line="380" w:lineRule="exact"/>
        <w:rPr>
          <w:sz w:val="20"/>
          <w:szCs w:val="20"/>
          <w:color w:val="auto"/>
        </w:rPr>
      </w:pPr>
    </w:p>
    <w:tbl>
      <w:tblPr>
        <w:tblLayout w:type="fixed"/>
        <w:tblInd w:w="980" w:type="dxa"/>
        <w:tblCellMar>
          <w:top w:w="0" w:type="dxa"/>
          <w:left w:w="0" w:type="dxa"/>
          <w:bottom w:w="0" w:type="dxa"/>
          <w:right w:w="0" w:type="dxa"/>
        </w:tblCellMar>
      </w:tblPr>
      <w:tr>
        <w:trPr>
          <w:trHeight w:val="253"/>
        </w:trPr>
        <w:tc>
          <w:tcPr>
            <w:tcW w:w="4440" w:type="dxa"/>
            <w:vAlign w:val="bottom"/>
            <w:gridSpan w:val="2"/>
          </w:tcPr>
          <w:p>
            <w:pPr>
              <w:spacing w:after="0"/>
              <w:rPr>
                <w:sz w:val="20"/>
                <w:szCs w:val="20"/>
                <w:color w:val="auto"/>
              </w:rPr>
            </w:pPr>
            <w:r>
              <w:rPr>
                <w:rFonts w:ascii="Arial" w:cs="Arial" w:eastAsia="Arial" w:hAnsi="Arial"/>
                <w:sz w:val="22"/>
                <w:szCs w:val="22"/>
                <w:color w:val="auto"/>
              </w:rPr>
              <w:t>Project Agreement Holder’s Representatives:</w:t>
            </w:r>
          </w:p>
        </w:tc>
        <w:tc>
          <w:tcPr>
            <w:tcW w:w="2940" w:type="dxa"/>
            <w:vAlign w:val="bottom"/>
          </w:tcPr>
          <w:p>
            <w:pPr>
              <w:spacing w:after="0"/>
              <w:rPr>
                <w:sz w:val="21"/>
                <w:szCs w:val="21"/>
                <w:color w:val="auto"/>
              </w:rPr>
            </w:pPr>
          </w:p>
        </w:tc>
      </w:tr>
      <w:tr>
        <w:trPr>
          <w:trHeight w:val="328"/>
        </w:trPr>
        <w:tc>
          <w:tcPr>
            <w:tcW w:w="386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Technical Representative:</w:t>
            </w:r>
          </w:p>
        </w:tc>
        <w:tc>
          <w:tcPr>
            <w:tcW w:w="580" w:type="dxa"/>
            <w:vAlign w:val="bottom"/>
          </w:tcPr>
          <w:p>
            <w:pPr>
              <w:spacing w:after="0"/>
              <w:rPr>
                <w:sz w:val="24"/>
                <w:szCs w:val="24"/>
                <w:color w:val="auto"/>
              </w:rPr>
            </w:pPr>
          </w:p>
        </w:tc>
        <w:tc>
          <w:tcPr>
            <w:tcW w:w="2940" w:type="dxa"/>
            <w:vAlign w:val="bottom"/>
          </w:tcPr>
          <w:p>
            <w:pPr>
              <w:ind w:left="540"/>
              <w:spacing w:after="0"/>
              <w:rPr>
                <w:sz w:val="20"/>
                <w:szCs w:val="20"/>
                <w:color w:val="auto"/>
              </w:rPr>
            </w:pPr>
            <w:r>
              <w:rPr>
                <w:rFonts w:ascii="Arial" w:cs="Arial" w:eastAsia="Arial" w:hAnsi="Arial"/>
                <w:sz w:val="22"/>
                <w:szCs w:val="22"/>
                <w:color w:val="auto"/>
                <w:w w:val="87"/>
              </w:rPr>
              <w:t>Contractual Representative:</w:t>
            </w:r>
          </w:p>
        </w:tc>
      </w:tr>
      <w:tr>
        <w:trPr>
          <w:trHeight w:val="580"/>
        </w:trPr>
        <w:tc>
          <w:tcPr>
            <w:tcW w:w="4440" w:type="dxa"/>
            <w:vAlign w:val="bottom"/>
            <w:gridSpan w:val="2"/>
          </w:tcPr>
          <w:p>
            <w:pPr>
              <w:spacing w:after="0"/>
              <w:rPr>
                <w:sz w:val="20"/>
                <w:szCs w:val="20"/>
                <w:color w:val="auto"/>
              </w:rPr>
            </w:pPr>
            <w:r>
              <w:rPr>
                <w:rFonts w:ascii="Arial" w:cs="Arial" w:eastAsia="Arial" w:hAnsi="Arial"/>
                <w:sz w:val="22"/>
                <w:szCs w:val="22"/>
                <w:color w:val="auto"/>
              </w:rPr>
              <w:t>777 Old Saw Mill River Rd</w:t>
            </w:r>
          </w:p>
        </w:tc>
        <w:tc>
          <w:tcPr>
            <w:tcW w:w="2940" w:type="dxa"/>
            <w:vAlign w:val="bottom"/>
          </w:tcPr>
          <w:p>
            <w:pPr>
              <w:ind w:left="540"/>
              <w:spacing w:after="0"/>
              <w:rPr>
                <w:sz w:val="20"/>
                <w:szCs w:val="20"/>
                <w:color w:val="auto"/>
              </w:rPr>
            </w:pPr>
            <w:r>
              <w:rPr>
                <w:rFonts w:ascii="Arial" w:cs="Arial" w:eastAsia="Arial" w:hAnsi="Arial"/>
                <w:sz w:val="22"/>
                <w:szCs w:val="22"/>
                <w:color w:val="auto"/>
                <w:w w:val="92"/>
              </w:rPr>
              <w:t>777 Old Saw Mill River Rd</w:t>
            </w:r>
          </w:p>
        </w:tc>
      </w:tr>
      <w:tr>
        <w:trPr>
          <w:trHeight w:val="311"/>
        </w:trPr>
        <w:tc>
          <w:tcPr>
            <w:tcW w:w="4440" w:type="dxa"/>
            <w:vAlign w:val="bottom"/>
            <w:gridSpan w:val="2"/>
          </w:tcPr>
          <w:p>
            <w:pPr>
              <w:spacing w:after="0"/>
              <w:rPr>
                <w:sz w:val="20"/>
                <w:szCs w:val="20"/>
                <w:color w:val="auto"/>
              </w:rPr>
            </w:pPr>
            <w:r>
              <w:rPr>
                <w:rFonts w:ascii="Arial" w:cs="Arial" w:eastAsia="Arial" w:hAnsi="Arial"/>
                <w:sz w:val="22"/>
                <w:szCs w:val="22"/>
                <w:color w:val="auto"/>
              </w:rPr>
              <w:t>Tarrytown, NY 10591</w:t>
            </w:r>
          </w:p>
        </w:tc>
        <w:tc>
          <w:tcPr>
            <w:tcW w:w="2940" w:type="dxa"/>
            <w:vAlign w:val="bottom"/>
          </w:tcPr>
          <w:p>
            <w:pPr>
              <w:ind w:left="540"/>
              <w:spacing w:after="0"/>
              <w:rPr>
                <w:sz w:val="20"/>
                <w:szCs w:val="20"/>
                <w:color w:val="auto"/>
              </w:rPr>
            </w:pPr>
            <w:r>
              <w:rPr>
                <w:rFonts w:ascii="Arial" w:cs="Arial" w:eastAsia="Arial" w:hAnsi="Arial"/>
                <w:sz w:val="22"/>
                <w:szCs w:val="22"/>
                <w:color w:val="auto"/>
              </w:rPr>
              <w:t>Tarrytown, NY 10591</w:t>
            </w:r>
          </w:p>
        </w:tc>
      </w:tr>
      <w:tr>
        <w:trPr>
          <w:trHeight w:val="310"/>
        </w:trPr>
        <w:tc>
          <w:tcPr>
            <w:tcW w:w="4440" w:type="dxa"/>
            <w:vAlign w:val="bottom"/>
            <w:gridSpan w:val="2"/>
          </w:tcPr>
          <w:p>
            <w:pPr>
              <w:spacing w:after="0"/>
              <w:rPr>
                <w:sz w:val="20"/>
                <w:szCs w:val="20"/>
                <w:color w:val="auto"/>
              </w:rPr>
            </w:pPr>
            <w:r>
              <w:rPr>
                <w:rFonts w:ascii="Arial" w:cs="Arial" w:eastAsia="Arial" w:hAnsi="Arial"/>
                <w:sz w:val="22"/>
                <w:szCs w:val="22"/>
                <w:color w:val="auto"/>
              </w:rPr>
              <w:t>Email:</w:t>
            </w:r>
          </w:p>
        </w:tc>
        <w:tc>
          <w:tcPr>
            <w:tcW w:w="2940" w:type="dxa"/>
            <w:vAlign w:val="bottom"/>
          </w:tcPr>
          <w:p>
            <w:pPr>
              <w:ind w:left="540"/>
              <w:spacing w:after="0"/>
              <w:rPr>
                <w:sz w:val="20"/>
                <w:szCs w:val="20"/>
                <w:color w:val="auto"/>
              </w:rPr>
            </w:pPr>
            <w:r>
              <w:rPr>
                <w:rFonts w:ascii="Arial" w:cs="Arial" w:eastAsia="Arial" w:hAnsi="Arial"/>
                <w:sz w:val="22"/>
                <w:szCs w:val="22"/>
                <w:color w:val="auto"/>
              </w:rPr>
              <w:t>Email:</w:t>
            </w:r>
          </w:p>
        </w:tc>
      </w:tr>
      <w:tr>
        <w:trPr>
          <w:trHeight w:val="310"/>
        </w:trPr>
        <w:tc>
          <w:tcPr>
            <w:tcW w:w="4440" w:type="dxa"/>
            <w:vAlign w:val="bottom"/>
            <w:gridSpan w:val="2"/>
          </w:tcPr>
          <w:p>
            <w:pPr>
              <w:spacing w:after="0"/>
              <w:rPr>
                <w:sz w:val="20"/>
                <w:szCs w:val="20"/>
                <w:color w:val="auto"/>
              </w:rPr>
            </w:pPr>
            <w:r>
              <w:rPr>
                <w:rFonts w:ascii="Arial" w:cs="Arial" w:eastAsia="Arial" w:hAnsi="Arial"/>
                <w:sz w:val="22"/>
                <w:szCs w:val="22"/>
                <w:color w:val="auto"/>
              </w:rPr>
              <w:t>Phone:</w:t>
            </w:r>
          </w:p>
        </w:tc>
        <w:tc>
          <w:tcPr>
            <w:tcW w:w="2940" w:type="dxa"/>
            <w:vAlign w:val="bottom"/>
          </w:tcPr>
          <w:p>
            <w:pPr>
              <w:ind w:left="540"/>
              <w:spacing w:after="0"/>
              <w:rPr>
                <w:sz w:val="20"/>
                <w:szCs w:val="20"/>
                <w:color w:val="auto"/>
              </w:rPr>
            </w:pPr>
            <w:r>
              <w:rPr>
                <w:rFonts w:ascii="Arial" w:cs="Arial" w:eastAsia="Arial" w:hAnsi="Arial"/>
                <w:sz w:val="22"/>
                <w:szCs w:val="22"/>
                <w:color w:val="auto"/>
              </w:rPr>
              <w:t>Phone: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MARKING OF DELIVERABLES</w:t>
      </w:r>
    </w:p>
    <w:p>
      <w:pPr>
        <w:spacing w:after="0" w:line="27" w:lineRule="exact"/>
        <w:rPr>
          <w:sz w:val="20"/>
          <w:szCs w:val="20"/>
          <w:color w:val="auto"/>
        </w:rPr>
      </w:pPr>
    </w:p>
    <w:p>
      <w:pPr>
        <w:ind w:right="1199"/>
        <w:spacing w:after="0" w:line="246" w:lineRule="auto"/>
        <w:rPr>
          <w:sz w:val="20"/>
          <w:szCs w:val="20"/>
          <w:color w:val="auto"/>
        </w:rPr>
      </w:pPr>
      <w:r>
        <w:rPr>
          <w:rFonts w:ascii="Arial" w:cs="Arial" w:eastAsia="Arial" w:hAnsi="Arial"/>
          <w:sz w:val="22"/>
          <w:szCs w:val="22"/>
          <w:color w:val="auto"/>
        </w:rPr>
        <w:t>Any Data delivered under this Project Agreement, by the Project Agreement Holder, shall be marked with a suitable notice or legend.</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SECURITY ADMINISTRATION</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The security level for this project is UNCLASSIFIED.</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ATTACHMENTS</w:t>
      </w:r>
    </w:p>
    <w:p>
      <w:pPr>
        <w:spacing w:after="0" w:line="14" w:lineRule="exact"/>
        <w:rPr>
          <w:sz w:val="20"/>
          <w:szCs w:val="20"/>
          <w:color w:val="auto"/>
        </w:rPr>
      </w:pPr>
    </w:p>
    <w:p>
      <w:pPr>
        <w:spacing w:after="0"/>
        <w:rPr>
          <w:sz w:val="20"/>
          <w:szCs w:val="20"/>
          <w:color w:val="auto"/>
        </w:rPr>
      </w:pPr>
      <w:r>
        <w:rPr>
          <w:rFonts w:ascii="Arial" w:cs="Arial" w:eastAsia="Arial" w:hAnsi="Arial"/>
          <w:sz w:val="21"/>
          <w:szCs w:val="21"/>
          <w:color w:val="auto"/>
        </w:rPr>
        <w:t>Attachments listed herein are hereby incorporated by reference into this Project Agreement.</w:t>
      </w:r>
    </w:p>
    <w:p>
      <w:pPr>
        <w:spacing w:after="0" w:line="15" w:lineRule="exact"/>
        <w:rPr>
          <w:sz w:val="20"/>
          <w:szCs w:val="20"/>
          <w:color w:val="auto"/>
        </w:rPr>
      </w:pPr>
    </w:p>
    <w:p>
      <w:pPr>
        <w:ind w:left="320" w:hanging="312"/>
        <w:spacing w:after="0"/>
        <w:tabs>
          <w:tab w:leader="none" w:pos="320" w:val="left"/>
        </w:tabs>
        <w:numPr>
          <w:ilvl w:val="0"/>
          <w:numId w:val="124"/>
        </w:numPr>
        <w:rPr>
          <w:rFonts w:ascii="Arial" w:cs="Arial" w:eastAsia="Arial" w:hAnsi="Arial"/>
          <w:sz w:val="21"/>
          <w:szCs w:val="21"/>
          <w:color w:val="auto"/>
        </w:rPr>
      </w:pPr>
      <w:r>
        <w:rPr>
          <w:rFonts w:ascii="Arial" w:cs="Arial" w:eastAsia="Arial" w:hAnsi="Arial"/>
          <w:sz w:val="21"/>
          <w:szCs w:val="21"/>
          <w:color w:val="auto"/>
        </w:rPr>
        <w:t>Statement of Work, “Large-Scale Manufacturing of Antibodies Directed to SARS-CoV-2”</w:t>
      </w:r>
    </w:p>
    <w:p>
      <w:pPr>
        <w:spacing w:after="0" w:line="15" w:lineRule="exact"/>
        <w:rPr>
          <w:rFonts w:ascii="Arial" w:cs="Arial" w:eastAsia="Arial" w:hAnsi="Arial"/>
          <w:sz w:val="21"/>
          <w:szCs w:val="21"/>
          <w:color w:val="auto"/>
        </w:rPr>
      </w:pPr>
    </w:p>
    <w:p>
      <w:pPr>
        <w:ind w:left="320" w:hanging="312"/>
        <w:spacing w:after="0"/>
        <w:tabs>
          <w:tab w:leader="none" w:pos="32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Report Requirements</w:t>
      </w:r>
    </w:p>
    <w:p>
      <w:pPr>
        <w:spacing w:after="0" w:line="3" w:lineRule="exact"/>
        <w:rPr>
          <w:rFonts w:ascii="Arial" w:cs="Arial" w:eastAsia="Arial" w:hAnsi="Arial"/>
          <w:sz w:val="22"/>
          <w:szCs w:val="22"/>
          <w:color w:val="auto"/>
        </w:rPr>
      </w:pPr>
    </w:p>
    <w:p>
      <w:pPr>
        <w:ind w:left="320" w:hanging="312"/>
        <w:spacing w:after="0"/>
        <w:tabs>
          <w:tab w:leader="none" w:pos="32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Technical Direction Letter (TDL) RPP-20-08 Regeneron</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 GOVERNMENT FURNISHED PROPERTY</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At this time, Government Furnished Property is not provided for use under this Project Agreement.</w:t>
      </w: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 PATENT RIGHTS AND DATA RIGHTS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Please reference Section 7 of Attachment A, Statement of Work.</w:t>
      </w:r>
    </w:p>
    <w:p>
      <w:pPr>
        <w:sectPr>
          <w:pgSz w:w="11900" w:h="16838" w:orient="portrait"/>
          <w:cols w:equalWidth="0" w:num="1">
            <w:col w:w="9239"/>
          </w:cols>
          <w:pgMar w:left="1220" w:top="915" w:right="1440" w:bottom="1440" w:gutter="0" w:footer="0" w:header="0"/>
        </w:sectPr>
      </w:pPr>
    </w:p>
    <w:bookmarkStart w:id="187" w:name="page188"/>
    <w:bookmarkEnd w:id="187"/>
    <w:p>
      <w:pPr>
        <w:spacing w:after="0"/>
        <w:rPr>
          <w:sz w:val="20"/>
          <w:szCs w:val="20"/>
          <w:color w:val="auto"/>
        </w:rPr>
      </w:pPr>
      <w:r>
        <w:rPr>
          <w:rFonts w:ascii="Arial" w:cs="Arial" w:eastAsia="Arial" w:hAnsi="Arial"/>
          <w:sz w:val="22"/>
          <w:szCs w:val="22"/>
          <w:b w:val="1"/>
          <w:bCs w:val="1"/>
          <w:color w:val="auto"/>
        </w:rPr>
        <w:t>15. FOLLOW-ON PRODUCTION PROVISION</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Please reference Section 1 of Attachment A, Statement of Work.</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16. SECURITY &amp; OPSEC</w:t>
      </w:r>
    </w:p>
    <w:p>
      <w:pPr>
        <w:spacing w:after="0" w:line="27" w:lineRule="exact"/>
        <w:rPr>
          <w:sz w:val="20"/>
          <w:szCs w:val="20"/>
          <w:color w:val="auto"/>
        </w:rPr>
      </w:pPr>
    </w:p>
    <w:p>
      <w:pPr>
        <w:ind w:right="399"/>
        <w:spacing w:after="0" w:line="284" w:lineRule="auto"/>
        <w:rPr>
          <w:sz w:val="20"/>
          <w:szCs w:val="20"/>
          <w:color w:val="auto"/>
        </w:rPr>
      </w:pPr>
      <w:r>
        <w:rPr>
          <w:rFonts w:ascii="Arial" w:cs="Arial" w:eastAsia="Arial" w:hAnsi="Arial"/>
          <w:sz w:val="19"/>
          <w:szCs w:val="19"/>
          <w:color w:val="auto"/>
        </w:rPr>
        <w:t>The below language shall be used as Paragraph 6 of Article XVII in Regeneron’s Base Agreement: Access and General Protection/Security Policy and Procedures. This standard language text is applicable to ALL PAH employees working on critical program information or covered defense information related to Operation Warp Speed (OWS), and to those with an area of performance within an Army controlled installation, facility or area. PAH employees shall comply with applicable installation, facility and area commander installation/facility access and local security policies and procedures (provided by government representative). The PAH also shall provide all information required for background checks necessary to access critical program information or covered defense information related to OWS, and to meet installation access requirements to be accomplished by installation Provost Marshal Office, Director of Emergency Services or Security Office. The PAH workforce must comply with all personal identity verification requirements as directed by DOD, HQDA and/or local policy. In addition to the changes otherwise authorized by the changes clause of this agreement, should the Force Protection Condition (FPCON) at any individual facility or installation change, the Government may require changes in PAH security matters or processes.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17. ENTIRE AGREEMENT</w:t>
      </w:r>
    </w:p>
    <w:p>
      <w:pPr>
        <w:spacing w:after="0" w:line="27" w:lineRule="exact"/>
        <w:rPr>
          <w:sz w:val="20"/>
          <w:szCs w:val="20"/>
          <w:color w:val="auto"/>
        </w:rPr>
      </w:pPr>
    </w:p>
    <w:p>
      <w:pPr>
        <w:ind w:right="459"/>
        <w:spacing w:after="0" w:line="323" w:lineRule="auto"/>
        <w:rPr>
          <w:sz w:val="20"/>
          <w:szCs w:val="20"/>
          <w:color w:val="auto"/>
        </w:rPr>
      </w:pPr>
      <w:r>
        <w:rPr>
          <w:rFonts w:ascii="Arial" w:cs="Arial" w:eastAsia="Arial" w:hAnsi="Arial"/>
          <w:sz w:val="19"/>
          <w:szCs w:val="19"/>
          <w:color w:val="auto"/>
        </w:rPr>
        <w:t>This Project Agreement and the MCDC Base Agreement under which it is issued constitute the entire understanding and agreement between the parties with respect to the subject matter hereof.</w:t>
      </w:r>
    </w:p>
    <w:p>
      <w:pPr>
        <w:spacing w:after="0" w:line="150" w:lineRule="exact"/>
        <w:rPr>
          <w:sz w:val="20"/>
          <w:szCs w:val="20"/>
          <w:color w:val="auto"/>
        </w:rPr>
      </w:pPr>
    </w:p>
    <w:p>
      <w:pPr>
        <w:ind w:right="899"/>
        <w:spacing w:after="0" w:line="287" w:lineRule="auto"/>
        <w:rPr>
          <w:sz w:val="20"/>
          <w:szCs w:val="20"/>
          <w:color w:val="auto"/>
        </w:rPr>
      </w:pPr>
      <w:r>
        <w:rPr>
          <w:rFonts w:ascii="Arial" w:cs="Arial" w:eastAsia="Arial" w:hAnsi="Arial"/>
          <w:sz w:val="21"/>
          <w:szCs w:val="21"/>
          <w:color w:val="auto"/>
        </w:rPr>
        <w:t>Except as provided herein (including in the SOW), all Terms and Conditions of the MCDC Base Agreement and its modifications remain unchanged and in full force and effect.</w:t>
      </w:r>
    </w:p>
    <w:p>
      <w:pPr>
        <w:sectPr>
          <w:pgSz w:w="11900" w:h="16838" w:orient="portrait"/>
          <w:cols w:equalWidth="0" w:num="1">
            <w:col w:w="9239"/>
          </w:cols>
          <w:pgMar w:left="1220" w:top="841" w:right="1440" w:bottom="1440" w:gutter="0" w:footer="0" w:header="0"/>
        </w:sectPr>
      </w:pPr>
    </w:p>
    <w:bookmarkStart w:id="188" w:name="page189"/>
    <w:bookmarkEnd w:id="1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551815</wp:posOffset>
            </wp:positionV>
            <wp:extent cx="6317615" cy="8312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21">
                      <a:clrChange>
                        <a:clrFrom>
                          <a:srgbClr val="FFFFFF"/>
                        </a:clrFrom>
                        <a:clrTo>
                          <a:srgbClr val="FFFFFF">
                            <a:alpha val="0"/>
                          </a:srgbClr>
                        </a:clrTo>
                      </a:clrChange>
                      <a:extLst>
                        <a:ext uri="{28A0092B-C50C-407E-A947-70E740481C1C}"/>
                      </a:extLst>
                    </a:blip>
                    <a:srcRect/>
                    <a:stretch>
                      <a:fillRect/>
                    </a:stretch>
                  </pic:blipFill>
                  <pic:spPr bwMode="auto">
                    <a:xfrm>
                      <a:off x="0" y="0"/>
                      <a:ext cx="6317615"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40" w:right="1159"/>
        <w:spacing w:after="0" w:line="260" w:lineRule="auto"/>
        <w:rPr>
          <w:sz w:val="20"/>
          <w:szCs w:val="20"/>
          <w:color w:val="auto"/>
        </w:rPr>
      </w:pPr>
      <w:r>
        <w:rPr>
          <w:rFonts w:ascii="Arial" w:cs="Arial" w:eastAsia="Arial" w:hAnsi="Arial"/>
          <w:sz w:val="20"/>
          <w:szCs w:val="20"/>
          <w:color w:val="2B2B2D"/>
        </w:rPr>
        <w:t xml:space="preserve">The Project Agreement Holder is required to sign this document and </w:t>
      </w:r>
      <w:r>
        <w:rPr>
          <w:rFonts w:ascii="Arial" w:cs="Arial" w:eastAsia="Arial" w:hAnsi="Arial"/>
          <w:sz w:val="20"/>
          <w:szCs w:val="20"/>
          <w:color w:val="1A181A"/>
        </w:rPr>
        <w:t>return</w:t>
      </w:r>
      <w:r>
        <w:rPr>
          <w:rFonts w:ascii="Arial" w:cs="Arial" w:eastAsia="Arial" w:hAnsi="Arial"/>
          <w:sz w:val="20"/>
          <w:szCs w:val="20"/>
          <w:color w:val="2B2B2D"/>
        </w:rPr>
        <w:t xml:space="preserve"> to Advanced Technology International to finalize this action.</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gridSpan w:val="5"/>
          </w:tcPr>
          <w:p>
            <w:pPr>
              <w:spacing w:after="0"/>
              <w:rPr>
                <w:sz w:val="20"/>
                <w:szCs w:val="20"/>
                <w:color w:val="auto"/>
              </w:rPr>
            </w:pPr>
            <w:r>
              <w:rPr>
                <w:rFonts w:ascii="Arial" w:cs="Arial" w:eastAsia="Arial" w:hAnsi="Arial"/>
                <w:sz w:val="18"/>
                <w:szCs w:val="18"/>
                <w:b w:val="1"/>
                <w:bCs w:val="1"/>
                <w:color w:val="auto"/>
              </w:rPr>
              <w:t>Regeneron Pharmaceuticals, Inc.</w:t>
            </w:r>
          </w:p>
        </w:tc>
        <w:tc>
          <w:tcPr>
            <w:tcW w:w="3580" w:type="dxa"/>
            <w:vAlign w:val="bottom"/>
            <w:gridSpan w:val="4"/>
          </w:tcPr>
          <w:p>
            <w:pPr>
              <w:ind w:left="800"/>
              <w:spacing w:after="0"/>
              <w:rPr>
                <w:sz w:val="20"/>
                <w:szCs w:val="20"/>
                <w:color w:val="auto"/>
              </w:rPr>
            </w:pPr>
            <w:r>
              <w:rPr>
                <w:rFonts w:ascii="Arial" w:cs="Arial" w:eastAsia="Arial" w:hAnsi="Arial"/>
                <w:sz w:val="18"/>
                <w:szCs w:val="18"/>
                <w:b w:val="1"/>
                <w:bCs w:val="1"/>
                <w:color w:val="auto"/>
                <w:w w:val="90"/>
              </w:rPr>
              <w:t>Advanced Technology International</w:t>
            </w:r>
          </w:p>
        </w:tc>
      </w:tr>
      <w:tr>
        <w:trPr>
          <w:trHeight w:val="391"/>
        </w:trPr>
        <w:tc>
          <w:tcPr>
            <w:tcW w:w="4820" w:type="dxa"/>
            <w:vAlign w:val="bottom"/>
            <w:gridSpan w:val="5"/>
          </w:tcPr>
          <w:p>
            <w:pPr>
              <w:spacing w:after="0"/>
              <w:rPr>
                <w:sz w:val="20"/>
                <w:szCs w:val="20"/>
                <w:color w:val="auto"/>
              </w:rPr>
            </w:pPr>
            <w:r>
              <w:rPr>
                <w:rFonts w:ascii="Arial" w:cs="Arial" w:eastAsia="Arial" w:hAnsi="Arial"/>
                <w:sz w:val="18"/>
                <w:szCs w:val="18"/>
                <w:color w:val="auto"/>
              </w:rPr>
              <w:t>By: /s/ Robert Landry____________________</w:t>
            </w:r>
          </w:p>
        </w:tc>
        <w:tc>
          <w:tcPr>
            <w:tcW w:w="3580" w:type="dxa"/>
            <w:vAlign w:val="bottom"/>
            <w:gridSpan w:val="4"/>
          </w:tcPr>
          <w:p>
            <w:pPr>
              <w:ind w:left="800"/>
              <w:spacing w:after="0"/>
              <w:rPr>
                <w:sz w:val="20"/>
                <w:szCs w:val="20"/>
                <w:color w:val="auto"/>
              </w:rPr>
            </w:pPr>
            <w:r>
              <w:rPr>
                <w:rFonts w:ascii="Arial" w:cs="Arial" w:eastAsia="Arial" w:hAnsi="Arial"/>
                <w:sz w:val="18"/>
                <w:szCs w:val="18"/>
                <w:color w:val="auto"/>
                <w:w w:val="91"/>
              </w:rPr>
              <w:t>By: /s/_________________________</w:t>
            </w:r>
          </w:p>
        </w:tc>
      </w:tr>
      <w:tr>
        <w:trPr>
          <w:trHeight w:val="20"/>
        </w:trPr>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12"/>
        </w:trPr>
        <w:tc>
          <w:tcPr>
            <w:tcW w:w="4820" w:type="dxa"/>
            <w:vAlign w:val="bottom"/>
            <w:gridSpan w:val="5"/>
          </w:tcPr>
          <w:p>
            <w:pPr>
              <w:spacing w:after="0"/>
              <w:rPr>
                <w:sz w:val="20"/>
                <w:szCs w:val="20"/>
                <w:color w:val="auto"/>
              </w:rPr>
            </w:pPr>
            <w:r>
              <w:rPr>
                <w:rFonts w:ascii="Arial" w:cs="Arial" w:eastAsia="Arial" w:hAnsi="Arial"/>
                <w:sz w:val="18"/>
                <w:szCs w:val="18"/>
                <w:color w:val="auto"/>
              </w:rPr>
              <w:t>Name: Robert Landry____________________</w:t>
            </w:r>
          </w:p>
        </w:tc>
        <w:tc>
          <w:tcPr>
            <w:tcW w:w="3580" w:type="dxa"/>
            <w:vAlign w:val="bottom"/>
            <w:gridSpan w:val="4"/>
          </w:tcPr>
          <w:p>
            <w:pPr>
              <w:ind w:left="800"/>
              <w:spacing w:after="0"/>
              <w:rPr>
                <w:sz w:val="20"/>
                <w:szCs w:val="20"/>
                <w:color w:val="auto"/>
              </w:rPr>
            </w:pPr>
            <w:r>
              <w:rPr>
                <w:rFonts w:ascii="Arial" w:cs="Arial" w:eastAsia="Arial" w:hAnsi="Arial"/>
                <w:sz w:val="18"/>
                <w:szCs w:val="18"/>
                <w:color w:val="auto"/>
                <w:w w:val="89"/>
              </w:rPr>
              <w:t>Name: _________________________</w:t>
            </w:r>
          </w:p>
        </w:tc>
      </w:tr>
      <w:tr>
        <w:trPr>
          <w:trHeight w:val="20"/>
        </w:trPr>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12"/>
        </w:trPr>
        <w:tc>
          <w:tcPr>
            <w:tcW w:w="40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4"/>
              </w:rPr>
              <w:t xml:space="preserve">Title: </w:t>
            </w:r>
            <w:r>
              <w:rPr>
                <w:rFonts w:ascii="Arial" w:cs="Arial" w:eastAsia="Arial" w:hAnsi="Arial"/>
                <w:sz w:val="14"/>
                <w:szCs w:val="14"/>
                <w:color w:val="auto"/>
                <w:w w:val="94"/>
              </w:rPr>
              <w:t>Executive Vice President- Finance and Chief Financial Officer</w:t>
            </w:r>
          </w:p>
        </w:tc>
        <w:tc>
          <w:tcPr>
            <w:tcW w:w="780" w:type="dxa"/>
            <w:vAlign w:val="bottom"/>
          </w:tcPr>
          <w:p>
            <w:pPr>
              <w:spacing w:after="0"/>
              <w:rPr>
                <w:sz w:val="24"/>
                <w:szCs w:val="24"/>
                <w:color w:val="auto"/>
              </w:rPr>
            </w:pPr>
          </w:p>
        </w:tc>
        <w:tc>
          <w:tcPr>
            <w:tcW w:w="3580" w:type="dxa"/>
            <w:vAlign w:val="bottom"/>
            <w:gridSpan w:val="4"/>
          </w:tcPr>
          <w:p>
            <w:pPr>
              <w:ind w:left="800"/>
              <w:spacing w:after="0"/>
              <w:rPr>
                <w:sz w:val="20"/>
                <w:szCs w:val="20"/>
                <w:color w:val="auto"/>
              </w:rPr>
            </w:pPr>
            <w:r>
              <w:rPr>
                <w:rFonts w:ascii="Arial" w:cs="Arial" w:eastAsia="Arial" w:hAnsi="Arial"/>
                <w:sz w:val="18"/>
                <w:szCs w:val="18"/>
                <w:color w:val="auto"/>
                <w:w w:val="90"/>
              </w:rPr>
              <w:t>Title: __________________________</w:t>
            </w:r>
          </w:p>
        </w:tc>
      </w:tr>
      <w:tr>
        <w:trPr>
          <w:trHeight w:val="412"/>
        </w:trPr>
        <w:tc>
          <w:tcPr>
            <w:tcW w:w="4820" w:type="dxa"/>
            <w:vAlign w:val="bottom"/>
            <w:gridSpan w:val="5"/>
          </w:tcPr>
          <w:p>
            <w:pPr>
              <w:spacing w:after="0"/>
              <w:rPr>
                <w:sz w:val="20"/>
                <w:szCs w:val="20"/>
                <w:color w:val="auto"/>
              </w:rPr>
            </w:pPr>
            <w:r>
              <w:rPr>
                <w:rFonts w:ascii="Arial" w:cs="Arial" w:eastAsia="Arial" w:hAnsi="Arial"/>
                <w:sz w:val="18"/>
                <w:szCs w:val="18"/>
                <w:color w:val="auto"/>
              </w:rPr>
              <w:t>Date: Jul 6, 2020________________________</w:t>
            </w:r>
          </w:p>
        </w:tc>
        <w:tc>
          <w:tcPr>
            <w:tcW w:w="3580" w:type="dxa"/>
            <w:vAlign w:val="bottom"/>
            <w:gridSpan w:val="4"/>
          </w:tcPr>
          <w:p>
            <w:pPr>
              <w:ind w:left="800"/>
              <w:spacing w:after="0"/>
              <w:rPr>
                <w:sz w:val="20"/>
                <w:szCs w:val="20"/>
                <w:color w:val="auto"/>
              </w:rPr>
            </w:pPr>
            <w:r>
              <w:rPr>
                <w:rFonts w:ascii="Arial" w:cs="Arial" w:eastAsia="Arial" w:hAnsi="Arial"/>
                <w:sz w:val="18"/>
                <w:szCs w:val="18"/>
                <w:color w:val="auto"/>
                <w:w w:val="95"/>
              </w:rPr>
              <w:t>Date: 6 July 2020_______________</w:t>
            </w:r>
          </w:p>
        </w:tc>
      </w:tr>
      <w:tr>
        <w:trPr>
          <w:trHeight w:val="20"/>
        </w:trPr>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ectPr>
          <w:pgSz w:w="11900" w:h="16838" w:orient="portrait"/>
          <w:cols w:equalWidth="0" w:num="1">
            <w:col w:w="9479"/>
          </w:cols>
          <w:pgMar w:left="980" w:top="1440" w:right="1440" w:bottom="1440" w:gutter="0" w:footer="0" w:header="0"/>
        </w:sectPr>
      </w:pPr>
    </w:p>
    <w:bookmarkStart w:id="189" w:name="page190"/>
    <w:bookmarkEnd w:id="189"/>
    <w:p>
      <w:pPr>
        <w:jc w:val="center"/>
        <w:ind w:right="19"/>
        <w:spacing w:after="0"/>
        <w:rPr>
          <w:sz w:val="20"/>
          <w:szCs w:val="20"/>
          <w:color w:val="auto"/>
        </w:rPr>
      </w:pPr>
      <w:r>
        <w:rPr>
          <w:rFonts w:ascii="Arial" w:cs="Arial" w:eastAsia="Arial" w:hAnsi="Arial"/>
          <w:sz w:val="22"/>
          <w:szCs w:val="22"/>
          <w:b w:val="1"/>
          <w:bCs w:val="1"/>
          <w:color w:val="auto"/>
        </w:rPr>
        <w:t>Attachment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Statement of Work</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This page intentionally left blank. See separate document for Attachment A.</w:t>
      </w:r>
    </w:p>
    <w:p>
      <w:pPr>
        <w:sectPr>
          <w:pgSz w:w="11900" w:h="16838" w:orient="portrait"/>
          <w:cols w:equalWidth="0" w:num="1">
            <w:col w:w="9019"/>
          </w:cols>
          <w:pgMar w:left="1440" w:top="1422" w:right="1440" w:bottom="1440" w:gutter="0" w:footer="0" w:header="0"/>
        </w:sectPr>
      </w:pPr>
    </w:p>
    <w:bookmarkStart w:id="190" w:name="page191"/>
    <w:bookmarkEnd w:id="190"/>
    <w:p>
      <w:pPr>
        <w:jc w:val="center"/>
        <w:spacing w:after="0"/>
        <w:rPr>
          <w:sz w:val="20"/>
          <w:szCs w:val="20"/>
          <w:color w:val="auto"/>
        </w:rPr>
      </w:pPr>
      <w:r>
        <w:rPr>
          <w:rFonts w:ascii="Arial" w:cs="Arial" w:eastAsia="Arial" w:hAnsi="Arial"/>
          <w:sz w:val="22"/>
          <w:szCs w:val="22"/>
          <w:b w:val="1"/>
          <w:bCs w:val="1"/>
          <w:color w:val="auto"/>
        </w:rPr>
        <w:t>Statement of Work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Large-Scale Manufacturing of Antibodies Directed to SARS-CoV-2</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RPP #: RPP-20-08</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Project Identifier: MCDC OTA 2008-005, W15QKN-16-9-1002</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Consortium Member: Regeneron Pharmaceuticals,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Title of Proposal: Large-Scale Manufacturing of Antibodies Directed to SARS-CoV-2</w:t>
      </w:r>
    </w:p>
    <w:p>
      <w:pPr>
        <w:spacing w:after="0" w:line="223"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1.0</w:t>
      </w:r>
      <w:r>
        <w:rPr>
          <w:sz w:val="20"/>
          <w:szCs w:val="20"/>
          <w:color w:val="auto"/>
        </w:rPr>
        <w:tab/>
      </w:r>
      <w:r>
        <w:rPr>
          <w:rFonts w:ascii="Arial" w:cs="Arial" w:eastAsia="Arial" w:hAnsi="Arial"/>
          <w:sz w:val="21"/>
          <w:szCs w:val="21"/>
          <w:b w:val="1"/>
          <w:bCs w:val="1"/>
          <w:color w:val="auto"/>
        </w:rPr>
        <w:t>INTRODUCTION, SCOPE, AND OBJECTIVES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Preamble</w:t>
      </w:r>
    </w:p>
    <w:p>
      <w:pPr>
        <w:spacing w:after="0" w:line="253"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Regeneron Pharmaceuticals, Inc. (referred to herein as “Regeneron”, “Offeror”, “Contractor” or “Recipient”) has demonstrated experience with rapid scale-up of biopharmaceutical programs. Our excellent history of receiving development scale processes from Research and Development (R&amp;D) laboratories, and then expanding to clinical or commercial Good Manufacturing Practice (GMP) scale production, is well documented. Greater than 65 processes have been transferred since 2008 with a success rate of 100%. We have consistently demonstrated our ability to expedite the delivery of high quality, safe and efficacious products (Ebola therapeutic) in partnership with the Government (anti-MERS, anti-Ebola).</w:t>
      </w:r>
    </w:p>
    <w:p>
      <w:pPr>
        <w:jc w:val="both"/>
        <w:spacing w:after="0" w:line="286" w:lineRule="auto"/>
        <w:rPr>
          <w:sz w:val="20"/>
          <w:szCs w:val="20"/>
          <w:color w:val="auto"/>
        </w:rPr>
      </w:pPr>
      <w:r>
        <w:rPr>
          <w:rFonts w:ascii="Arial" w:cs="Arial" w:eastAsia="Arial" w:hAnsi="Arial"/>
          <w:sz w:val="19"/>
          <w:szCs w:val="19"/>
          <w:color w:val="auto"/>
        </w:rPr>
        <w:t>Fully human monoclonal antibodies (mAbs) are molecules with high potency, predictable Pharmacokinetics (PK), and limited off-target toxicity, and thus provide attractive types of therapeutics for emerging diseases. Importantly, we have repeatedly demonstrated that candidate mAb-based drugs to prevent and/or treat emerging infections, can be rapidly obtained from Regeneron’s proprietary VelocImmune® mice. Further, our ability to concurrently generate isogenic cell lines that are optimized for rapid antibody scale up and manufacturing using our proprietary Chemistry, Manufacturing, and Controls (CMC) platform technologies, have facilitated both testing of our mAbs in preclinical models and subsequent development of these mAbs into drugs suitable for human testing. In the process of completing many of these activities we have collaborated with other entities (including BARDA, Research Institutes, Government Laboratories and Universities). Our manufacturing has been designed to be paired with our proprietary VelocImmune® R&amp;D technology, that is a proven process to rapidly take a research concept from the bench, into large scale production, with the ability to delivery medicines to patients.</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The Government has advised Regeneron that it is appropriate for the project described in this Project Agreement to be performed through the Medical CBRN Defense Consortium (MCDC), under the authority of the MCDC Other Transaction Agreement No. W15QKN-16-9-1002. Regeneron is amenable to performing the project pursuant to such authority, based on the advice of the Government, and due to the unprecedented circumstances of the Coronavirus Disease 2019 (COVID-19) pandemic and, accordingly, the parties have entered into this Project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UNCLASSIFIED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CONFIDENTIAL/PROPRIETARY</w:t>
      </w:r>
    </w:p>
    <w:p>
      <w:pPr>
        <w:sectPr>
          <w:pgSz w:w="11900" w:h="16838" w:orient="portrait"/>
          <w:cols w:equalWidth="0" w:num="1">
            <w:col w:w="11240"/>
          </w:cols>
          <w:pgMar w:left="320" w:top="1422" w:right="339" w:bottom="1440" w:gutter="0" w:footer="0" w:header="0"/>
        </w:sectPr>
      </w:pPr>
    </w:p>
    <w:bookmarkStart w:id="191" w:name="page192"/>
    <w:bookmarkEnd w:id="191"/>
    <w:p>
      <w:pPr>
        <w:ind w:left="20"/>
        <w:spacing w:after="0"/>
        <w:rPr>
          <w:sz w:val="20"/>
          <w:szCs w:val="20"/>
          <w:color w:val="auto"/>
        </w:rPr>
      </w:pPr>
      <w:r>
        <w:rPr>
          <w:rFonts w:ascii="Arial" w:cs="Arial" w:eastAsia="Arial" w:hAnsi="Arial"/>
          <w:sz w:val="22"/>
          <w:szCs w:val="22"/>
          <w:b w:val="1"/>
          <w:bCs w:val="1"/>
          <w:color w:val="auto"/>
        </w:rPr>
        <w:t>B. Overall Objectives and Scope</w:t>
      </w:r>
    </w:p>
    <w:p>
      <w:pPr>
        <w:spacing w:after="0" w:line="25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This project is defined by discrete work segments for the continuous manufacture of drug substance, formulated drug substance and filled, packaged and labeled drug product, in accordance with a mutually agreed schedule.</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Pursuant to this project, Regeneron will manufacture and sell drug product to the applicable United States (U.S.) Federal Government agency, for distribution in the U.S. All manufacturing described herein will be compliant with Food and Drug Administration (FDA) current Good Manufacturing Oractices (cGMP), as 21 CFR 210 and 211.</w:t>
      </w:r>
    </w:p>
    <w:p>
      <w:pPr>
        <w:spacing w:after="0" w:line="20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b w:val="1"/>
          <w:bCs w:val="1"/>
          <w:color w:val="auto"/>
        </w:rPr>
        <w:t>Introduction</w:t>
      </w:r>
    </w:p>
    <w:p>
      <w:pPr>
        <w:spacing w:after="0" w:line="253"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The objective is to conduct the manufacturing production activities described in this proposal for prototypes consisting of novel, proprietary mAb therapeutics and prophylactics, to reduce pathology of COVID-19 disease and/or prevent development of disease when administered prophylactically.</w:t>
      </w:r>
    </w:p>
    <w:p>
      <w:pPr>
        <w:spacing w:after="0" w:line="20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7"/>
          <w:szCs w:val="17"/>
          <w:b w:val="1"/>
          <w:bCs w:val="1"/>
          <w:color w:val="auto"/>
        </w:rPr>
        <w:t>Scope</w:t>
      </w:r>
    </w:p>
    <w:p>
      <w:pPr>
        <w:spacing w:after="0" w:line="253"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These manufacturing production activities will include manufacturing at-scale, filling and finishing, and storage and shipping of Severe Acute Respiratory Syndrome Coronavirus 2 (SARS-CoV-2)-specific monoclonal antibodies (referred to herein as the “prototype”, the “prototype product”, the “product” or “drug product”) for treatment and/or prophylaxis against COVID-19.</w:t>
      </w:r>
    </w:p>
    <w:p>
      <w:pPr>
        <w:spacing w:after="0" w:line="15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19"/>
          <w:szCs w:val="19"/>
          <w:b w:val="1"/>
          <w:bCs w:val="1"/>
          <w:color w:val="auto"/>
        </w:rPr>
        <w:t>Definition of the Prototype Project</w:t>
      </w:r>
    </w:p>
    <w:p>
      <w:pPr>
        <w:spacing w:after="0" w:line="25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Consistent with USG objectives, Regeneron will employ its proprietary manufacturing technology and processes, in a manner compliant with applicable laws and regulations, including 21 CFR 210 and 211 and the Drug Supply Chain Security Act, to manufacture the prototype product. This effort constitutes a prototype project because it will be used to evaluate the technical feasibility of manufacturing the prototype product during the ongoing COVID-19 pandemic. In addition, this is a prototype project because Regeneron will demonstrate, and prove-out the at-scale, multi-lot proprietary manufacturing activities of Regeneron in order to assess the feasibility of these activities to support the necessary quantity of the prototype product to treat the U.S. population. Successful completion of the prototype project will demonstrate Regeneron’s capability to (i) rapidly manufacture product, which can be further scaled-up to meet mutually agreed to surge requirements with little advance notification and (ii) facilitate the Government’s ability to stockpile and distribute large quantities of the drug product to respond when needed, including for use in clinical studies, under an Emergency Use Authorization (EUA), or pursuant to other clearance from the U.S. FDA. For clarity, any manufacturing and supply of drug product in excess of the specific quantities set forth in Section 4.0 of this Statement of Work, shall be subject to a separate mutual agreement between Regeneron and the Government.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UNCLASSIFIED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CONFIDENTIAL/PROPRIETARY</w:t>
      </w:r>
    </w:p>
    <w:p>
      <w:pPr>
        <w:sectPr>
          <w:pgSz w:w="11900" w:h="16838" w:orient="portrait"/>
          <w:cols w:equalWidth="0" w:num="1">
            <w:col w:w="11240"/>
          </w:cols>
          <w:pgMar w:left="320" w:top="1422" w:right="339" w:bottom="1440" w:gutter="0" w:footer="0" w:header="0"/>
        </w:sectPr>
      </w:pPr>
    </w:p>
    <w:bookmarkStart w:id="192" w:name="page193"/>
    <w:bookmarkEnd w:id="192"/>
    <w:p>
      <w:pPr>
        <w:spacing w:after="0" w:line="231"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scope of effort supported by this agreement is further clarified in Section 1.4. It is important to note that nonclinical and clinical studies for the prototype are being conducted by Regeneron outside of this agreement. The results of those studies may be used to develop use case scenarios and, in turn, inform the USG’s deployment strategy as it relates to product manufactured under this agreement; however, such results (including the degree to which the data are “positive” or “negative”) shall not be a factor in this prototype project.</w:t>
      </w:r>
    </w:p>
    <w:p>
      <w:pPr>
        <w:spacing w:after="0" w:line="213"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19"/>
          <w:szCs w:val="19"/>
          <w:b w:val="1"/>
          <w:bCs w:val="1"/>
          <w:color w:val="auto"/>
        </w:rPr>
        <w:t>Objective</w:t>
      </w:r>
    </w:p>
    <w:p>
      <w:pPr>
        <w:spacing w:after="0" w:line="253" w:lineRule="exact"/>
        <w:rPr>
          <w:sz w:val="20"/>
          <w:szCs w:val="20"/>
          <w:color w:val="auto"/>
        </w:rPr>
      </w:pPr>
    </w:p>
    <w:p>
      <w:pPr>
        <w:jc w:val="both"/>
        <w:ind w:left="660" w:hanging="328"/>
        <w:spacing w:after="0" w:line="253" w:lineRule="auto"/>
        <w:tabs>
          <w:tab w:leader="none" w:pos="655" w:val="left"/>
        </w:tabs>
        <w:numPr>
          <w:ilvl w:val="0"/>
          <w:numId w:val="125"/>
        </w:numPr>
        <w:rPr>
          <w:rFonts w:ascii="Arial" w:cs="Arial" w:eastAsia="Arial" w:hAnsi="Arial"/>
          <w:sz w:val="22"/>
          <w:szCs w:val="22"/>
          <w:color w:val="auto"/>
        </w:rPr>
      </w:pPr>
      <w:r>
        <w:rPr>
          <w:rFonts w:ascii="Arial" w:cs="Arial" w:eastAsia="Arial" w:hAnsi="Arial"/>
          <w:sz w:val="22"/>
          <w:szCs w:val="22"/>
          <w:color w:val="auto"/>
        </w:rPr>
        <w:t>Conduct its proprietary manufacturing production activities described in this proposal for prototypes consisting of novel, proprietary mAb therapeutics and prophylactics, to reduce pathology of COVID-19 disease and/or prevent development of disease when administered prophylactically.</w:t>
      </w:r>
    </w:p>
    <w:p>
      <w:pPr>
        <w:spacing w:after="0" w:line="77" w:lineRule="exact"/>
        <w:rPr>
          <w:rFonts w:ascii="Arial" w:cs="Arial" w:eastAsia="Arial" w:hAnsi="Arial"/>
          <w:sz w:val="22"/>
          <w:szCs w:val="22"/>
          <w:color w:val="auto"/>
        </w:rPr>
      </w:pPr>
    </w:p>
    <w:p>
      <w:pPr>
        <w:ind w:left="660" w:hanging="328"/>
        <w:spacing w:after="0"/>
        <w:tabs>
          <w:tab w:leader="none" w:pos="660" w:val="left"/>
        </w:tabs>
        <w:numPr>
          <w:ilvl w:val="0"/>
          <w:numId w:val="125"/>
        </w:numPr>
        <w:rPr>
          <w:rFonts w:ascii="Arial" w:cs="Arial" w:eastAsia="Arial" w:hAnsi="Arial"/>
          <w:sz w:val="19"/>
          <w:szCs w:val="19"/>
          <w:color w:val="auto"/>
        </w:rPr>
      </w:pPr>
      <w:r>
        <w:rPr>
          <w:rFonts w:ascii="Arial" w:cs="Arial" w:eastAsia="Arial" w:hAnsi="Arial"/>
          <w:sz w:val="19"/>
          <w:szCs w:val="19"/>
          <w:color w:val="auto"/>
        </w:rPr>
        <w:t>The prototypes will include one or more of the following, as mutually agreed between Offeror and the Government:</w:t>
      </w:r>
    </w:p>
    <w:p>
      <w:pPr>
        <w:spacing w:after="0" w:line="55" w:lineRule="exact"/>
        <w:rPr>
          <w:rFonts w:ascii="Arial" w:cs="Arial" w:eastAsia="Arial" w:hAnsi="Arial"/>
          <w:sz w:val="19"/>
          <w:szCs w:val="19"/>
          <w:color w:val="auto"/>
        </w:rPr>
      </w:pPr>
    </w:p>
    <w:p>
      <w:pPr>
        <w:ind w:left="1300" w:hanging="320"/>
        <w:spacing w:after="0" w:line="225" w:lineRule="auto"/>
        <w:tabs>
          <w:tab w:leader="none" w:pos="1300" w:val="left"/>
        </w:tabs>
        <w:numPr>
          <w:ilvl w:val="1"/>
          <w:numId w:val="125"/>
        </w:numPr>
        <w:rPr>
          <w:rFonts w:ascii="Courier New" w:cs="Courier New" w:eastAsia="Courier New" w:hAnsi="Courier New"/>
          <w:sz w:val="22"/>
          <w:szCs w:val="22"/>
          <w:color w:val="auto"/>
        </w:rPr>
      </w:pPr>
      <w:r>
        <w:rPr>
          <w:rFonts w:ascii="Arial" w:cs="Arial" w:eastAsia="Arial" w:hAnsi="Arial"/>
          <w:sz w:val="22"/>
          <w:szCs w:val="22"/>
          <w:color w:val="auto"/>
        </w:rPr>
        <w:t>the mAbs known as REGN10987 and REGN10933, as a cocktail;</w:t>
      </w:r>
    </w:p>
    <w:p>
      <w:pPr>
        <w:spacing w:after="0" w:line="10" w:lineRule="exact"/>
        <w:rPr>
          <w:rFonts w:ascii="Courier New" w:cs="Courier New" w:eastAsia="Courier New" w:hAnsi="Courier New"/>
          <w:sz w:val="22"/>
          <w:szCs w:val="22"/>
          <w:color w:val="auto"/>
        </w:rPr>
      </w:pPr>
    </w:p>
    <w:p>
      <w:pPr>
        <w:ind w:left="1300" w:hanging="320"/>
        <w:spacing w:after="0" w:line="270" w:lineRule="auto"/>
        <w:tabs>
          <w:tab w:leader="none" w:pos="1322" w:val="left"/>
        </w:tabs>
        <w:numPr>
          <w:ilvl w:val="1"/>
          <w:numId w:val="125"/>
        </w:numPr>
        <w:rPr>
          <w:rFonts w:ascii="Courier New" w:cs="Courier New" w:eastAsia="Courier New" w:hAnsi="Courier New"/>
          <w:sz w:val="22"/>
          <w:szCs w:val="22"/>
          <w:color w:val="auto"/>
        </w:rPr>
      </w:pPr>
      <w:r>
        <w:rPr>
          <w:rFonts w:ascii="Arial" w:cs="Arial" w:eastAsia="Arial" w:hAnsi="Arial"/>
          <w:sz w:val="22"/>
          <w:szCs w:val="22"/>
          <w:color w:val="auto"/>
        </w:rPr>
        <w:t>Other mAbs (as monotherapies or a cocktail) as agreed to by bilateral modification between Offeror and the Government.</w:t>
      </w:r>
    </w:p>
    <w:p>
      <w:pPr>
        <w:spacing w:after="0" w:line="56" w:lineRule="exact"/>
        <w:rPr>
          <w:rFonts w:ascii="Courier New" w:cs="Courier New" w:eastAsia="Courier New" w:hAnsi="Courier New"/>
          <w:sz w:val="22"/>
          <w:szCs w:val="22"/>
          <w:color w:val="auto"/>
        </w:rPr>
      </w:pPr>
    </w:p>
    <w:p>
      <w:pPr>
        <w:jc w:val="both"/>
        <w:ind w:left="660" w:hanging="328"/>
        <w:spacing w:after="0" w:line="250" w:lineRule="auto"/>
        <w:tabs>
          <w:tab w:leader="none" w:pos="655" w:val="left"/>
        </w:tabs>
        <w:numPr>
          <w:ilvl w:val="0"/>
          <w:numId w:val="125"/>
        </w:numPr>
        <w:rPr>
          <w:rFonts w:ascii="Arial" w:cs="Arial" w:eastAsia="Arial" w:hAnsi="Arial"/>
          <w:sz w:val="22"/>
          <w:szCs w:val="22"/>
          <w:color w:val="auto"/>
        </w:rPr>
      </w:pPr>
      <w:r>
        <w:rPr>
          <w:rFonts w:ascii="Arial" w:cs="Arial" w:eastAsia="Arial" w:hAnsi="Arial"/>
          <w:sz w:val="22"/>
          <w:szCs w:val="22"/>
          <w:color w:val="auto"/>
        </w:rPr>
        <w:t>The deliverables will be the products listed above (i.e., REGN10987 and REGN10933), in the form of bulk formulated drug substance and/or filled and finished product in vials, as mutually agreed between Offeror and the Government, packaged and labeled drug product, results, reports and records associated with generation of data demonstrating quality and control.</w:t>
      </w:r>
    </w:p>
    <w:p>
      <w:pPr>
        <w:spacing w:after="0" w:line="79" w:lineRule="exact"/>
        <w:rPr>
          <w:rFonts w:ascii="Arial" w:cs="Arial" w:eastAsia="Arial" w:hAnsi="Arial"/>
          <w:sz w:val="22"/>
          <w:szCs w:val="22"/>
          <w:color w:val="auto"/>
        </w:rPr>
      </w:pPr>
    </w:p>
    <w:p>
      <w:pPr>
        <w:jc w:val="both"/>
        <w:ind w:left="660" w:hanging="328"/>
        <w:spacing w:after="0" w:line="263" w:lineRule="auto"/>
        <w:tabs>
          <w:tab w:leader="none" w:pos="655" w:val="left"/>
        </w:tabs>
        <w:numPr>
          <w:ilvl w:val="0"/>
          <w:numId w:val="125"/>
        </w:numPr>
        <w:rPr>
          <w:rFonts w:ascii="Arial" w:cs="Arial" w:eastAsia="Arial" w:hAnsi="Arial"/>
          <w:sz w:val="21"/>
          <w:szCs w:val="21"/>
          <w:color w:val="auto"/>
        </w:rPr>
      </w:pPr>
      <w:r>
        <w:rPr>
          <w:rFonts w:ascii="Arial" w:cs="Arial" w:eastAsia="Arial" w:hAnsi="Arial"/>
          <w:sz w:val="21"/>
          <w:szCs w:val="21"/>
          <w:color w:val="auto"/>
        </w:rPr>
        <w:t>The products will be delivered in the form and quantity to be agreed between Offeror and the Government. It is expected that the prototypes will be stored by Offeror until such time as (a) they can be used for pre-clinical or clinical development purposes under an Investigational New Drug application (IND), or (b) upon the FDA’s grant of an EUA under Section 564 of the Food, Drug and Cosmetic Act (FD&amp;C Act), or full marketing approval under a full Biologics License Application (BLA) under Section 351(a) of the Public Health Service Act (PHSA).</w:t>
      </w:r>
    </w:p>
    <w:p>
      <w:pPr>
        <w:spacing w:after="0" w:line="19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1.5</w:t>
      </w:r>
      <w:r>
        <w:rPr>
          <w:sz w:val="20"/>
          <w:szCs w:val="20"/>
          <w:color w:val="auto"/>
        </w:rPr>
        <w:tab/>
      </w:r>
      <w:r>
        <w:rPr>
          <w:rFonts w:ascii="Arial" w:cs="Arial" w:eastAsia="Arial" w:hAnsi="Arial"/>
          <w:sz w:val="19"/>
          <w:szCs w:val="19"/>
          <w:b w:val="1"/>
          <w:bCs w:val="1"/>
          <w:color w:val="auto"/>
        </w:rPr>
        <w:t>Follow-on Activity</w:t>
      </w:r>
    </w:p>
    <w:p>
      <w:pPr>
        <w:spacing w:after="0" w:line="253"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In accordance with 10.U.S.C. 2371b(f), and upon successful demonstration of the prototype, or at the accomplishment of particularly favorable or unexpected results achieved outside of this Agreement that would justify transitioning to production (e.g., EUA or BLA), additional at-scale manufacturing of up to 800,000 treatment courses, supported by a mutually agreed upon follow-on production contract or Other Transaction Agreement, may be awarded to Regeneron, without further competition, to partially or completely meet the USG objective of supplying a safe and effective COVID-19 therapeutic or prophylactic treatment courses to ensure nationwide access. For clarity, any manufacturing and supply of drug product in excess of the specific quantities set forth in Section 4.0 of this Statement of Work shall be subject to a mutually-agreed upon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UNCLASSIFIED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CONFIDENTIAL/PROPRIETARY</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263" w:lineRule="auto"/>
        <w:rPr>
          <w:sz w:val="20"/>
          <w:szCs w:val="20"/>
          <w:color w:val="auto"/>
        </w:rPr>
      </w:pPr>
      <w:r>
        <w:rPr>
          <w:rFonts w:ascii="Arial" w:cs="Arial" w:eastAsia="Arial" w:hAnsi="Arial"/>
          <w:sz w:val="22"/>
          <w:szCs w:val="22"/>
          <w:color w:val="auto"/>
        </w:rPr>
        <w:t>separate agreement between Regeneron and the Government. For further clarity, neither party shall be obligated to negotiate or enter into such a separate agreement for follow-on production.</w:t>
      </w:r>
    </w:p>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During the performance of the prototype project, the Government and contractor may negotiate the scope and price of follow-on production.</w:t>
      </w:r>
    </w:p>
    <w:p>
      <w:pPr>
        <w:spacing w:after="0" w:line="196"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b w:val="1"/>
          <w:bCs w:val="1"/>
          <w:color w:val="auto"/>
        </w:rPr>
        <w:t>2.0</w:t>
      </w:r>
      <w:r>
        <w:rPr>
          <w:sz w:val="20"/>
          <w:szCs w:val="20"/>
          <w:color w:val="auto"/>
        </w:rPr>
        <w:tab/>
      </w:r>
      <w:r>
        <w:rPr>
          <w:rFonts w:ascii="Arial" w:cs="Arial" w:eastAsia="Arial" w:hAnsi="Arial"/>
          <w:sz w:val="21"/>
          <w:szCs w:val="21"/>
          <w:b w:val="1"/>
          <w:bCs w:val="1"/>
          <w:color w:val="auto"/>
        </w:rPr>
        <w:t>APPLICABLE REFERENCES</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Current Good Manufacturing Practices, 21 CFR 210, 211</w:t>
      </w:r>
    </w:p>
    <w:p>
      <w:pPr>
        <w:spacing w:after="0" w:line="223"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3.0</w:t>
        <w:tab/>
        <w:t>REQUIREMENTS</w:t>
      </w:r>
    </w:p>
    <w:p>
      <w:pPr>
        <w:spacing w:after="0" w:line="247"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3.1</w:t>
      </w:r>
      <w:r>
        <w:rPr>
          <w:sz w:val="20"/>
          <w:szCs w:val="20"/>
          <w:color w:val="auto"/>
        </w:rPr>
        <w:tab/>
      </w:r>
      <w:r>
        <w:rPr>
          <w:rFonts w:ascii="Arial" w:cs="Arial" w:eastAsia="Arial" w:hAnsi="Arial"/>
          <w:sz w:val="19"/>
          <w:szCs w:val="19"/>
          <w:b w:val="1"/>
          <w:bCs w:val="1"/>
          <w:color w:val="auto"/>
        </w:rPr>
        <w:t>Technical</w:t>
      </w:r>
    </w:p>
    <w:p>
      <w:pPr>
        <w:spacing w:after="0" w:line="239" w:lineRule="exact"/>
        <w:rPr>
          <w:sz w:val="20"/>
          <w:szCs w:val="20"/>
          <w:color w:val="auto"/>
        </w:rPr>
      </w:pPr>
    </w:p>
    <w:p>
      <w:pPr>
        <w:jc w:val="both"/>
        <w:ind w:left="660" w:hanging="328"/>
        <w:spacing w:after="0"/>
        <w:tabs>
          <w:tab w:leader="none" w:pos="655" w:val="left"/>
        </w:tabs>
        <w:numPr>
          <w:ilvl w:val="0"/>
          <w:numId w:val="126"/>
        </w:numPr>
        <w:rPr>
          <w:rFonts w:ascii="Arial" w:cs="Arial" w:eastAsia="Arial" w:hAnsi="Arial"/>
          <w:sz w:val="22"/>
          <w:szCs w:val="22"/>
          <w:color w:val="auto"/>
        </w:rPr>
      </w:pPr>
      <w:r>
        <w:rPr>
          <w:rFonts w:ascii="Arial" w:cs="Arial" w:eastAsia="Arial" w:hAnsi="Arial"/>
          <w:sz w:val="22"/>
          <w:szCs w:val="22"/>
          <w:color w:val="auto"/>
        </w:rPr>
        <w:t>The Offeror's technical approach is expected to be similar, but not duplicative, to its manufacturing activities under its current agreements with the Biomedical Advanced Research and Development Authority (BARDA), including contract # HHSO100201700016C, and will include the following:</w:t>
      </w:r>
    </w:p>
    <w:p>
      <w:pPr>
        <w:spacing w:after="0" w:line="78" w:lineRule="exact"/>
        <w:rPr>
          <w:rFonts w:ascii="Arial" w:cs="Arial" w:eastAsia="Arial" w:hAnsi="Arial"/>
          <w:sz w:val="22"/>
          <w:szCs w:val="22"/>
          <w:color w:val="auto"/>
        </w:rPr>
      </w:pPr>
    </w:p>
    <w:p>
      <w:pPr>
        <w:ind w:left="1300" w:hanging="320"/>
        <w:spacing w:after="0"/>
        <w:tabs>
          <w:tab w:leader="none" w:pos="1300" w:val="left"/>
        </w:tabs>
        <w:numPr>
          <w:ilvl w:val="1"/>
          <w:numId w:val="126"/>
        </w:numPr>
        <w:rPr>
          <w:rFonts w:ascii="Courier New" w:cs="Courier New" w:eastAsia="Courier New" w:hAnsi="Courier New"/>
          <w:sz w:val="22"/>
          <w:szCs w:val="22"/>
          <w:color w:val="auto"/>
        </w:rPr>
      </w:pPr>
      <w:r>
        <w:rPr>
          <w:rFonts w:ascii="Arial" w:cs="Arial" w:eastAsia="Arial" w:hAnsi="Arial"/>
          <w:sz w:val="22"/>
          <w:szCs w:val="22"/>
          <w:color w:val="auto"/>
        </w:rPr>
        <w:t>Drug Substance, Formulated Drug Substance, Drug Product (DS/FDS/DP) quality and control.</w:t>
      </w:r>
    </w:p>
    <w:p>
      <w:pPr>
        <w:spacing w:after="0" w:line="92" w:lineRule="exact"/>
        <w:rPr>
          <w:rFonts w:ascii="Courier New" w:cs="Courier New" w:eastAsia="Courier New" w:hAnsi="Courier New"/>
          <w:sz w:val="22"/>
          <w:szCs w:val="22"/>
          <w:color w:val="auto"/>
        </w:rPr>
      </w:pPr>
    </w:p>
    <w:p>
      <w:pPr>
        <w:ind w:left="1960" w:hanging="332"/>
        <w:spacing w:after="0" w:line="250" w:lineRule="auto"/>
        <w:tabs>
          <w:tab w:leader="none" w:pos="1983" w:val="left"/>
        </w:tabs>
        <w:numPr>
          <w:ilvl w:val="2"/>
          <w:numId w:val="126"/>
        </w:numPr>
        <w:rPr>
          <w:rFonts w:ascii="Arial" w:cs="Arial" w:eastAsia="Arial" w:hAnsi="Arial"/>
          <w:sz w:val="22"/>
          <w:szCs w:val="22"/>
          <w:color w:val="auto"/>
        </w:rPr>
      </w:pPr>
      <w:r>
        <w:rPr>
          <w:rFonts w:ascii="Arial" w:cs="Arial" w:eastAsia="Arial" w:hAnsi="Arial"/>
          <w:sz w:val="22"/>
          <w:szCs w:val="22"/>
          <w:color w:val="auto"/>
        </w:rPr>
        <w:t>Regeneron will apply statistical process analysis to continuously qualify in-process controls and release parameters.</w:t>
      </w:r>
    </w:p>
    <w:p>
      <w:pPr>
        <w:spacing w:after="0" w:line="66" w:lineRule="exact"/>
        <w:rPr>
          <w:rFonts w:ascii="Arial" w:cs="Arial" w:eastAsia="Arial" w:hAnsi="Arial"/>
          <w:sz w:val="22"/>
          <w:szCs w:val="22"/>
          <w:color w:val="auto"/>
        </w:rPr>
      </w:pPr>
    </w:p>
    <w:p>
      <w:pPr>
        <w:jc w:val="both"/>
        <w:ind w:left="1960" w:hanging="332"/>
        <w:spacing w:after="0" w:line="273" w:lineRule="auto"/>
        <w:tabs>
          <w:tab w:leader="none" w:pos="1969" w:val="left"/>
        </w:tabs>
        <w:numPr>
          <w:ilvl w:val="2"/>
          <w:numId w:val="126"/>
        </w:numPr>
        <w:rPr>
          <w:rFonts w:ascii="Arial" w:cs="Arial" w:eastAsia="Arial" w:hAnsi="Arial"/>
          <w:sz w:val="19"/>
          <w:szCs w:val="19"/>
          <w:color w:val="auto"/>
        </w:rPr>
      </w:pPr>
      <w:r>
        <w:rPr>
          <w:rFonts w:ascii="Arial" w:cs="Arial" w:eastAsia="Arial" w:hAnsi="Arial"/>
          <w:sz w:val="19"/>
          <w:szCs w:val="19"/>
          <w:color w:val="auto"/>
        </w:rPr>
        <w:t>The manufacturing process will be evaluated against parameters that are correlated to process performance and product quality. Ranges for the performance of each unit operation will be established through process development recommended ranges, the generation of statistical limits based on small-scale studies, and/or continuous commercial-scale manufacturing experience. These ranges will be monitored during the execution of quality and control, and are designed to ensure that the process is in a state of control and to ensure that the manufacturing process operates in a consistent and reproducible manner. The quality and control runs will also confirm that the process and product impurity profiles are within limits, demonstrate the consistent removal of impurities, and demonstrate that the process is capable of operating within acceptable microbiological control limits. Additional sampling and testing beyond that needed to assess process performance, may be completed to further process understanding.</w:t>
      </w:r>
    </w:p>
    <w:p>
      <w:pPr>
        <w:spacing w:after="0" w:line="52" w:lineRule="exact"/>
        <w:rPr>
          <w:rFonts w:ascii="Arial" w:cs="Arial" w:eastAsia="Arial" w:hAnsi="Arial"/>
          <w:sz w:val="19"/>
          <w:szCs w:val="19"/>
          <w:color w:val="auto"/>
        </w:rPr>
      </w:pPr>
    </w:p>
    <w:p>
      <w:pPr>
        <w:ind w:left="1960" w:hanging="332"/>
        <w:spacing w:after="0" w:line="250" w:lineRule="auto"/>
        <w:tabs>
          <w:tab w:leader="none" w:pos="1969" w:val="left"/>
        </w:tabs>
        <w:numPr>
          <w:ilvl w:val="2"/>
          <w:numId w:val="126"/>
        </w:numPr>
        <w:rPr>
          <w:rFonts w:ascii="Arial" w:cs="Arial" w:eastAsia="Arial" w:hAnsi="Arial"/>
          <w:sz w:val="22"/>
          <w:szCs w:val="22"/>
          <w:color w:val="auto"/>
        </w:rPr>
      </w:pPr>
      <w:r>
        <w:rPr>
          <w:rFonts w:ascii="Arial" w:cs="Arial" w:eastAsia="Arial" w:hAnsi="Arial"/>
          <w:sz w:val="22"/>
          <w:szCs w:val="22"/>
          <w:i w:val="1"/>
          <w:iCs w:val="1"/>
          <w:color w:val="auto"/>
        </w:rPr>
        <w:t>Intermediate Hold Time Validation</w:t>
      </w:r>
      <w:r>
        <w:rPr>
          <w:rFonts w:ascii="Arial" w:cs="Arial" w:eastAsia="Arial" w:hAnsi="Arial"/>
          <w:sz w:val="22"/>
          <w:szCs w:val="22"/>
          <w:color w:val="auto"/>
        </w:rPr>
        <w:t>: Intermediate hold time validation to be performed via combination of</w:t>
      </w:r>
      <w:r>
        <w:rPr>
          <w:rFonts w:ascii="Arial" w:cs="Arial" w:eastAsia="Arial" w:hAnsi="Arial"/>
          <w:sz w:val="22"/>
          <w:szCs w:val="22"/>
          <w:i w:val="1"/>
          <w:iCs w:val="1"/>
          <w:color w:val="auto"/>
        </w:rPr>
        <w:t xml:space="preserve"> </w:t>
      </w:r>
      <w:r>
        <w:rPr>
          <w:rFonts w:ascii="Arial" w:cs="Arial" w:eastAsia="Arial" w:hAnsi="Arial"/>
          <w:sz w:val="22"/>
          <w:szCs w:val="22"/>
          <w:color w:val="auto"/>
        </w:rPr>
        <w:t>at scale and small scale executions:</w:t>
      </w:r>
    </w:p>
    <w:p>
      <w:pPr>
        <w:spacing w:after="0" w:line="66" w:lineRule="exact"/>
        <w:rPr>
          <w:rFonts w:ascii="Arial" w:cs="Arial" w:eastAsia="Arial" w:hAnsi="Arial"/>
          <w:sz w:val="22"/>
          <w:szCs w:val="22"/>
          <w:color w:val="auto"/>
        </w:rPr>
      </w:pPr>
    </w:p>
    <w:p>
      <w:pPr>
        <w:jc w:val="both"/>
        <w:ind w:left="2600" w:hanging="324"/>
        <w:spacing w:after="0"/>
        <w:tabs>
          <w:tab w:leader="none" w:pos="2595" w:val="left"/>
        </w:tabs>
        <w:numPr>
          <w:ilvl w:val="3"/>
          <w:numId w:val="126"/>
        </w:numPr>
        <w:rPr>
          <w:rFonts w:ascii="Arial" w:cs="Arial" w:eastAsia="Arial" w:hAnsi="Arial"/>
          <w:sz w:val="22"/>
          <w:szCs w:val="22"/>
          <w:color w:val="auto"/>
        </w:rPr>
      </w:pPr>
      <w:r>
        <w:rPr>
          <w:rFonts w:ascii="Arial" w:cs="Arial" w:eastAsia="Arial" w:hAnsi="Arial"/>
          <w:sz w:val="22"/>
          <w:szCs w:val="22"/>
          <w:color w:val="auto"/>
        </w:rPr>
        <w:t>Microbial Control: Where appropriate, microbial control data from at scale hold time studies, will be leveraged from historical validation runs with molecules which have similar equipment and sanitization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UNCLASSIFIED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CONFIDENTIAL/PROPRIETARY</w:t>
      </w:r>
    </w:p>
    <w:p>
      <w:pPr>
        <w:sectPr>
          <w:pgSz w:w="11900" w:h="16838" w:orient="portrait"/>
          <w:cols w:equalWidth="0" w:num="1">
            <w:col w:w="11240"/>
          </w:cols>
          <w:pgMar w:left="320" w:top="1428" w:right="339" w:bottom="1440" w:gutter="0" w:footer="0" w:header="0"/>
        </w:sectPr>
      </w:pPr>
    </w:p>
    <w:bookmarkStart w:id="194" w:name="page195"/>
    <w:bookmarkEnd w:id="194"/>
    <w:p>
      <w:pPr>
        <w:jc w:val="both"/>
        <w:ind w:left="1480" w:hanging="324"/>
        <w:spacing w:after="0"/>
        <w:tabs>
          <w:tab w:leader="none" w:pos="1475" w:val="left"/>
        </w:tabs>
        <w:numPr>
          <w:ilvl w:val="1"/>
          <w:numId w:val="127"/>
        </w:numPr>
        <w:rPr>
          <w:rFonts w:ascii="Arial" w:cs="Arial" w:eastAsia="Arial" w:hAnsi="Arial"/>
          <w:sz w:val="22"/>
          <w:szCs w:val="22"/>
          <w:color w:val="auto"/>
        </w:rPr>
      </w:pPr>
      <w:r>
        <w:rPr>
          <w:rFonts w:ascii="Arial" w:cs="Arial" w:eastAsia="Arial" w:hAnsi="Arial"/>
          <w:sz w:val="22"/>
          <w:szCs w:val="22"/>
          <w:color w:val="auto"/>
        </w:rPr>
        <w:t>Chemical Stability: Chemical stability will be demonstrated using data from laboratory scale hold time studies performed for each of the prototypes, using material obtained from in-process pools from the 10,000 L manufacturing executions.</w:t>
      </w:r>
    </w:p>
    <w:p>
      <w:pPr>
        <w:spacing w:after="0" w:line="78" w:lineRule="exact"/>
        <w:rPr>
          <w:rFonts w:ascii="Arial" w:cs="Arial" w:eastAsia="Arial" w:hAnsi="Arial"/>
          <w:sz w:val="22"/>
          <w:szCs w:val="22"/>
          <w:color w:val="auto"/>
        </w:rPr>
      </w:pPr>
    </w:p>
    <w:p>
      <w:pPr>
        <w:jc w:val="both"/>
        <w:ind w:left="840" w:hanging="332"/>
        <w:spacing w:after="0" w:line="248" w:lineRule="auto"/>
        <w:tabs>
          <w:tab w:leader="none" w:pos="903" w:val="left"/>
        </w:tabs>
        <w:numPr>
          <w:ilvl w:val="0"/>
          <w:numId w:val="127"/>
        </w:numPr>
        <w:rPr>
          <w:rFonts w:ascii="Arial" w:cs="Arial" w:eastAsia="Arial" w:hAnsi="Arial"/>
          <w:sz w:val="21"/>
          <w:szCs w:val="21"/>
          <w:color w:val="auto"/>
        </w:rPr>
      </w:pPr>
      <w:r>
        <w:rPr>
          <w:rFonts w:ascii="Arial" w:cs="Arial" w:eastAsia="Arial" w:hAnsi="Arial"/>
          <w:sz w:val="21"/>
          <w:szCs w:val="21"/>
          <w:i w:val="1"/>
          <w:iCs w:val="1"/>
          <w:color w:val="auto"/>
        </w:rPr>
        <w:t>Media, Feed and Buffer Mixing Validation</w:t>
      </w:r>
      <w:r>
        <w:rPr>
          <w:rFonts w:ascii="Arial" w:cs="Arial" w:eastAsia="Arial" w:hAnsi="Arial"/>
          <w:sz w:val="21"/>
          <w:szCs w:val="21"/>
          <w:color w:val="auto"/>
        </w:rPr>
        <w:t>: Preparation of buffers and media will be validated at</w:t>
      </w:r>
      <w:r>
        <w:rPr>
          <w:rFonts w:ascii="Arial" w:cs="Arial" w:eastAsia="Arial" w:hAnsi="Arial"/>
          <w:sz w:val="21"/>
          <w:szCs w:val="21"/>
          <w:i w:val="1"/>
          <w:iCs w:val="1"/>
          <w:color w:val="auto"/>
        </w:rPr>
        <w:t xml:space="preserve"> </w:t>
      </w:r>
      <w:r>
        <w:rPr>
          <w:rFonts w:ascii="Arial" w:cs="Arial" w:eastAsia="Arial" w:hAnsi="Arial"/>
          <w:sz w:val="21"/>
          <w:szCs w:val="21"/>
          <w:color w:val="auto"/>
        </w:rPr>
        <w:t>commercial-scale. These validation studies will demonstrate that the preparation process consistently produces solutions meeting predefined limits for parameters indicative of homogeneity, such as pH, conductivity, osmolality, and turbidity. Where vessels of equivalent design and construction exist within the manufacturing facility, validation of media and buffer preparation will be performed on one representative vessel on at least three consecutive and successful executions.</w:t>
      </w:r>
    </w:p>
    <w:p>
      <w:pPr>
        <w:spacing w:after="0" w:line="68" w:lineRule="exact"/>
        <w:rPr>
          <w:rFonts w:ascii="Arial" w:cs="Arial" w:eastAsia="Arial" w:hAnsi="Arial"/>
          <w:sz w:val="21"/>
          <w:szCs w:val="21"/>
          <w:color w:val="auto"/>
        </w:rPr>
      </w:pPr>
    </w:p>
    <w:p>
      <w:pPr>
        <w:ind w:left="860" w:hanging="352"/>
        <w:spacing w:after="0"/>
        <w:tabs>
          <w:tab w:leader="none" w:pos="860" w:val="left"/>
        </w:tabs>
        <w:numPr>
          <w:ilvl w:val="0"/>
          <w:numId w:val="127"/>
        </w:numPr>
        <w:rPr>
          <w:rFonts w:ascii="Arial" w:cs="Arial" w:eastAsia="Arial" w:hAnsi="Arial"/>
          <w:sz w:val="19"/>
          <w:szCs w:val="19"/>
          <w:color w:val="auto"/>
        </w:rPr>
      </w:pPr>
      <w:r>
        <w:rPr>
          <w:rFonts w:ascii="Arial" w:cs="Arial" w:eastAsia="Arial" w:hAnsi="Arial"/>
          <w:sz w:val="19"/>
          <w:szCs w:val="19"/>
          <w:i w:val="1"/>
          <w:iCs w:val="1"/>
          <w:color w:val="auto"/>
        </w:rPr>
        <w:t>Medium Storage Validation</w:t>
      </w:r>
      <w:r>
        <w:rPr>
          <w:rFonts w:ascii="Arial" w:cs="Arial" w:eastAsia="Arial" w:hAnsi="Arial"/>
          <w:sz w:val="19"/>
          <w:szCs w:val="19"/>
          <w:color w:val="auto"/>
        </w:rPr>
        <w:t>: Medium storage validation will be separated into preparation hold and post-</w:t>
      </w:r>
    </w:p>
    <w:p>
      <w:pPr>
        <w:spacing w:after="0" w:line="42" w:lineRule="exact"/>
        <w:rPr>
          <w:rFonts w:ascii="Arial" w:cs="Arial" w:eastAsia="Arial" w:hAnsi="Arial"/>
          <w:sz w:val="19"/>
          <w:szCs w:val="19"/>
          <w:color w:val="auto"/>
        </w:rPr>
      </w:pPr>
    </w:p>
    <w:p>
      <w:pPr>
        <w:jc w:val="both"/>
        <w:ind w:left="840"/>
        <w:spacing w:after="0" w:line="242" w:lineRule="auto"/>
        <w:rPr>
          <w:rFonts w:ascii="Arial" w:cs="Arial" w:eastAsia="Arial" w:hAnsi="Arial"/>
          <w:sz w:val="19"/>
          <w:szCs w:val="19"/>
          <w:color w:val="auto"/>
        </w:rPr>
      </w:pPr>
      <w:r>
        <w:rPr>
          <w:rFonts w:ascii="Arial" w:cs="Arial" w:eastAsia="Arial" w:hAnsi="Arial"/>
          <w:sz w:val="21"/>
          <w:szCs w:val="21"/>
          <w:color w:val="auto"/>
        </w:rPr>
        <w:t>filtration storage, and has two components: microbial control and chemical stability. Pre-filtration microbial control is specific to the raw materials and the environment, and post-filtration microbial control is specific to each storage container and the ability of the storage container to maintain a microbial free condition. Maximum storage times for medium solutions with respect to microbial control will be validated as necessary at commercial scale, through preparation and storage of medium for extended storage times pre- and post-filtration. Validation will be achieved by demonstrating microbial control for a number of consecutive attempts established in the relevant validation protocol. Solutions will be prepared, stored for defined periods and tested for bioburden and endotoxin. Chemical stability of medium may be performed at small-scale to demonstrate storage conditions maintain integrity of chemical components. Bracketing approaches may be used to cover the different feeds and medium used, provided the individual protocol justifies the bracket.</w:t>
      </w:r>
    </w:p>
    <w:p>
      <w:pPr>
        <w:spacing w:after="0" w:line="84" w:lineRule="exact"/>
        <w:rPr>
          <w:rFonts w:ascii="Arial" w:cs="Arial" w:eastAsia="Arial" w:hAnsi="Arial"/>
          <w:sz w:val="19"/>
          <w:szCs w:val="19"/>
          <w:color w:val="auto"/>
        </w:rPr>
      </w:pPr>
    </w:p>
    <w:p>
      <w:pPr>
        <w:ind w:left="860" w:hanging="352"/>
        <w:spacing w:after="0"/>
        <w:tabs>
          <w:tab w:leader="none" w:pos="860" w:val="left"/>
        </w:tabs>
        <w:numPr>
          <w:ilvl w:val="0"/>
          <w:numId w:val="127"/>
        </w:numPr>
        <w:rPr>
          <w:rFonts w:ascii="Arial" w:cs="Arial" w:eastAsia="Arial" w:hAnsi="Arial"/>
          <w:sz w:val="19"/>
          <w:szCs w:val="19"/>
          <w:color w:val="auto"/>
        </w:rPr>
      </w:pPr>
      <w:r>
        <w:rPr>
          <w:rFonts w:ascii="Arial" w:cs="Arial" w:eastAsia="Arial" w:hAnsi="Arial"/>
          <w:sz w:val="19"/>
          <w:szCs w:val="19"/>
          <w:i w:val="1"/>
          <w:iCs w:val="1"/>
          <w:color w:val="auto"/>
        </w:rPr>
        <w:t>Buffer Storage Validation</w:t>
      </w:r>
      <w:r>
        <w:rPr>
          <w:rFonts w:ascii="Arial" w:cs="Arial" w:eastAsia="Arial" w:hAnsi="Arial"/>
          <w:sz w:val="19"/>
          <w:szCs w:val="19"/>
          <w:color w:val="auto"/>
        </w:rPr>
        <w:t>: Buffer storage validation is separated into preparation hold and post-filtration</w:t>
      </w:r>
    </w:p>
    <w:p>
      <w:pPr>
        <w:spacing w:after="0" w:line="42" w:lineRule="exact"/>
        <w:rPr>
          <w:rFonts w:ascii="Arial" w:cs="Arial" w:eastAsia="Arial" w:hAnsi="Arial"/>
          <w:sz w:val="19"/>
          <w:szCs w:val="19"/>
          <w:color w:val="auto"/>
        </w:rPr>
      </w:pPr>
    </w:p>
    <w:p>
      <w:pPr>
        <w:jc w:val="both"/>
        <w:ind w:left="840"/>
        <w:spacing w:after="0" w:line="271" w:lineRule="auto"/>
        <w:rPr>
          <w:rFonts w:ascii="Arial" w:cs="Arial" w:eastAsia="Arial" w:hAnsi="Arial"/>
          <w:sz w:val="19"/>
          <w:szCs w:val="19"/>
          <w:color w:val="auto"/>
        </w:rPr>
      </w:pPr>
      <w:r>
        <w:rPr>
          <w:rFonts w:ascii="Arial" w:cs="Arial" w:eastAsia="Arial" w:hAnsi="Arial"/>
          <w:sz w:val="19"/>
          <w:szCs w:val="19"/>
          <w:color w:val="auto"/>
        </w:rPr>
        <w:t>storage, and has two components: microbial control and chemical stability. Preparation holds are dependent on the solution composition. The worst- case solution for growth is determined using a risk-based approach, and post-filtration microbial control is specific to each vessel and the ability of a vessel to maintain a microbial free condition. Maximum storage times for buffer solutions will be validated as necessary at commercial-scale for microbial control, through preparation and storage of a non-growth inhibiting buffer for extended storage times pre- and post-filtration. Validation will be achieved by demonstrating microbial control for a number of consecutive attempts established by the protocol. Buffer hold validation in stainless steel vessels will require ongoing evaluation and monitoring; however, buffer hold validation in disposable bioprocess containers may be shortened, if appropriate, by a bracketing approach. Solutions will be prepared, held and monitored over time for bioburden, endotoxin. Chemical stability of buffers may be performed at small-scale to demonstrate that storage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UNCLASSIFIED</w:t>
      </w:r>
    </w:p>
    <w:p>
      <w:pPr>
        <w:spacing w:after="0" w:line="22"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CONFIDENTIAL/PROPRIETARY</w:t>
      </w:r>
    </w:p>
    <w:p>
      <w:pPr>
        <w:sectPr>
          <w:pgSz w:w="11900" w:h="16838" w:orient="portrait"/>
          <w:cols w:equalWidth="0" w:num="1">
            <w:col w:w="10120"/>
          </w:cols>
          <w:pgMar w:left="1440" w:top="1414" w:right="339" w:bottom="1440" w:gutter="0" w:footer="0" w:header="0"/>
        </w:sectPr>
      </w:pPr>
    </w:p>
    <w:bookmarkStart w:id="195" w:name="page196"/>
    <w:bookmarkEnd w:id="195"/>
    <w:p>
      <w:pPr>
        <w:ind w:left="840"/>
        <w:spacing w:after="0" w:line="250" w:lineRule="auto"/>
        <w:rPr>
          <w:sz w:val="20"/>
          <w:szCs w:val="20"/>
          <w:color w:val="auto"/>
        </w:rPr>
      </w:pPr>
      <w:r>
        <w:rPr>
          <w:rFonts w:ascii="Arial" w:cs="Arial" w:eastAsia="Arial" w:hAnsi="Arial"/>
          <w:sz w:val="22"/>
          <w:szCs w:val="22"/>
          <w:color w:val="auto"/>
        </w:rPr>
        <w:t>conditions maintain integrity of chemical components. Bracketing approaches may be used to cover the large number of buffers used, provided the individual protocol justifies the bracket.</w:t>
      </w:r>
    </w:p>
    <w:p>
      <w:pPr>
        <w:spacing w:after="0" w:line="67" w:lineRule="exact"/>
        <w:rPr>
          <w:sz w:val="20"/>
          <w:szCs w:val="20"/>
          <w:color w:val="auto"/>
        </w:rPr>
      </w:pPr>
    </w:p>
    <w:p>
      <w:pPr>
        <w:jc w:val="both"/>
        <w:ind w:left="840" w:hanging="332"/>
        <w:spacing w:after="0" w:line="238" w:lineRule="auto"/>
        <w:tabs>
          <w:tab w:leader="none" w:pos="903" w:val="left"/>
        </w:tabs>
        <w:numPr>
          <w:ilvl w:val="0"/>
          <w:numId w:val="128"/>
        </w:numPr>
        <w:rPr>
          <w:rFonts w:ascii="Arial" w:cs="Arial" w:eastAsia="Arial" w:hAnsi="Arial"/>
          <w:sz w:val="22"/>
          <w:szCs w:val="22"/>
          <w:color w:val="auto"/>
        </w:rPr>
      </w:pPr>
      <w:r>
        <w:rPr>
          <w:rFonts w:ascii="Arial" w:cs="Arial" w:eastAsia="Arial" w:hAnsi="Arial"/>
          <w:sz w:val="22"/>
          <w:szCs w:val="22"/>
          <w:i w:val="1"/>
          <w:iCs w:val="1"/>
          <w:color w:val="auto"/>
        </w:rPr>
        <w:t>Chromatography Column Sanitization and Storage Validation</w:t>
      </w:r>
      <w:r>
        <w:rPr>
          <w:rFonts w:ascii="Arial" w:cs="Arial" w:eastAsia="Arial" w:hAnsi="Arial"/>
          <w:sz w:val="22"/>
          <w:szCs w:val="22"/>
          <w:color w:val="auto"/>
        </w:rPr>
        <w:t>: Any newly required studies will be</w:t>
      </w:r>
      <w:r>
        <w:rPr>
          <w:rFonts w:ascii="Arial" w:cs="Arial" w:eastAsia="Arial" w:hAnsi="Arial"/>
          <w:sz w:val="22"/>
          <w:szCs w:val="22"/>
          <w:i w:val="1"/>
          <w:iCs w:val="1"/>
          <w:color w:val="auto"/>
        </w:rPr>
        <w:t xml:space="preserve"> </w:t>
      </w:r>
      <w:r>
        <w:rPr>
          <w:rFonts w:ascii="Arial" w:cs="Arial" w:eastAsia="Arial" w:hAnsi="Arial"/>
          <w:sz w:val="22"/>
          <w:szCs w:val="22"/>
          <w:color w:val="auto"/>
        </w:rPr>
        <w:t>performed to validate the cleaning and storage procedures for [* * *] chromatography columns used in the manufacture of the prototypes. In addition, the maximum allowable storage period following cleaning will be established for each of the chromatography resins.</w:t>
      </w:r>
    </w:p>
    <w:p>
      <w:pPr>
        <w:spacing w:after="0" w:line="76" w:lineRule="exact"/>
        <w:rPr>
          <w:rFonts w:ascii="Arial" w:cs="Arial" w:eastAsia="Arial" w:hAnsi="Arial"/>
          <w:sz w:val="22"/>
          <w:szCs w:val="22"/>
          <w:color w:val="auto"/>
        </w:rPr>
      </w:pPr>
    </w:p>
    <w:p>
      <w:pPr>
        <w:jc w:val="both"/>
        <w:ind w:left="840" w:hanging="332"/>
        <w:spacing w:after="0" w:line="234" w:lineRule="auto"/>
        <w:tabs>
          <w:tab w:leader="none" w:pos="930" w:val="left"/>
        </w:tabs>
        <w:numPr>
          <w:ilvl w:val="0"/>
          <w:numId w:val="128"/>
        </w:numPr>
        <w:rPr>
          <w:rFonts w:ascii="Arial" w:cs="Arial" w:eastAsia="Arial" w:hAnsi="Arial"/>
          <w:sz w:val="22"/>
          <w:szCs w:val="22"/>
          <w:color w:val="auto"/>
        </w:rPr>
      </w:pPr>
      <w:r>
        <w:rPr>
          <w:rFonts w:ascii="Arial" w:cs="Arial" w:eastAsia="Arial" w:hAnsi="Arial"/>
          <w:sz w:val="22"/>
          <w:szCs w:val="22"/>
          <w:i w:val="1"/>
          <w:iCs w:val="1"/>
          <w:color w:val="auto"/>
        </w:rPr>
        <w:t>Chromatography Column Cleaning Validation</w:t>
      </w:r>
      <w:r>
        <w:rPr>
          <w:rFonts w:ascii="Arial" w:cs="Arial" w:eastAsia="Arial" w:hAnsi="Arial"/>
          <w:sz w:val="22"/>
          <w:szCs w:val="22"/>
          <w:color w:val="auto"/>
        </w:rPr>
        <w:t>: The efficacy of the solutions used to clean the</w:t>
      </w:r>
      <w:r>
        <w:rPr>
          <w:rFonts w:ascii="Arial" w:cs="Arial" w:eastAsia="Arial" w:hAnsi="Arial"/>
          <w:sz w:val="22"/>
          <w:szCs w:val="22"/>
          <w:i w:val="1"/>
          <w:iCs w:val="1"/>
          <w:color w:val="auto"/>
        </w:rPr>
        <w:t xml:space="preserve"> </w:t>
      </w:r>
      <w:r>
        <w:rPr>
          <w:rFonts w:ascii="Arial" w:cs="Arial" w:eastAsia="Arial" w:hAnsi="Arial"/>
          <w:sz w:val="22"/>
          <w:szCs w:val="22"/>
          <w:color w:val="auto"/>
        </w:rPr>
        <w:t>chromatography columns will be examined as necessary over three consecutive executions during commercial scale manufacturing of each of the prototypes. The effectiveness of the cleaning procedures will be assessed by sampling the post cleaning (post-use) Water for Injection (WFI) flush effluent; at approximately [* * *] into the flush for bioburden and endotoxin levels (the purpose of which is to demonstrate microbial control). In addition, Total Organic Carbon (TOC) will be measured to verify the absence of lot to lot protein carry over.</w:t>
      </w:r>
    </w:p>
    <w:p>
      <w:pPr>
        <w:spacing w:after="0" w:line="82" w:lineRule="exact"/>
        <w:rPr>
          <w:rFonts w:ascii="Arial" w:cs="Arial" w:eastAsia="Arial" w:hAnsi="Arial"/>
          <w:sz w:val="22"/>
          <w:szCs w:val="22"/>
          <w:color w:val="auto"/>
        </w:rPr>
      </w:pPr>
    </w:p>
    <w:p>
      <w:pPr>
        <w:jc w:val="both"/>
        <w:ind w:left="840" w:hanging="332"/>
        <w:spacing w:after="0" w:line="234" w:lineRule="auto"/>
        <w:tabs>
          <w:tab w:leader="none" w:pos="944" w:val="left"/>
        </w:tabs>
        <w:numPr>
          <w:ilvl w:val="0"/>
          <w:numId w:val="128"/>
        </w:numPr>
        <w:rPr>
          <w:rFonts w:ascii="Arial" w:cs="Arial" w:eastAsia="Arial" w:hAnsi="Arial"/>
          <w:sz w:val="22"/>
          <w:szCs w:val="22"/>
          <w:color w:val="auto"/>
        </w:rPr>
      </w:pPr>
      <w:r>
        <w:rPr>
          <w:rFonts w:ascii="Arial" w:cs="Arial" w:eastAsia="Arial" w:hAnsi="Arial"/>
          <w:sz w:val="22"/>
          <w:szCs w:val="22"/>
          <w:i w:val="1"/>
          <w:iCs w:val="1"/>
          <w:color w:val="auto"/>
        </w:rPr>
        <w:t>Chromatography Column Storage Validation</w:t>
      </w:r>
      <w:r>
        <w:rPr>
          <w:rFonts w:ascii="Arial" w:cs="Arial" w:eastAsia="Arial" w:hAnsi="Arial"/>
          <w:sz w:val="22"/>
          <w:szCs w:val="22"/>
          <w:color w:val="auto"/>
        </w:rPr>
        <w:t>: The efficacy of the solutions used to store the</w:t>
      </w:r>
      <w:r>
        <w:rPr>
          <w:rFonts w:ascii="Arial" w:cs="Arial" w:eastAsia="Arial" w:hAnsi="Arial"/>
          <w:sz w:val="22"/>
          <w:szCs w:val="22"/>
          <w:i w:val="1"/>
          <w:iCs w:val="1"/>
          <w:color w:val="auto"/>
        </w:rPr>
        <w:t xml:space="preserve"> </w:t>
      </w:r>
      <w:r>
        <w:rPr>
          <w:rFonts w:ascii="Arial" w:cs="Arial" w:eastAsia="Arial" w:hAnsi="Arial"/>
          <w:sz w:val="22"/>
          <w:szCs w:val="22"/>
          <w:color w:val="auto"/>
        </w:rPr>
        <w:t>chromatography columns will be examined, as necessary, over three consecutive executions during commercial scale manufacturing of each of the prototypes. The effectiveness of the cleaning and storage procedures will be assessed by sampling the post storage (pre-use) WFI flush effluent for bioburden, endotoxin levels and TOC. The maximum allowable storage period for each column will be established based on the shortest of the three consecutive executions for which the column remained in the storage solution.</w:t>
      </w:r>
    </w:p>
    <w:p>
      <w:pPr>
        <w:spacing w:after="0" w:line="82" w:lineRule="exact"/>
        <w:rPr>
          <w:rFonts w:ascii="Arial" w:cs="Arial" w:eastAsia="Arial" w:hAnsi="Arial"/>
          <w:sz w:val="22"/>
          <w:szCs w:val="22"/>
          <w:color w:val="auto"/>
        </w:rPr>
      </w:pPr>
    </w:p>
    <w:p>
      <w:pPr>
        <w:jc w:val="both"/>
        <w:ind w:left="840" w:hanging="332"/>
        <w:spacing w:after="0" w:line="272" w:lineRule="auto"/>
        <w:tabs>
          <w:tab w:leader="none" w:pos="890" w:val="left"/>
        </w:tabs>
        <w:numPr>
          <w:ilvl w:val="0"/>
          <w:numId w:val="128"/>
        </w:numPr>
        <w:rPr>
          <w:rFonts w:ascii="Arial" w:cs="Arial" w:eastAsia="Arial" w:hAnsi="Arial"/>
          <w:sz w:val="19"/>
          <w:szCs w:val="19"/>
          <w:color w:val="auto"/>
        </w:rPr>
      </w:pPr>
      <w:r>
        <w:rPr>
          <w:rFonts w:ascii="Arial" w:cs="Arial" w:eastAsia="Arial" w:hAnsi="Arial"/>
          <w:sz w:val="19"/>
          <w:szCs w:val="19"/>
          <w:i w:val="1"/>
          <w:iCs w:val="1"/>
          <w:color w:val="auto"/>
        </w:rPr>
        <w:t>Establishment of In-Process Control (IPC) Program</w:t>
      </w:r>
      <w:r>
        <w:rPr>
          <w:rFonts w:ascii="Arial" w:cs="Arial" w:eastAsia="Arial" w:hAnsi="Arial"/>
          <w:sz w:val="19"/>
          <w:szCs w:val="19"/>
          <w:color w:val="auto"/>
        </w:rPr>
        <w:t>: The IPC program will utilize Statistical Process</w:t>
      </w:r>
      <w:r>
        <w:rPr>
          <w:rFonts w:ascii="Arial" w:cs="Arial" w:eastAsia="Arial" w:hAnsi="Arial"/>
          <w:sz w:val="19"/>
          <w:szCs w:val="19"/>
          <w:i w:val="1"/>
          <w:iCs w:val="1"/>
          <w:color w:val="auto"/>
        </w:rPr>
        <w:t xml:space="preserve"> </w:t>
      </w:r>
      <w:r>
        <w:rPr>
          <w:rFonts w:ascii="Arial" w:cs="Arial" w:eastAsia="Arial" w:hAnsi="Arial"/>
          <w:sz w:val="19"/>
          <w:szCs w:val="19"/>
          <w:color w:val="auto"/>
        </w:rPr>
        <w:t>Control (SPC) to monitor critical and general process parameters, and critical and general quality attributes for each lot manufactured. On completion of quality and control activities, the IPC development report will establish the set of parameters and attributes to be monitored, and justify appropriate action limits for each. Upon approval of the development report, a Process Performance Monitoring (PPM) Plan will be generated containing the list of IPCs, historical data, selection of monitoring tools and response to signal strategy, statistical summary, and visualization of the IPCs. The IPC development report and PPM Plan will be further updated as laboratory and production scale characterization and validation data is gained, once defined production milestones are achieved, and then annually afterward. The annual updates will assess the overall state of process control and include process capability analysis and assessment of evidence of special cause variation for all applicable IPCs. Process data for individual lots will be monitored through [* * *] PPM meetings, where any trend signals are identified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UNCLASSIFIED</w:t>
      </w:r>
    </w:p>
    <w:p>
      <w:pPr>
        <w:spacing w:after="0" w:line="22"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CONFIDENTIAL/PROPRIETARY</w:t>
      </w:r>
    </w:p>
    <w:p>
      <w:pPr>
        <w:sectPr>
          <w:pgSz w:w="11900" w:h="16838" w:orient="portrait"/>
          <w:cols w:equalWidth="0" w:num="1">
            <w:col w:w="10120"/>
          </w:cols>
          <w:pgMar w:left="1440" w:top="1414" w:right="339" w:bottom="1440" w:gutter="0" w:footer="0" w:header="0"/>
        </w:sectPr>
      </w:pPr>
    </w:p>
    <w:bookmarkStart w:id="196" w:name="page197"/>
    <w:bookmarkEnd w:id="196"/>
    <w:p>
      <w:pPr>
        <w:ind w:left="980"/>
        <w:spacing w:after="0" w:line="250" w:lineRule="auto"/>
        <w:rPr>
          <w:sz w:val="20"/>
          <w:szCs w:val="20"/>
          <w:color w:val="auto"/>
        </w:rPr>
      </w:pPr>
      <w:r>
        <w:rPr>
          <w:rFonts w:ascii="Arial" w:cs="Arial" w:eastAsia="Arial" w:hAnsi="Arial"/>
          <w:sz w:val="22"/>
          <w:szCs w:val="22"/>
          <w:color w:val="auto"/>
        </w:rPr>
        <w:t>responded to. These meetings will be attended by subject matter experts from departments including, but not limited to, [* * *]</w:t>
      </w:r>
    </w:p>
    <w:p>
      <w:pPr>
        <w:spacing w:after="0" w:line="61" w:lineRule="exact"/>
        <w:rPr>
          <w:sz w:val="20"/>
          <w:szCs w:val="20"/>
          <w:color w:val="auto"/>
        </w:rPr>
      </w:pPr>
    </w:p>
    <w:p>
      <w:pPr>
        <w:ind w:left="320" w:hanging="320"/>
        <w:spacing w:after="0"/>
        <w:tabs>
          <w:tab w:leader="none" w:pos="320" w:val="left"/>
        </w:tabs>
        <w:numPr>
          <w:ilvl w:val="0"/>
          <w:numId w:val="129"/>
        </w:numPr>
        <w:rPr>
          <w:rFonts w:ascii="Courier New" w:cs="Courier New" w:eastAsia="Courier New" w:hAnsi="Courier New"/>
          <w:sz w:val="22"/>
          <w:szCs w:val="22"/>
          <w:color w:val="auto"/>
        </w:rPr>
      </w:pPr>
      <w:r>
        <w:rPr>
          <w:rFonts w:ascii="Arial" w:cs="Arial" w:eastAsia="Arial" w:hAnsi="Arial"/>
          <w:sz w:val="22"/>
          <w:szCs w:val="22"/>
          <w:b w:val="1"/>
          <w:bCs w:val="1"/>
          <w:color w:val="auto"/>
        </w:rPr>
        <w:t>Master Cell Bank (MCB) Genetic Characterization</w:t>
      </w:r>
      <w:r>
        <w:rPr>
          <w:rFonts w:ascii="Arial" w:cs="Arial" w:eastAsia="Arial" w:hAnsi="Arial"/>
          <w:sz w:val="22"/>
          <w:szCs w:val="22"/>
          <w:color w:val="auto"/>
        </w:rPr>
        <w:t>: [* * *]</w:t>
      </w:r>
    </w:p>
    <w:p>
      <w:pPr>
        <w:spacing w:after="0" w:line="92" w:lineRule="exact"/>
        <w:rPr>
          <w:rFonts w:ascii="Courier New" w:cs="Courier New" w:eastAsia="Courier New" w:hAnsi="Courier New"/>
          <w:sz w:val="22"/>
          <w:szCs w:val="22"/>
          <w:color w:val="auto"/>
        </w:rPr>
      </w:pPr>
    </w:p>
    <w:p>
      <w:pPr>
        <w:ind w:left="320" w:hanging="320"/>
        <w:spacing w:after="0"/>
        <w:tabs>
          <w:tab w:leader="none" w:pos="320" w:val="left"/>
        </w:tabs>
        <w:numPr>
          <w:ilvl w:val="0"/>
          <w:numId w:val="129"/>
        </w:numPr>
        <w:rPr>
          <w:rFonts w:ascii="Courier New" w:cs="Courier New" w:eastAsia="Courier New" w:hAnsi="Courier New"/>
          <w:sz w:val="22"/>
          <w:szCs w:val="22"/>
          <w:color w:val="auto"/>
        </w:rPr>
      </w:pPr>
      <w:r>
        <w:rPr>
          <w:rFonts w:ascii="Arial" w:cs="Arial" w:eastAsia="Arial" w:hAnsi="Arial"/>
          <w:sz w:val="22"/>
          <w:szCs w:val="22"/>
          <w:b w:val="1"/>
          <w:bCs w:val="1"/>
          <w:color w:val="auto"/>
        </w:rPr>
        <w:t>Working Cell Bank (WCB) Genetic Characterization</w:t>
      </w:r>
      <w:r>
        <w:rPr>
          <w:rFonts w:ascii="Arial" w:cs="Arial" w:eastAsia="Arial" w:hAnsi="Arial"/>
          <w:sz w:val="22"/>
          <w:szCs w:val="22"/>
          <w:color w:val="auto"/>
        </w:rPr>
        <w:t>: [* * *]</w:t>
      </w:r>
    </w:p>
    <w:p>
      <w:pPr>
        <w:spacing w:after="0" w:line="92" w:lineRule="exact"/>
        <w:rPr>
          <w:rFonts w:ascii="Courier New" w:cs="Courier New" w:eastAsia="Courier New" w:hAnsi="Courier New"/>
          <w:sz w:val="22"/>
          <w:szCs w:val="22"/>
          <w:color w:val="auto"/>
        </w:rPr>
      </w:pPr>
    </w:p>
    <w:p>
      <w:pPr>
        <w:jc w:val="both"/>
        <w:ind w:left="320" w:hanging="320"/>
        <w:spacing w:after="0" w:line="233" w:lineRule="auto"/>
        <w:tabs>
          <w:tab w:leader="none" w:pos="315" w:val="left"/>
        </w:tabs>
        <w:numPr>
          <w:ilvl w:val="0"/>
          <w:numId w:val="129"/>
        </w:numPr>
        <w:rPr>
          <w:rFonts w:ascii="Courier New" w:cs="Courier New" w:eastAsia="Courier New" w:hAnsi="Courier New"/>
          <w:sz w:val="22"/>
          <w:szCs w:val="22"/>
          <w:color w:val="auto"/>
        </w:rPr>
      </w:pPr>
      <w:r>
        <w:rPr>
          <w:rFonts w:ascii="Arial" w:cs="Arial" w:eastAsia="Arial" w:hAnsi="Arial"/>
          <w:sz w:val="22"/>
          <w:szCs w:val="22"/>
          <w:b w:val="1"/>
          <w:bCs w:val="1"/>
          <w:color w:val="auto"/>
        </w:rPr>
        <w:t>DS/FDS/DP Registration Stability</w:t>
      </w:r>
      <w:r>
        <w:rPr>
          <w:rFonts w:ascii="Arial" w:cs="Arial" w:eastAsia="Arial" w:hAnsi="Arial"/>
          <w:sz w:val="22"/>
          <w:szCs w:val="22"/>
          <w:color w:val="auto"/>
        </w:rPr>
        <w:t>: Stability studies for DS/FDS/DP will be initiated and executed according to</w:t>
      </w:r>
      <w:r>
        <w:rPr>
          <w:rFonts w:ascii="Arial" w:cs="Arial" w:eastAsia="Arial" w:hAnsi="Arial"/>
          <w:sz w:val="22"/>
          <w:szCs w:val="22"/>
          <w:b w:val="1"/>
          <w:bCs w:val="1"/>
          <w:color w:val="auto"/>
        </w:rPr>
        <w:t xml:space="preserve"> </w:t>
      </w:r>
      <w:r>
        <w:rPr>
          <w:rFonts w:ascii="Arial" w:cs="Arial" w:eastAsia="Arial" w:hAnsi="Arial"/>
          <w:sz w:val="22"/>
          <w:szCs w:val="22"/>
          <w:color w:val="auto"/>
        </w:rPr>
        <w:t>stability protocols, International Council for Harmonisation (ICH) guidelines and internal procedures. Quality and control lots will be stored and monitored at the routine long term storage condition per the Specification for [* * *]. Samples will also be stored and monitored at Accelerated [* * *] condition for 6 months, and Stress [* * *] condition for [* * *] for the evaluation and identification of degradation pathways of the molecule. Stability studies performed on the quality and control lots will support the shelf life of each prototype, and confirm that the manufacturing process is suitable for commercial-scale manufacture. All testing will be conducted in a GMP Quality Control (QC) Laboratory. Any Out of Specification (OOS) or Out of Trend (OOT) results will be investigated.</w:t>
      </w:r>
    </w:p>
    <w:p>
      <w:pPr>
        <w:spacing w:after="0" w:line="79" w:lineRule="exact"/>
        <w:rPr>
          <w:rFonts w:ascii="Courier New" w:cs="Courier New" w:eastAsia="Courier New" w:hAnsi="Courier New"/>
          <w:sz w:val="22"/>
          <w:szCs w:val="22"/>
          <w:color w:val="auto"/>
        </w:rPr>
      </w:pPr>
    </w:p>
    <w:p>
      <w:pPr>
        <w:jc w:val="both"/>
        <w:ind w:left="320" w:hanging="320"/>
        <w:spacing w:after="0" w:line="287" w:lineRule="auto"/>
        <w:tabs>
          <w:tab w:leader="none" w:pos="315" w:val="left"/>
        </w:tabs>
        <w:numPr>
          <w:ilvl w:val="0"/>
          <w:numId w:val="129"/>
        </w:numPr>
        <w:rPr>
          <w:rFonts w:ascii="Courier New" w:cs="Courier New" w:eastAsia="Courier New" w:hAnsi="Courier New"/>
          <w:sz w:val="19"/>
          <w:szCs w:val="19"/>
          <w:color w:val="auto"/>
        </w:rPr>
      </w:pPr>
      <w:r>
        <w:rPr>
          <w:rFonts w:ascii="Arial" w:cs="Arial" w:eastAsia="Arial" w:hAnsi="Arial"/>
          <w:sz w:val="19"/>
          <w:szCs w:val="19"/>
          <w:b w:val="1"/>
          <w:bCs w:val="1"/>
          <w:color w:val="auto"/>
        </w:rPr>
        <w:t>DS/FDS/DP Shipping Validation</w:t>
      </w:r>
      <w:r>
        <w:rPr>
          <w:rFonts w:ascii="Arial" w:cs="Arial" w:eastAsia="Arial" w:hAnsi="Arial"/>
          <w:sz w:val="19"/>
          <w:szCs w:val="19"/>
          <w:color w:val="auto"/>
        </w:rPr>
        <w:t>: Shipping Validation by actual transport will be performed on the DS/FDS/DP</w:t>
      </w:r>
      <w:r>
        <w:rPr>
          <w:rFonts w:ascii="Arial" w:cs="Arial" w:eastAsia="Arial" w:hAnsi="Arial"/>
          <w:sz w:val="19"/>
          <w:szCs w:val="19"/>
          <w:b w:val="1"/>
          <w:bCs w:val="1"/>
          <w:color w:val="auto"/>
        </w:rPr>
        <w:t xml:space="preserve"> </w:t>
      </w:r>
      <w:r>
        <w:rPr>
          <w:rFonts w:ascii="Arial" w:cs="Arial" w:eastAsia="Arial" w:hAnsi="Arial"/>
          <w:sz w:val="19"/>
          <w:szCs w:val="19"/>
          <w:color w:val="auto"/>
        </w:rPr>
        <w:t>of each prototype to cover a distance and duration that will exceed routine shipment to the intended fill site. Successful shipping validation of intended shipping lanes is based on the ability of the container to maintain the product at a specified temperature, to preserve product quality, and meet specifications.</w:t>
      </w:r>
    </w:p>
    <w:p>
      <w:pPr>
        <w:spacing w:after="0" w:line="28" w:lineRule="exact"/>
        <w:rPr>
          <w:rFonts w:ascii="Courier New" w:cs="Courier New" w:eastAsia="Courier New" w:hAnsi="Courier New"/>
          <w:sz w:val="19"/>
          <w:szCs w:val="19"/>
          <w:color w:val="auto"/>
        </w:rPr>
      </w:pPr>
    </w:p>
    <w:p>
      <w:pPr>
        <w:jc w:val="both"/>
        <w:ind w:left="320" w:hanging="320"/>
        <w:spacing w:after="0" w:line="287" w:lineRule="auto"/>
        <w:tabs>
          <w:tab w:leader="none" w:pos="315" w:val="left"/>
        </w:tabs>
        <w:numPr>
          <w:ilvl w:val="0"/>
          <w:numId w:val="129"/>
        </w:numPr>
        <w:rPr>
          <w:rFonts w:ascii="Courier New" w:cs="Courier New" w:eastAsia="Courier New" w:hAnsi="Courier New"/>
          <w:sz w:val="19"/>
          <w:szCs w:val="19"/>
          <w:color w:val="auto"/>
        </w:rPr>
      </w:pPr>
      <w:r>
        <w:rPr>
          <w:rFonts w:ascii="Arial" w:cs="Arial" w:eastAsia="Arial" w:hAnsi="Arial"/>
          <w:sz w:val="19"/>
          <w:szCs w:val="19"/>
          <w:b w:val="1"/>
          <w:bCs w:val="1"/>
          <w:color w:val="auto"/>
        </w:rPr>
        <w:t>DS/FDS/DP Photostability Studies</w:t>
      </w:r>
      <w:r>
        <w:rPr>
          <w:rFonts w:ascii="Arial" w:cs="Arial" w:eastAsia="Arial" w:hAnsi="Arial"/>
          <w:sz w:val="19"/>
          <w:szCs w:val="19"/>
          <w:color w:val="auto"/>
        </w:rPr>
        <w:t>: To determine overall photosensitivity of DS/FDS/DP per ICH requirements,</w:t>
      </w:r>
      <w:r>
        <w:rPr>
          <w:rFonts w:ascii="Arial" w:cs="Arial" w:eastAsia="Arial" w:hAnsi="Arial"/>
          <w:sz w:val="19"/>
          <w:szCs w:val="19"/>
          <w:b w:val="1"/>
          <w:bCs w:val="1"/>
          <w:color w:val="auto"/>
        </w:rPr>
        <w:t xml:space="preserve"> </w:t>
      </w:r>
      <w:r>
        <w:rPr>
          <w:rFonts w:ascii="Arial" w:cs="Arial" w:eastAsia="Arial" w:hAnsi="Arial"/>
          <w:sz w:val="19"/>
          <w:szCs w:val="19"/>
          <w:color w:val="auto"/>
        </w:rPr>
        <w:t>a study will be performed at [* * *] under [* * *] and [* * *] light. Samples will be oriented for maximum light exposure using container closures designed for direct exposure, immediate pack/marketing pack, and a foil covered control. Testing will then be performed on [* * *] sample sets for stability indicating attributes.</w:t>
      </w:r>
    </w:p>
    <w:p>
      <w:pPr>
        <w:spacing w:after="0" w:line="28" w:lineRule="exact"/>
        <w:rPr>
          <w:rFonts w:ascii="Courier New" w:cs="Courier New" w:eastAsia="Courier New" w:hAnsi="Courier New"/>
          <w:sz w:val="19"/>
          <w:szCs w:val="19"/>
          <w:color w:val="auto"/>
        </w:rPr>
      </w:pPr>
    </w:p>
    <w:p>
      <w:pPr>
        <w:jc w:val="both"/>
        <w:ind w:left="320" w:hanging="320"/>
        <w:spacing w:after="0" w:line="277" w:lineRule="auto"/>
        <w:tabs>
          <w:tab w:leader="none" w:pos="328" w:val="left"/>
        </w:tabs>
        <w:numPr>
          <w:ilvl w:val="0"/>
          <w:numId w:val="129"/>
        </w:numPr>
        <w:rPr>
          <w:rFonts w:ascii="Courier New" w:cs="Courier New" w:eastAsia="Courier New" w:hAnsi="Courier New"/>
          <w:sz w:val="19"/>
          <w:szCs w:val="19"/>
          <w:color w:val="auto"/>
        </w:rPr>
      </w:pPr>
      <w:r>
        <w:rPr>
          <w:rFonts w:ascii="Arial" w:cs="Arial" w:eastAsia="Arial" w:hAnsi="Arial"/>
          <w:sz w:val="19"/>
          <w:szCs w:val="19"/>
          <w:b w:val="1"/>
          <w:bCs w:val="1"/>
          <w:color w:val="auto"/>
        </w:rPr>
        <w:t>QC Reference Standard Production and Stability</w:t>
      </w:r>
      <w:r>
        <w:rPr>
          <w:rFonts w:ascii="Arial" w:cs="Arial" w:eastAsia="Arial" w:hAnsi="Arial"/>
          <w:sz w:val="19"/>
          <w:szCs w:val="19"/>
          <w:color w:val="auto"/>
        </w:rPr>
        <w:t>: Reference standards for the individual DS/FDS/DP GMP</w:t>
      </w:r>
      <w:r>
        <w:rPr>
          <w:rFonts w:ascii="Arial" w:cs="Arial" w:eastAsia="Arial" w:hAnsi="Arial"/>
          <w:sz w:val="19"/>
          <w:szCs w:val="19"/>
          <w:b w:val="1"/>
          <w:bCs w:val="1"/>
          <w:color w:val="auto"/>
        </w:rPr>
        <w:t xml:space="preserve"> </w:t>
      </w:r>
      <w:r>
        <w:rPr>
          <w:rFonts w:ascii="Arial" w:cs="Arial" w:eastAsia="Arial" w:hAnsi="Arial"/>
          <w:sz w:val="19"/>
          <w:szCs w:val="19"/>
          <w:color w:val="auto"/>
        </w:rPr>
        <w:t>lots will be generated according to internal standard operating procedures. The DS/FDS/DP for each prototype will be filled as a product reference standard. The first manufactured lot (lead lot) will be sub-aliquoted into single use vials, stored and routinely monitored at [* * *] by Offeror’s Quality Control personnel. The reference standard will be qualified prior to use, according to specifications. A Certificate of Qualification (CofQ) will be issued for each individual reference standard at the time of initial qualification and following recertification testing. A stability study to monitor the critical quality attributes of each reference standard will also be conducted.</w:t>
      </w:r>
    </w:p>
    <w:p>
      <w:pPr>
        <w:spacing w:after="0" w:line="37" w:lineRule="exact"/>
        <w:rPr>
          <w:rFonts w:ascii="Courier New" w:cs="Courier New" w:eastAsia="Courier New" w:hAnsi="Courier New"/>
          <w:sz w:val="19"/>
          <w:szCs w:val="19"/>
          <w:color w:val="auto"/>
        </w:rPr>
      </w:pPr>
    </w:p>
    <w:p>
      <w:pPr>
        <w:ind w:left="320" w:hanging="320"/>
        <w:spacing w:after="0" w:line="250" w:lineRule="auto"/>
        <w:tabs>
          <w:tab w:leader="none" w:pos="382" w:val="left"/>
        </w:tabs>
        <w:numPr>
          <w:ilvl w:val="0"/>
          <w:numId w:val="129"/>
        </w:numPr>
        <w:rPr>
          <w:rFonts w:ascii="Courier New" w:cs="Courier New" w:eastAsia="Courier New" w:hAnsi="Courier New"/>
          <w:sz w:val="22"/>
          <w:szCs w:val="22"/>
          <w:color w:val="auto"/>
        </w:rPr>
      </w:pPr>
      <w:r>
        <w:rPr>
          <w:rFonts w:ascii="Arial" w:cs="Arial" w:eastAsia="Arial" w:hAnsi="Arial"/>
          <w:sz w:val="22"/>
          <w:szCs w:val="22"/>
          <w:b w:val="1"/>
          <w:bCs w:val="1"/>
          <w:color w:val="auto"/>
        </w:rPr>
        <w:t>Assay Validation</w:t>
      </w:r>
      <w:r>
        <w:rPr>
          <w:rFonts w:ascii="Arial" w:cs="Arial" w:eastAsia="Arial" w:hAnsi="Arial"/>
          <w:sz w:val="22"/>
          <w:szCs w:val="22"/>
          <w:color w:val="auto"/>
        </w:rPr>
        <w:t>: Will be performed as necessary to support any applicable EUA or other regulatory</w:t>
      </w:r>
      <w:r>
        <w:rPr>
          <w:rFonts w:ascii="Arial" w:cs="Arial" w:eastAsia="Arial" w:hAnsi="Arial"/>
          <w:sz w:val="22"/>
          <w:szCs w:val="22"/>
          <w:b w:val="1"/>
          <w:bCs w:val="1"/>
          <w:color w:val="auto"/>
        </w:rPr>
        <w:t xml:space="preserve"> </w:t>
      </w:r>
      <w:r>
        <w:rPr>
          <w:rFonts w:ascii="Arial" w:cs="Arial" w:eastAsia="Arial" w:hAnsi="Arial"/>
          <w:sz w:val="22"/>
          <w:szCs w:val="22"/>
          <w:color w:val="auto"/>
        </w:rPr>
        <w:t>requirements.</w:t>
      </w:r>
    </w:p>
    <w:p>
      <w:pPr>
        <w:spacing w:after="0" w:line="60" w:lineRule="exact"/>
        <w:rPr>
          <w:rFonts w:ascii="Courier New" w:cs="Courier New" w:eastAsia="Courier New" w:hAnsi="Courier New"/>
          <w:sz w:val="22"/>
          <w:szCs w:val="22"/>
          <w:color w:val="auto"/>
        </w:rPr>
      </w:pPr>
    </w:p>
    <w:p>
      <w:pPr>
        <w:ind w:left="320" w:hanging="320"/>
        <w:spacing w:after="0" w:line="250" w:lineRule="auto"/>
        <w:tabs>
          <w:tab w:leader="none" w:pos="315" w:val="left"/>
        </w:tabs>
        <w:numPr>
          <w:ilvl w:val="0"/>
          <w:numId w:val="129"/>
        </w:numPr>
        <w:rPr>
          <w:rFonts w:ascii="Courier New" w:cs="Courier New" w:eastAsia="Courier New" w:hAnsi="Courier New"/>
          <w:sz w:val="22"/>
          <w:szCs w:val="22"/>
          <w:color w:val="auto"/>
        </w:rPr>
      </w:pPr>
      <w:r>
        <w:rPr>
          <w:rFonts w:ascii="Arial" w:cs="Arial" w:eastAsia="Arial" w:hAnsi="Arial"/>
          <w:sz w:val="22"/>
          <w:szCs w:val="22"/>
          <w:b w:val="1"/>
          <w:bCs w:val="1"/>
          <w:color w:val="auto"/>
        </w:rPr>
        <w:t>Manufacturing</w:t>
      </w:r>
      <w:r>
        <w:rPr>
          <w:rFonts w:ascii="Arial" w:cs="Arial" w:eastAsia="Arial" w:hAnsi="Arial"/>
          <w:sz w:val="22"/>
          <w:szCs w:val="22"/>
          <w:color w:val="auto"/>
        </w:rPr>
        <w:t>: Following the completion of the activities described above, Offeror will manufacture prototypes</w:t>
      </w:r>
      <w:r>
        <w:rPr>
          <w:rFonts w:ascii="Arial" w:cs="Arial" w:eastAsia="Arial" w:hAnsi="Arial"/>
          <w:sz w:val="22"/>
          <w:szCs w:val="22"/>
          <w:b w:val="1"/>
          <w:bCs w:val="1"/>
          <w:color w:val="auto"/>
        </w:rPr>
        <w:t xml:space="preserve"> </w:t>
      </w:r>
      <w:r>
        <w:rPr>
          <w:rFonts w:ascii="Arial" w:cs="Arial" w:eastAsia="Arial" w:hAnsi="Arial"/>
          <w:sz w:val="22"/>
          <w:szCs w:val="22"/>
          <w:color w:val="auto"/>
        </w:rPr>
        <w:t>at scale in order to achieve the intended scope of the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980"/>
        <w:spacing w:after="0"/>
        <w:rPr>
          <w:sz w:val="20"/>
          <w:szCs w:val="20"/>
          <w:color w:val="auto"/>
        </w:rPr>
      </w:pPr>
      <w:r>
        <w:rPr>
          <w:rFonts w:ascii="Arial" w:cs="Arial" w:eastAsia="Arial" w:hAnsi="Arial"/>
          <w:sz w:val="22"/>
          <w:szCs w:val="22"/>
          <w:b w:val="1"/>
          <w:bCs w:val="1"/>
          <w:color w:val="auto"/>
        </w:rPr>
        <w:t>UNCLASSIFIED</w:t>
      </w:r>
    </w:p>
    <w:p>
      <w:pPr>
        <w:spacing w:after="0" w:line="22"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CONFIDENTIAL/PROPRIETARY</w:t>
      </w:r>
    </w:p>
    <w:p>
      <w:pPr>
        <w:sectPr>
          <w:pgSz w:w="11900" w:h="16838" w:orient="portrait"/>
          <w:cols w:equalWidth="0" w:num="1">
            <w:col w:w="10260"/>
          </w:cols>
          <w:pgMar w:left="1300" w:top="1414" w:right="339" w:bottom="1440" w:gutter="0" w:footer="0" w:header="0"/>
        </w:sectPr>
      </w:pPr>
    </w:p>
    <w:bookmarkStart w:id="197" w:name="page198"/>
    <w:bookmarkEnd w:id="197"/>
    <w:p>
      <w:pPr>
        <w:jc w:val="both"/>
        <w:ind w:left="1300" w:hanging="320"/>
        <w:spacing w:after="0"/>
        <w:tabs>
          <w:tab w:leader="none" w:pos="1308" w:val="left"/>
        </w:tabs>
        <w:numPr>
          <w:ilvl w:val="0"/>
          <w:numId w:val="130"/>
        </w:numPr>
        <w:rPr>
          <w:rFonts w:ascii="Courier New" w:cs="Courier New" w:eastAsia="Courier New" w:hAnsi="Courier New"/>
          <w:sz w:val="22"/>
          <w:szCs w:val="22"/>
          <w:color w:val="auto"/>
        </w:rPr>
      </w:pPr>
      <w:r>
        <w:rPr>
          <w:rFonts w:ascii="Arial" w:cs="Arial" w:eastAsia="Arial" w:hAnsi="Arial"/>
          <w:sz w:val="22"/>
          <w:szCs w:val="22"/>
          <w:b w:val="1"/>
          <w:bCs w:val="1"/>
          <w:color w:val="auto"/>
        </w:rPr>
        <w:t>Label/Pack</w:t>
      </w:r>
      <w:r>
        <w:rPr>
          <w:rFonts w:ascii="Arial" w:cs="Arial" w:eastAsia="Arial" w:hAnsi="Arial"/>
          <w:sz w:val="22"/>
          <w:szCs w:val="22"/>
          <w:color w:val="auto"/>
        </w:rPr>
        <w:t>: Labeling and packaging of investigational product for clinical studies or for use under an EUA or</w:t>
      </w:r>
      <w:r>
        <w:rPr>
          <w:rFonts w:ascii="Arial" w:cs="Arial" w:eastAsia="Arial" w:hAnsi="Arial"/>
          <w:sz w:val="22"/>
          <w:szCs w:val="22"/>
          <w:b w:val="1"/>
          <w:bCs w:val="1"/>
          <w:color w:val="auto"/>
        </w:rPr>
        <w:t xml:space="preserve"> </w:t>
      </w:r>
      <w:r>
        <w:rPr>
          <w:rFonts w:ascii="Arial" w:cs="Arial" w:eastAsia="Arial" w:hAnsi="Arial"/>
          <w:sz w:val="22"/>
          <w:szCs w:val="22"/>
          <w:color w:val="auto"/>
        </w:rPr>
        <w:t>approval, will be completed at a GMP contract manufacturing organization managed by Offeror's External Manufacturing group.</w:t>
      </w:r>
    </w:p>
    <w:p>
      <w:pPr>
        <w:spacing w:after="0" w:line="72" w:lineRule="exact"/>
        <w:rPr>
          <w:rFonts w:ascii="Courier New" w:cs="Courier New" w:eastAsia="Courier New" w:hAnsi="Courier New"/>
          <w:sz w:val="22"/>
          <w:szCs w:val="22"/>
          <w:color w:val="auto"/>
        </w:rPr>
      </w:pPr>
    </w:p>
    <w:p>
      <w:pPr>
        <w:ind w:left="1300" w:hanging="320"/>
        <w:spacing w:after="0"/>
        <w:tabs>
          <w:tab w:leader="none" w:pos="1300" w:val="left"/>
        </w:tabs>
        <w:numPr>
          <w:ilvl w:val="0"/>
          <w:numId w:val="130"/>
        </w:numPr>
        <w:rPr>
          <w:rFonts w:ascii="Courier New" w:cs="Courier New" w:eastAsia="Courier New" w:hAnsi="Courier New"/>
          <w:sz w:val="19"/>
          <w:szCs w:val="19"/>
          <w:color w:val="auto"/>
        </w:rPr>
      </w:pPr>
      <w:r>
        <w:rPr>
          <w:rFonts w:ascii="Arial" w:cs="Arial" w:eastAsia="Arial" w:hAnsi="Arial"/>
          <w:sz w:val="19"/>
          <w:szCs w:val="19"/>
          <w:b w:val="1"/>
          <w:bCs w:val="1"/>
          <w:color w:val="auto"/>
        </w:rPr>
        <w:t>Storage</w:t>
      </w:r>
      <w:r>
        <w:rPr>
          <w:rFonts w:ascii="Arial" w:cs="Arial" w:eastAsia="Arial" w:hAnsi="Arial"/>
          <w:sz w:val="19"/>
          <w:szCs w:val="19"/>
          <w:color w:val="auto"/>
        </w:rPr>
        <w:t>: Packaged and labeled material storage will be managed by Offeror's External Manufacturing group.</w:t>
      </w:r>
    </w:p>
    <w:p>
      <w:pPr>
        <w:spacing w:after="0" w:line="37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3.2</w:t>
      </w:r>
      <w:r>
        <w:rPr>
          <w:sz w:val="20"/>
          <w:szCs w:val="20"/>
          <w:color w:val="auto"/>
        </w:rPr>
        <w:tab/>
      </w:r>
      <w:r>
        <w:rPr>
          <w:rFonts w:ascii="Arial" w:cs="Arial" w:eastAsia="Arial" w:hAnsi="Arial"/>
          <w:sz w:val="18"/>
          <w:szCs w:val="18"/>
          <w:b w:val="1"/>
          <w:bCs w:val="1"/>
          <w:color w:val="auto"/>
        </w:rPr>
        <w:t>Management and Reporting</w:t>
      </w:r>
    </w:p>
    <w:p>
      <w:pPr>
        <w:spacing w:after="0" w:line="243"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b w:val="1"/>
          <w:bCs w:val="1"/>
          <w:color w:val="auto"/>
        </w:rPr>
        <w:t>3.2.1</w:t>
      </w:r>
      <w:r>
        <w:rPr>
          <w:sz w:val="20"/>
          <w:szCs w:val="20"/>
          <w:color w:val="auto"/>
        </w:rPr>
        <w:tab/>
      </w:r>
      <w:r>
        <w:rPr>
          <w:rFonts w:ascii="Arial" w:cs="Arial" w:eastAsia="Arial" w:hAnsi="Arial"/>
          <w:sz w:val="18"/>
          <w:szCs w:val="18"/>
          <w:b w:val="1"/>
          <w:bCs w:val="1"/>
          <w:color w:val="auto"/>
        </w:rPr>
        <w:t>Program Management</w:t>
      </w:r>
    </w:p>
    <w:p>
      <w:pPr>
        <w:spacing w:after="0" w:line="257"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Below are the individuals currently assigned to key roles on the project team. Regeneron reserves the right to make personnel changes which will be communicated accordingly.</w:t>
      </w:r>
    </w:p>
    <w:p>
      <w:pPr>
        <w:spacing w:after="0" w:line="202" w:lineRule="exact"/>
        <w:rPr>
          <w:sz w:val="20"/>
          <w:szCs w:val="20"/>
          <w:color w:val="auto"/>
        </w:rPr>
      </w:pPr>
    </w:p>
    <w:p>
      <w:pPr>
        <w:jc w:val="both"/>
        <w:ind w:left="660" w:hanging="328"/>
        <w:spacing w:after="0" w:line="253" w:lineRule="auto"/>
        <w:tabs>
          <w:tab w:leader="none" w:pos="648" w:val="left"/>
        </w:tabs>
        <w:numPr>
          <w:ilvl w:val="0"/>
          <w:numId w:val="131"/>
        </w:numPr>
        <w:rPr>
          <w:rFonts w:ascii="Arial" w:cs="Arial" w:eastAsia="Arial" w:hAnsi="Arial"/>
          <w:sz w:val="22"/>
          <w:szCs w:val="22"/>
          <w:color w:val="auto"/>
        </w:rPr>
      </w:pPr>
      <w:r>
        <w:rPr>
          <w:rFonts w:ascii="Arial" w:cs="Arial" w:eastAsia="Arial" w:hAnsi="Arial"/>
          <w:sz w:val="22"/>
          <w:szCs w:val="22"/>
          <w:color w:val="auto"/>
        </w:rPr>
        <w:t>Regeneron will manage, integrate and coordinate all activities, including utilizing Regeneron's state-of-the-art technical and administrative infrastructure to ensure efficient planning, initiation, implementation and direction of contracted activities.</w:t>
      </w:r>
    </w:p>
    <w:p>
      <w:pPr>
        <w:spacing w:after="0" w:line="77" w:lineRule="exact"/>
        <w:rPr>
          <w:rFonts w:ascii="Arial" w:cs="Arial" w:eastAsia="Arial" w:hAnsi="Arial"/>
          <w:sz w:val="22"/>
          <w:szCs w:val="22"/>
          <w:color w:val="auto"/>
        </w:rPr>
      </w:pPr>
    </w:p>
    <w:p>
      <w:pPr>
        <w:ind w:left="660" w:hanging="328"/>
        <w:spacing w:after="0"/>
        <w:tabs>
          <w:tab w:leader="none" w:pos="66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The [* * *], is responsible for guiding the project approach and scope of this Program.</w:t>
      </w:r>
    </w:p>
    <w:p>
      <w:pPr>
        <w:spacing w:after="0" w:line="111" w:lineRule="exact"/>
        <w:rPr>
          <w:rFonts w:ascii="Arial" w:cs="Arial" w:eastAsia="Arial" w:hAnsi="Arial"/>
          <w:sz w:val="22"/>
          <w:szCs w:val="22"/>
          <w:color w:val="auto"/>
        </w:rPr>
      </w:pPr>
    </w:p>
    <w:p>
      <w:pPr>
        <w:jc w:val="both"/>
        <w:ind w:left="660" w:hanging="328"/>
        <w:spacing w:after="0" w:line="253" w:lineRule="auto"/>
        <w:tabs>
          <w:tab w:leader="none" w:pos="648" w:val="left"/>
        </w:tabs>
        <w:numPr>
          <w:ilvl w:val="0"/>
          <w:numId w:val="131"/>
        </w:numPr>
        <w:rPr>
          <w:rFonts w:ascii="Arial" w:cs="Arial" w:eastAsia="Arial" w:hAnsi="Arial"/>
          <w:sz w:val="22"/>
          <w:szCs w:val="22"/>
          <w:color w:val="auto"/>
        </w:rPr>
      </w:pPr>
      <w:r>
        <w:rPr>
          <w:rFonts w:ascii="Arial" w:cs="Arial" w:eastAsia="Arial" w:hAnsi="Arial"/>
          <w:sz w:val="22"/>
          <w:szCs w:val="22"/>
          <w:color w:val="auto"/>
        </w:rPr>
        <w:t>[* * *], will serve as Lead PI for this Program. The PI will be responsible for project management, communication, tracking, monitoring and reporting on status and progress, and modification to the project requirements and timelines, including any projects undertaken by subcontractors.</w:t>
      </w:r>
    </w:p>
    <w:p>
      <w:pPr>
        <w:spacing w:after="0" w:line="77" w:lineRule="exact"/>
        <w:rPr>
          <w:rFonts w:ascii="Arial" w:cs="Arial" w:eastAsia="Arial" w:hAnsi="Arial"/>
          <w:sz w:val="22"/>
          <w:szCs w:val="22"/>
          <w:color w:val="auto"/>
        </w:rPr>
      </w:pPr>
    </w:p>
    <w:p>
      <w:pPr>
        <w:jc w:val="both"/>
        <w:ind w:left="660" w:hanging="328"/>
        <w:spacing w:after="0" w:line="253" w:lineRule="auto"/>
        <w:tabs>
          <w:tab w:leader="none" w:pos="66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A [* * *], will be responsible for monitoring and tracking day-to-day progress and timelines, coordinating communication and project activities, costs incurred, and program management for this Program. The contract deliverables list identifies all contract deliverables and reporting requirements for this contract.</w:t>
      </w:r>
    </w:p>
    <w:p>
      <w:pPr>
        <w:spacing w:after="0" w:line="77" w:lineRule="exact"/>
        <w:rPr>
          <w:rFonts w:ascii="Arial" w:cs="Arial" w:eastAsia="Arial" w:hAnsi="Arial"/>
          <w:sz w:val="22"/>
          <w:szCs w:val="22"/>
          <w:color w:val="auto"/>
        </w:rPr>
      </w:pPr>
    </w:p>
    <w:p>
      <w:pPr>
        <w:ind w:left="640" w:hanging="308"/>
        <w:spacing w:after="0"/>
        <w:tabs>
          <w:tab w:leader="none" w:pos="64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 * *], will provide development of compliant subcontracts, consulting, and other legal agreements.</w:t>
      </w:r>
    </w:p>
    <w:p>
      <w:pPr>
        <w:spacing w:after="0" w:line="111" w:lineRule="exact"/>
        <w:rPr>
          <w:rFonts w:ascii="Arial" w:cs="Arial" w:eastAsia="Arial" w:hAnsi="Arial"/>
          <w:sz w:val="22"/>
          <w:szCs w:val="22"/>
          <w:color w:val="auto"/>
        </w:rPr>
      </w:pPr>
    </w:p>
    <w:p>
      <w:pPr>
        <w:ind w:left="640" w:hanging="308"/>
        <w:spacing w:after="0"/>
        <w:tabs>
          <w:tab w:leader="none" w:pos="640" w:val="left"/>
        </w:tabs>
        <w:numPr>
          <w:ilvl w:val="0"/>
          <w:numId w:val="131"/>
        </w:numPr>
        <w:rPr>
          <w:rFonts w:ascii="Arial" w:cs="Arial" w:eastAsia="Arial" w:hAnsi="Arial"/>
          <w:sz w:val="21"/>
          <w:szCs w:val="21"/>
          <w:color w:val="auto"/>
        </w:rPr>
      </w:pPr>
      <w:r>
        <w:rPr>
          <w:rFonts w:ascii="Arial" w:cs="Arial" w:eastAsia="Arial" w:hAnsi="Arial"/>
          <w:sz w:val="21"/>
          <w:szCs w:val="21"/>
          <w:color w:val="auto"/>
        </w:rPr>
        <w:t xml:space="preserve">[* * *], </w:t>
      </w:r>
      <w:r>
        <w:rPr>
          <w:rFonts w:ascii="Arial" w:cs="Arial" w:eastAsia="Arial" w:hAnsi="Arial"/>
          <w:sz w:val="18"/>
          <w:szCs w:val="18"/>
          <w:color w:val="auto"/>
        </w:rPr>
        <w:t>will be responsible for financial management and reporting on all activities conducted by Regeneron and any subcontractors.</w:t>
      </w:r>
    </w:p>
    <w:p>
      <w:pPr>
        <w:spacing w:after="0" w:line="123" w:lineRule="exact"/>
        <w:rPr>
          <w:rFonts w:ascii="Arial" w:cs="Arial" w:eastAsia="Arial" w:hAnsi="Arial"/>
          <w:sz w:val="21"/>
          <w:szCs w:val="21"/>
          <w:color w:val="auto"/>
        </w:rPr>
      </w:pPr>
    </w:p>
    <w:p>
      <w:pPr>
        <w:ind w:left="660" w:hanging="328"/>
        <w:spacing w:after="0" w:line="236" w:lineRule="auto"/>
        <w:tabs>
          <w:tab w:leader="none" w:pos="66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 xml:space="preserve">A [* * *], </w:t>
      </w:r>
      <w:r>
        <w:rPr>
          <w:rFonts w:ascii="Arial" w:cs="Arial" w:eastAsia="Arial" w:hAnsi="Arial"/>
          <w:sz w:val="19"/>
          <w:szCs w:val="19"/>
          <w:color w:val="auto"/>
        </w:rPr>
        <w:t>will be responsible for facilitating the development of integrated CMC plans and for monitoring and tracking the progress</w:t>
      </w:r>
      <w:r>
        <w:rPr>
          <w:rFonts w:ascii="Arial" w:cs="Arial" w:eastAsia="Arial" w:hAnsi="Arial"/>
          <w:sz w:val="22"/>
          <w:szCs w:val="22"/>
          <w:color w:val="auto"/>
        </w:rPr>
        <w:t xml:space="preserve"> </w:t>
      </w:r>
      <w:r>
        <w:rPr>
          <w:rFonts w:ascii="Arial" w:cs="Arial" w:eastAsia="Arial" w:hAnsi="Arial"/>
          <w:sz w:val="19"/>
          <w:szCs w:val="19"/>
          <w:color w:val="auto"/>
        </w:rPr>
        <w:t>of the CMC milestones.</w:t>
      </w:r>
    </w:p>
    <w:p>
      <w:pPr>
        <w:spacing w:after="0" w:line="96" w:lineRule="exact"/>
        <w:rPr>
          <w:rFonts w:ascii="Arial" w:cs="Arial" w:eastAsia="Arial" w:hAnsi="Arial"/>
          <w:sz w:val="22"/>
          <w:szCs w:val="22"/>
          <w:color w:val="auto"/>
        </w:rPr>
      </w:pPr>
    </w:p>
    <w:p>
      <w:pPr>
        <w:ind w:left="660" w:hanging="328"/>
        <w:spacing w:after="0" w:line="236" w:lineRule="auto"/>
        <w:tabs>
          <w:tab w:leader="none" w:pos="66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 xml:space="preserve">A [* * *], </w:t>
      </w:r>
      <w:r>
        <w:rPr>
          <w:rFonts w:ascii="Arial" w:cs="Arial" w:eastAsia="Arial" w:hAnsi="Arial"/>
          <w:sz w:val="19"/>
          <w:szCs w:val="19"/>
          <w:color w:val="auto"/>
        </w:rPr>
        <w:t>will be responsible for management of batch disposition, oversight of discrepancy investigations, and to ensure all</w:t>
      </w:r>
      <w:r>
        <w:rPr>
          <w:rFonts w:ascii="Arial" w:cs="Arial" w:eastAsia="Arial" w:hAnsi="Arial"/>
          <w:sz w:val="22"/>
          <w:szCs w:val="22"/>
          <w:color w:val="auto"/>
        </w:rPr>
        <w:t xml:space="preserve"> </w:t>
      </w:r>
      <w:r>
        <w:rPr>
          <w:rFonts w:ascii="Arial" w:cs="Arial" w:eastAsia="Arial" w:hAnsi="Arial"/>
          <w:sz w:val="19"/>
          <w:szCs w:val="19"/>
          <w:color w:val="auto"/>
        </w:rPr>
        <w:t>released product conforms to GMP standards.</w:t>
      </w:r>
    </w:p>
    <w:p>
      <w:pPr>
        <w:spacing w:after="0" w:line="111" w:lineRule="exact"/>
        <w:rPr>
          <w:rFonts w:ascii="Arial" w:cs="Arial" w:eastAsia="Arial" w:hAnsi="Arial"/>
          <w:sz w:val="22"/>
          <w:szCs w:val="22"/>
          <w:color w:val="auto"/>
        </w:rPr>
      </w:pPr>
    </w:p>
    <w:p>
      <w:pPr>
        <w:ind w:left="640" w:hanging="308"/>
        <w:spacing w:after="0"/>
        <w:tabs>
          <w:tab w:leader="none" w:pos="640" w:val="left"/>
        </w:tabs>
        <w:numPr>
          <w:ilvl w:val="0"/>
          <w:numId w:val="131"/>
        </w:numPr>
        <w:rPr>
          <w:rFonts w:ascii="Arial" w:cs="Arial" w:eastAsia="Arial" w:hAnsi="Arial"/>
          <w:sz w:val="22"/>
          <w:szCs w:val="22"/>
          <w:color w:val="auto"/>
        </w:rPr>
      </w:pPr>
      <w:r>
        <w:rPr>
          <w:rFonts w:ascii="Arial" w:cs="Arial" w:eastAsia="Arial" w:hAnsi="Arial"/>
          <w:sz w:val="20"/>
          <w:szCs w:val="20"/>
          <w:color w:val="auto"/>
        </w:rPr>
        <w:t>A [* * *], will be responsible for analytical method development, method transfer and specification development.</w:t>
      </w:r>
    </w:p>
    <w:p>
      <w:pPr>
        <w:spacing w:after="0" w:line="87" w:lineRule="exact"/>
        <w:rPr>
          <w:rFonts w:ascii="Arial" w:cs="Arial" w:eastAsia="Arial" w:hAnsi="Arial"/>
          <w:sz w:val="22"/>
          <w:szCs w:val="22"/>
          <w:color w:val="auto"/>
        </w:rPr>
      </w:pPr>
    </w:p>
    <w:p>
      <w:pPr>
        <w:jc w:val="both"/>
        <w:ind w:left="660" w:hanging="328"/>
        <w:spacing w:after="0" w:line="269" w:lineRule="auto"/>
        <w:tabs>
          <w:tab w:leader="none" w:pos="656" w:val="left"/>
        </w:tabs>
        <w:numPr>
          <w:ilvl w:val="0"/>
          <w:numId w:val="131"/>
        </w:numPr>
        <w:rPr>
          <w:rFonts w:ascii="Arial" w:cs="Arial" w:eastAsia="Arial" w:hAnsi="Arial"/>
          <w:sz w:val="19"/>
          <w:szCs w:val="19"/>
          <w:color w:val="auto"/>
        </w:rPr>
      </w:pPr>
      <w:r>
        <w:rPr>
          <w:rFonts w:ascii="Arial" w:cs="Arial" w:eastAsia="Arial" w:hAnsi="Arial"/>
          <w:sz w:val="19"/>
          <w:szCs w:val="19"/>
          <w:color w:val="auto"/>
        </w:rPr>
        <w:t>A [* * *], will be responsible for ensuring Regeneron quality, preclinical, and clinical drug development programs are conducted in compliance with regulations governing pharmaceutical drug development, and with project specific regulatory commitments/requirements ,and will serve as the liaison for communications with the US Food and Drug Administration.</w:t>
      </w:r>
    </w:p>
    <w:p>
      <w:pPr>
        <w:spacing w:after="0" w:line="61" w:lineRule="exact"/>
        <w:rPr>
          <w:rFonts w:ascii="Arial" w:cs="Arial" w:eastAsia="Arial" w:hAnsi="Arial"/>
          <w:sz w:val="19"/>
          <w:szCs w:val="19"/>
          <w:color w:val="auto"/>
        </w:rPr>
      </w:pPr>
    </w:p>
    <w:p>
      <w:pPr>
        <w:ind w:left="660" w:hanging="328"/>
        <w:spacing w:after="0" w:line="260" w:lineRule="auto"/>
        <w:tabs>
          <w:tab w:leader="none" w:pos="66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Regeneron shall provide Quarterly Progress Reports, which shall include a description of the activities during the reporting period and the activities planned for the ensuing reporting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UNCLASSIFIED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CONFIDENTIAL/PROPRIETARY</w:t>
      </w:r>
    </w:p>
    <w:p>
      <w:pPr>
        <w:sectPr>
          <w:pgSz w:w="11900" w:h="16838" w:orient="portrait"/>
          <w:cols w:equalWidth="0" w:num="1">
            <w:col w:w="11240"/>
          </w:cols>
          <w:pgMar w:left="320" w:top="1408" w:right="339" w:bottom="1440" w:gutter="0" w:footer="0" w:header="0"/>
        </w:sectPr>
      </w:pPr>
    </w:p>
    <w:bookmarkStart w:id="198" w:name="page199"/>
    <w:bookmarkEnd w:id="198"/>
    <w:p>
      <w:pPr>
        <w:ind w:left="660" w:hanging="328"/>
        <w:spacing w:after="0" w:line="260" w:lineRule="auto"/>
        <w:tabs>
          <w:tab w:leader="none" w:pos="656" w:val="left"/>
        </w:tabs>
        <w:numPr>
          <w:ilvl w:val="0"/>
          <w:numId w:val="132"/>
        </w:numPr>
        <w:rPr>
          <w:rFonts w:ascii="Arial" w:cs="Arial" w:eastAsia="Arial" w:hAnsi="Arial"/>
          <w:sz w:val="20"/>
          <w:szCs w:val="20"/>
          <w:color w:val="auto"/>
        </w:rPr>
      </w:pPr>
      <w:r>
        <w:rPr>
          <w:rFonts w:ascii="Arial" w:cs="Arial" w:eastAsia="Arial" w:hAnsi="Arial"/>
          <w:sz w:val="20"/>
          <w:szCs w:val="20"/>
          <w:color w:val="auto"/>
        </w:rPr>
        <w:t>Regeneron shall provide Annual Progress Reports, which shall include a summation of the activities during the reporting period, and the activities planned for the ensuing reporting period.</w:t>
      </w:r>
    </w:p>
    <w:p>
      <w:pPr>
        <w:spacing w:after="0" w:line="68" w:lineRule="exact"/>
        <w:rPr>
          <w:rFonts w:ascii="Arial" w:cs="Arial" w:eastAsia="Arial" w:hAnsi="Arial"/>
          <w:sz w:val="20"/>
          <w:szCs w:val="20"/>
          <w:color w:val="auto"/>
        </w:rPr>
      </w:pPr>
    </w:p>
    <w:p>
      <w:pPr>
        <w:jc w:val="both"/>
        <w:ind w:left="660" w:hanging="328"/>
        <w:spacing w:after="0" w:line="250" w:lineRule="auto"/>
        <w:tabs>
          <w:tab w:leader="none" w:pos="647" w:val="left"/>
        </w:tabs>
        <w:numPr>
          <w:ilvl w:val="0"/>
          <w:numId w:val="132"/>
        </w:numPr>
        <w:rPr>
          <w:rFonts w:ascii="Arial" w:cs="Arial" w:eastAsia="Arial" w:hAnsi="Arial"/>
          <w:sz w:val="20"/>
          <w:szCs w:val="20"/>
          <w:color w:val="auto"/>
        </w:rPr>
      </w:pPr>
      <w:r>
        <w:rPr>
          <w:rFonts w:ascii="Arial" w:cs="Arial" w:eastAsia="Arial" w:hAnsi="Arial"/>
          <w:sz w:val="20"/>
          <w:szCs w:val="20"/>
          <w:color w:val="auto"/>
        </w:rPr>
        <w:t>Regeneron shall provide Draft and Final Reports, which shall include a summation of the work performed and results obtained for execution of various studies or technical work packages during the entire contract period of performance. This report shall describe the results achieved.</w:t>
      </w:r>
    </w:p>
    <w:p>
      <w:pPr>
        <w:spacing w:after="0" w:line="77" w:lineRule="exact"/>
        <w:rPr>
          <w:rFonts w:ascii="Arial" w:cs="Arial" w:eastAsia="Arial" w:hAnsi="Arial"/>
          <w:sz w:val="20"/>
          <w:szCs w:val="20"/>
          <w:color w:val="auto"/>
        </w:rPr>
      </w:pPr>
    </w:p>
    <w:p>
      <w:pPr>
        <w:jc w:val="both"/>
        <w:ind w:left="660" w:hanging="328"/>
        <w:spacing w:after="0" w:line="255" w:lineRule="auto"/>
        <w:tabs>
          <w:tab w:leader="none" w:pos="660" w:val="left"/>
        </w:tabs>
        <w:numPr>
          <w:ilvl w:val="0"/>
          <w:numId w:val="132"/>
        </w:numPr>
        <w:rPr>
          <w:rFonts w:ascii="Arial" w:cs="Arial" w:eastAsia="Arial" w:hAnsi="Arial"/>
          <w:sz w:val="19"/>
          <w:szCs w:val="19"/>
          <w:color w:val="auto"/>
        </w:rPr>
      </w:pPr>
      <w:r>
        <w:rPr>
          <w:rFonts w:ascii="Arial" w:cs="Arial" w:eastAsia="Arial" w:hAnsi="Arial"/>
          <w:sz w:val="19"/>
          <w:szCs w:val="19"/>
          <w:color w:val="auto"/>
        </w:rPr>
        <w:t>Regeneron shall participate in regular meetings to coordinate and oversee the contract effort, as directed by a single point of contact established by the Government. Such meetings may include, but are not limited to, meetings of Regeneron and subcontractors to discuss clinical manufacturing progress, product development, scale-up manufacturing development, preclinical/clinical study designs and regulatory issues, meetings with individual contractors and other Health and Human Services (HHS) officials to discuss the technical, regulatory, and ethical aspects of the program, and meetings with technical consultants to discuss technical data provided by Regeneron. Regeneron shall also consult with the Government as required in connection with meetings and submissions to regulatory agencies, including the FDA. The Government will establish a single point of contact for regular meetings and coordinate all requests for information through such point of contact, such that Regeneron shall not be required to attend multiple meetings with different Government agencies for the same (or similar) subject matter, or respond to multiple requests for information or materials concerning the same (or similar) subject matter.</w:t>
      </w:r>
    </w:p>
    <w:p>
      <w:pPr>
        <w:spacing w:after="0" w:line="81" w:lineRule="exact"/>
        <w:rPr>
          <w:rFonts w:ascii="Arial" w:cs="Arial" w:eastAsia="Arial" w:hAnsi="Arial"/>
          <w:sz w:val="19"/>
          <w:szCs w:val="19"/>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Regeneron shall participate in teleconferences at an agreed upon frequency between Regeneron and -to review technical progress.</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3.2.2 Integrated Master Schedule (IMS)</w:t>
      </w:r>
    </w:p>
    <w:p>
      <w:pPr>
        <w:spacing w:after="0" w:line="114" w:lineRule="exact"/>
        <w:rPr>
          <w:sz w:val="20"/>
          <w:szCs w:val="20"/>
          <w:color w:val="auto"/>
        </w:rPr>
      </w:pPr>
    </w:p>
    <w:p>
      <w:pPr>
        <w:jc w:val="both"/>
        <w:ind w:left="660"/>
        <w:spacing w:after="0" w:line="243" w:lineRule="auto"/>
        <w:rPr>
          <w:sz w:val="20"/>
          <w:szCs w:val="20"/>
          <w:color w:val="auto"/>
        </w:rPr>
      </w:pPr>
      <w:r>
        <w:rPr>
          <w:rFonts w:ascii="Arial" w:cs="Arial" w:eastAsia="Arial" w:hAnsi="Arial"/>
          <w:sz w:val="20"/>
          <w:szCs w:val="20"/>
          <w:color w:val="auto"/>
        </w:rPr>
        <w:t>Regeneron will provide an Integrated Master Schedule within [* * *] of the award, and shall update such schedule to reflect any material changes. Within an agreed upon timeframe of the effective date of the contract, Regeneron will make any agreed upon changes between Regeneron and Agreements Officer and/or Project Officer at the the Government. The IMS shall be incorporated into the contract and will be used to monitor performance of the contract. Regeneron shall include the key milestones and Go/No-Go decision gates. The IMS for the period of performance will be accepted by the Government [* * *] of the Government's receipt of such IMS.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3.2.3 Reporting</w:t>
      </w:r>
    </w:p>
    <w:p>
      <w:pPr>
        <w:spacing w:after="0" w:line="114" w:lineRule="exact"/>
        <w:rPr>
          <w:sz w:val="20"/>
          <w:szCs w:val="20"/>
          <w:color w:val="auto"/>
        </w:rPr>
      </w:pPr>
    </w:p>
    <w:p>
      <w:pPr>
        <w:jc w:val="both"/>
        <w:ind w:left="660"/>
        <w:spacing w:after="0" w:line="244" w:lineRule="auto"/>
        <w:rPr>
          <w:sz w:val="20"/>
          <w:szCs w:val="20"/>
          <w:color w:val="auto"/>
        </w:rPr>
      </w:pPr>
      <w:r>
        <w:rPr>
          <w:rFonts w:ascii="Arial" w:cs="Arial" w:eastAsia="Arial" w:hAnsi="Arial"/>
          <w:sz w:val="20"/>
          <w:szCs w:val="20"/>
          <w:color w:val="auto"/>
        </w:rPr>
        <w:t>On completion of a stage of the product development, as defined in the agreed upon IMS and Integrated Master Plan, Regeneron shall prepare and submit to the Project Officer and the Agreements Officer, reports from time to time that contain (i) reasonable detail, documentation and analysis to support successful completion of the stage according to the predetermined qualitative and quantitative criteria, and (ii) a description of the next stage of product development to be initiated, and a request for approval to proceed to the next stage of product development.</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3.2.4 Data Management</w:t>
      </w:r>
    </w:p>
    <w:p>
      <w:pPr>
        <w:spacing w:after="0" w:line="114"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Regeneron will utilize existing systems to implement data management and quality control systems/procedures, including transmission, storage, confidentiality, and retrieval of contract data. Provide analysis of data generated with contract funding to the Project Officer or Agreements Officer,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UNCLASSIFIED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CONFIDENTIAL/PROPRIETARY</w:t>
      </w:r>
    </w:p>
    <w:p>
      <w:pPr>
        <w:sectPr>
          <w:pgSz w:w="11900" w:h="16838" w:orient="portrait"/>
          <w:cols w:equalWidth="0" w:num="1">
            <w:col w:w="11240"/>
          </w:cols>
          <w:pgMar w:left="320" w:top="1419" w:right="339" w:bottom="1440" w:gutter="0" w:footer="0" w:header="0"/>
        </w:sectPr>
      </w:pPr>
    </w:p>
    <w:bookmarkStart w:id="199" w:name="page200"/>
    <w:bookmarkEnd w:id="199"/>
    <w:p>
      <w:pPr>
        <w:spacing w:after="0"/>
        <w:rPr>
          <w:sz w:val="20"/>
          <w:szCs w:val="20"/>
          <w:color w:val="auto"/>
        </w:rPr>
      </w:pPr>
      <w:r>
        <w:rPr>
          <w:rFonts w:ascii="Arial" w:cs="Arial" w:eastAsia="Arial" w:hAnsi="Arial"/>
          <w:sz w:val="20"/>
          <w:szCs w:val="20"/>
          <w:b w:val="1"/>
          <w:bCs w:val="1"/>
          <w:color w:val="auto"/>
        </w:rPr>
        <w:t>3.2.5 Technical and Financial Reporting</w:t>
      </w:r>
    </w:p>
    <w:p>
      <w:pPr>
        <w:spacing w:after="0" w:line="249" w:lineRule="exact"/>
        <w:rPr>
          <w:sz w:val="20"/>
          <w:szCs w:val="20"/>
          <w:color w:val="auto"/>
        </w:rPr>
      </w:pPr>
    </w:p>
    <w:p>
      <w:pPr>
        <w:jc w:val="both"/>
        <w:ind w:left="660"/>
        <w:spacing w:after="0" w:line="260" w:lineRule="auto"/>
        <w:rPr>
          <w:sz w:val="20"/>
          <w:szCs w:val="20"/>
          <w:color w:val="auto"/>
        </w:rPr>
      </w:pPr>
      <w:r>
        <w:rPr>
          <w:rFonts w:ascii="Arial" w:cs="Arial" w:eastAsia="Arial" w:hAnsi="Arial"/>
          <w:sz w:val="20"/>
          <w:szCs w:val="20"/>
          <w:color w:val="auto"/>
        </w:rPr>
        <w:t>Technical Reports are described in Section 3.3.1 k., 1. and m. They are also listed in the milestone schedule and deliverables table in Section 5 of this Statement of Work.</w:t>
      </w:r>
    </w:p>
    <w:p>
      <w:pPr>
        <w:spacing w:after="0" w:line="204"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color w:val="auto"/>
        </w:rPr>
        <w:t>For Financial Reporting, firm fixed price invoices will be submitted on a quarterly basis as described in Section 5 below. Invoices will include data and technical reports sufficient to support the accomplishment of each milestone, as appropriate, during the invoicing period. Regeneron will provide quarterly Financial Status Reports outlining billed vs. budgeted activity for each period, and in aggregate for the contract.</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4.0</w:t>
      </w:r>
      <w:r>
        <w:rPr>
          <w:sz w:val="20"/>
          <w:szCs w:val="20"/>
          <w:color w:val="auto"/>
        </w:rPr>
        <w:tab/>
      </w:r>
      <w:r>
        <w:rPr>
          <w:rFonts w:ascii="Arial" w:cs="Arial" w:eastAsia="Arial" w:hAnsi="Arial"/>
          <w:sz w:val="21"/>
          <w:szCs w:val="21"/>
          <w:b w:val="1"/>
          <w:bCs w:val="1"/>
          <w:color w:val="auto"/>
        </w:rPr>
        <w:t>DELIVERABLES</w:t>
      </w:r>
    </w:p>
    <w:p>
      <w:pPr>
        <w:spacing w:after="0" w:line="253"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Offeror assumed [* * *]; Filled/Finished Drug Product Deliveries [* * *]. Regeneron shall have the right to provide deliverables directly to the Government and not to the Consortium Management Firm (CMF).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UNCLASSIFIED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CONFIDENTIAL/PROPRIETARY</w:t>
      </w:r>
    </w:p>
    <w:p>
      <w:pPr>
        <w:sectPr>
          <w:pgSz w:w="11900" w:h="16838" w:orient="portrait"/>
          <w:cols w:equalWidth="0" w:num="1">
            <w:col w:w="11240"/>
          </w:cols>
          <w:pgMar w:left="320" w:top="1413" w:right="339" w:bottom="1440" w:gutter="0" w:footer="0" w:header="0"/>
        </w:sectPr>
      </w:pPr>
    </w:p>
    <w:bookmarkStart w:id="200" w:name="page201"/>
    <w:bookmarkEnd w:id="200"/>
    <w:p>
      <w:pPr>
        <w:jc w:val="center"/>
        <w:ind w:right="-219"/>
        <w:spacing w:after="0"/>
        <w:rPr>
          <w:sz w:val="20"/>
          <w:szCs w:val="20"/>
          <w:color w:val="auto"/>
        </w:rPr>
      </w:pPr>
      <w:r>
        <w:rPr>
          <w:rFonts w:ascii="Arial" w:cs="Arial" w:eastAsia="Arial" w:hAnsi="Arial"/>
          <w:sz w:val="22"/>
          <w:szCs w:val="22"/>
          <w:b w:val="1"/>
          <w:bCs w:val="1"/>
          <w:u w:val="single" w:color="auto"/>
          <w:color w:val="auto"/>
        </w:rPr>
        <w:t>Deliverable Table (June 2020 - June 2021)</w:t>
      </w: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3660" w:type="dxa"/>
            <w:vAlign w:val="bottom"/>
            <w:tcBorders>
              <w:top w:val="single" w:sz="8" w:color="auto"/>
              <w:left w:val="single" w:sz="8" w:color="auto"/>
              <w:bottom w:val="single" w:sz="8" w:color="auto"/>
              <w:right w:val="single" w:sz="8" w:color="auto"/>
            </w:tcBorders>
            <w:shd w:val="clear" w:color="auto" w:fill="D9CBA7"/>
          </w:tcPr>
          <w:p>
            <w:pPr>
              <w:ind w:left="1300"/>
              <w:spacing w:after="0"/>
              <w:rPr>
                <w:sz w:val="20"/>
                <w:szCs w:val="20"/>
                <w:color w:val="auto"/>
              </w:rPr>
            </w:pPr>
            <w:r>
              <w:rPr>
                <w:rFonts w:ascii="Arial" w:cs="Arial" w:eastAsia="Arial" w:hAnsi="Arial"/>
                <w:sz w:val="22"/>
                <w:szCs w:val="22"/>
                <w:b w:val="1"/>
                <w:bCs w:val="1"/>
                <w:color w:val="auto"/>
              </w:rPr>
              <w:t>Deliverable</w:t>
            </w:r>
          </w:p>
        </w:tc>
        <w:tc>
          <w:tcPr>
            <w:tcW w:w="2760" w:type="dxa"/>
            <w:vAlign w:val="bottom"/>
            <w:tcBorders>
              <w:top w:val="single" w:sz="8" w:color="auto"/>
              <w:bottom w:val="single" w:sz="8" w:color="auto"/>
              <w:right w:val="single" w:sz="8" w:color="auto"/>
            </w:tcBorders>
            <w:shd w:val="clear" w:color="auto" w:fill="D9CBA7"/>
          </w:tcPr>
          <w:p>
            <w:pPr>
              <w:jc w:val="center"/>
              <w:spacing w:after="0"/>
              <w:rPr>
                <w:sz w:val="20"/>
                <w:szCs w:val="20"/>
                <w:color w:val="auto"/>
              </w:rPr>
            </w:pPr>
            <w:r>
              <w:rPr>
                <w:rFonts w:ascii="Arial" w:cs="Arial" w:eastAsia="Arial" w:hAnsi="Arial"/>
                <w:sz w:val="22"/>
                <w:szCs w:val="22"/>
                <w:b w:val="1"/>
                <w:bCs w:val="1"/>
                <w:color w:val="auto"/>
                <w:w w:val="90"/>
              </w:rPr>
              <w:t>Due Date</w:t>
            </w:r>
          </w:p>
        </w:tc>
        <w:tc>
          <w:tcPr>
            <w:tcW w:w="2400" w:type="dxa"/>
            <w:vAlign w:val="bottom"/>
            <w:tcBorders>
              <w:top w:val="single" w:sz="8" w:color="auto"/>
              <w:bottom w:val="single" w:sz="8" w:color="auto"/>
              <w:right w:val="single" w:sz="8" w:color="auto"/>
            </w:tcBorders>
            <w:shd w:val="clear" w:color="auto" w:fill="D9CBA7"/>
          </w:tcPr>
          <w:p>
            <w:pPr>
              <w:jc w:val="center"/>
              <w:spacing w:after="0"/>
              <w:rPr>
                <w:sz w:val="20"/>
                <w:szCs w:val="20"/>
                <w:color w:val="auto"/>
              </w:rPr>
            </w:pPr>
            <w:r>
              <w:rPr>
                <w:rFonts w:ascii="Arial" w:cs="Arial" w:eastAsia="Arial" w:hAnsi="Arial"/>
                <w:sz w:val="22"/>
                <w:szCs w:val="22"/>
                <w:b w:val="1"/>
                <w:bCs w:val="1"/>
                <w:color w:val="auto"/>
                <w:w w:val="89"/>
              </w:rPr>
              <w:t>Total Program Funds</w:t>
            </w:r>
          </w:p>
        </w:tc>
        <w:tc>
          <w:tcPr>
            <w:tcW w:w="2220" w:type="dxa"/>
            <w:vAlign w:val="bottom"/>
            <w:tcBorders>
              <w:top w:val="single" w:sz="8" w:color="auto"/>
              <w:bottom w:val="single" w:sz="8" w:color="auto"/>
              <w:right w:val="single" w:sz="8" w:color="auto"/>
            </w:tcBorders>
            <w:shd w:val="clear" w:color="auto" w:fill="D9CBA7"/>
          </w:tcPr>
          <w:p>
            <w:pPr>
              <w:jc w:val="center"/>
              <w:spacing w:after="0"/>
              <w:rPr>
                <w:sz w:val="20"/>
                <w:szCs w:val="20"/>
                <w:color w:val="auto"/>
              </w:rPr>
            </w:pPr>
            <w:r>
              <w:rPr>
                <w:rFonts w:ascii="Arial" w:cs="Arial" w:eastAsia="Arial" w:hAnsi="Arial"/>
                <w:sz w:val="22"/>
                <w:szCs w:val="22"/>
                <w:b w:val="1"/>
                <w:bCs w:val="1"/>
                <w:color w:val="auto"/>
                <w:w w:val="89"/>
              </w:rPr>
              <w:t>Data Rights</w:t>
            </w:r>
          </w:p>
        </w:tc>
      </w:tr>
      <w:tr>
        <w:trPr>
          <w:trHeight w:val="304"/>
        </w:trPr>
        <w:tc>
          <w:tcPr>
            <w:tcW w:w="3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Project Kick-Off; Deliverable</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*Specially Negotiated</w:t>
            </w:r>
          </w:p>
        </w:tc>
      </w:tr>
      <w:tr>
        <w:trPr>
          <w:trHeight w:val="304"/>
        </w:trPr>
        <w:tc>
          <w:tcPr>
            <w:tcW w:w="3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DS/FDS Bulk GMP Lot [* * *]</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*Specially Negotiated</w:t>
            </w:r>
          </w:p>
        </w:tc>
      </w:tr>
      <w:tr>
        <w:trPr>
          <w:trHeight w:val="304"/>
        </w:trPr>
        <w:tc>
          <w:tcPr>
            <w:tcW w:w="3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DS/FDS Bulk GMP Lot [* * *]</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*Specially Negotiated</w:t>
            </w:r>
          </w:p>
        </w:tc>
      </w:tr>
      <w:tr>
        <w:trPr>
          <w:trHeight w:val="304"/>
        </w:trPr>
        <w:tc>
          <w:tcPr>
            <w:tcW w:w="3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DS/FDS Bulk GMP Lot [* * *]</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*Specially Negotiated</w:t>
            </w:r>
          </w:p>
        </w:tc>
      </w:tr>
      <w:tr>
        <w:trPr>
          <w:trHeight w:val="304"/>
        </w:trPr>
        <w:tc>
          <w:tcPr>
            <w:tcW w:w="3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Fill Product [* * *]</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*Specially Negotiated</w:t>
            </w:r>
          </w:p>
        </w:tc>
      </w:tr>
      <w:tr>
        <w:trPr>
          <w:trHeight w:val="304"/>
        </w:trPr>
        <w:tc>
          <w:tcPr>
            <w:tcW w:w="3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Fill Product [* * *]</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*Specially Negotiated</w:t>
            </w:r>
          </w:p>
        </w:tc>
      </w:tr>
      <w:tr>
        <w:trPr>
          <w:trHeight w:val="304"/>
        </w:trPr>
        <w:tc>
          <w:tcPr>
            <w:tcW w:w="3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Fill Product [* * *]</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*Specially Negotiated</w:t>
            </w:r>
          </w:p>
        </w:tc>
      </w:tr>
      <w:tr>
        <w:trPr>
          <w:trHeight w:val="304"/>
        </w:trPr>
        <w:tc>
          <w:tcPr>
            <w:tcW w:w="3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Package/Label Product</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*Specially Negotiated</w:t>
            </w:r>
          </w:p>
        </w:tc>
      </w:tr>
      <w:tr>
        <w:trPr>
          <w:trHeight w:val="304"/>
        </w:trPr>
        <w:tc>
          <w:tcPr>
            <w:tcW w:w="3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8"/>
              </w:rPr>
              <w:t>Storage of Drug Product in VMI [* * *]</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*Specially Negotiated</w:t>
            </w:r>
          </w:p>
        </w:tc>
      </w:tr>
      <w:tr>
        <w:trPr>
          <w:trHeight w:val="304"/>
        </w:trPr>
        <w:tc>
          <w:tcPr>
            <w:tcW w:w="3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8"/>
              </w:rPr>
              <w:t>Storage of Drug Product in VMI [* * *]</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*Specially Negotiated</w:t>
            </w:r>
          </w:p>
        </w:tc>
      </w:tr>
      <w:tr>
        <w:trPr>
          <w:trHeight w:val="304"/>
        </w:trPr>
        <w:tc>
          <w:tcPr>
            <w:tcW w:w="3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8"/>
              </w:rPr>
              <w:t>Storage of Drug Product in VMI [* * *]</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*Specially Negotiated</w:t>
            </w:r>
          </w:p>
        </w:tc>
      </w:tr>
      <w:tr>
        <w:trPr>
          <w:trHeight w:val="304"/>
        </w:trPr>
        <w:tc>
          <w:tcPr>
            <w:tcW w:w="3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8"/>
              </w:rPr>
              <w:t>Storage of Drug Product in VMI [* * *]</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*Specially Negotiated</w:t>
            </w:r>
          </w:p>
        </w:tc>
      </w:tr>
      <w:tr>
        <w:trPr>
          <w:trHeight w:val="276"/>
        </w:trPr>
        <w:tc>
          <w:tcPr>
            <w:tcW w:w="3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0"/>
              </w:rPr>
              <w:t>Quarterly Technical and Business Status</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1"/>
              </w:rPr>
              <w:t>*Specially Negotiated</w:t>
            </w:r>
          </w:p>
        </w:tc>
      </w:tr>
      <w:tr>
        <w:trPr>
          <w:trHeight w:val="257"/>
        </w:trPr>
        <w:tc>
          <w:tcPr>
            <w:tcW w:w="3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Report, see above for submission</w:t>
            </w:r>
          </w:p>
        </w:tc>
        <w:tc>
          <w:tcPr>
            <w:tcW w:w="2760" w:type="dxa"/>
            <w:vAlign w:val="bottom"/>
            <w:tcBorders>
              <w:right w:val="single" w:sz="8" w:color="auto"/>
            </w:tcBorders>
          </w:tcPr>
          <w:p>
            <w:pPr>
              <w:spacing w:after="0"/>
              <w:rPr>
                <w:sz w:val="22"/>
                <w:szCs w:val="22"/>
                <w:color w:val="auto"/>
              </w:rPr>
            </w:pPr>
          </w:p>
        </w:tc>
        <w:tc>
          <w:tcPr>
            <w:tcW w:w="240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tcPr>
          <w:p>
            <w:pPr>
              <w:spacing w:after="0"/>
              <w:rPr>
                <w:sz w:val="22"/>
                <w:szCs w:val="22"/>
                <w:color w:val="auto"/>
              </w:rPr>
            </w:pPr>
          </w:p>
        </w:tc>
      </w:tr>
      <w:tr>
        <w:trPr>
          <w:trHeight w:val="285"/>
        </w:trPr>
        <w:tc>
          <w:tcPr>
            <w:tcW w:w="3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schedule</w:t>
            </w:r>
          </w:p>
        </w:tc>
        <w:tc>
          <w:tcPr>
            <w:tcW w:w="2760" w:type="dxa"/>
            <w:vAlign w:val="bottom"/>
            <w:tcBorders>
              <w:bottom w:val="single" w:sz="8" w:color="auto"/>
              <w:right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r>
      <w:tr>
        <w:trPr>
          <w:trHeight w:val="276"/>
        </w:trPr>
        <w:tc>
          <w:tcPr>
            <w:tcW w:w="3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5"/>
              </w:rPr>
              <w:t>Annual Technical and Business Status</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1"/>
              </w:rPr>
              <w:t>*Specially Negotiated</w:t>
            </w:r>
          </w:p>
        </w:tc>
      </w:tr>
      <w:tr>
        <w:trPr>
          <w:trHeight w:val="257"/>
        </w:trPr>
        <w:tc>
          <w:tcPr>
            <w:tcW w:w="3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Report, see above for submission</w:t>
            </w:r>
          </w:p>
        </w:tc>
        <w:tc>
          <w:tcPr>
            <w:tcW w:w="2760" w:type="dxa"/>
            <w:vAlign w:val="bottom"/>
            <w:tcBorders>
              <w:right w:val="single" w:sz="8" w:color="auto"/>
            </w:tcBorders>
          </w:tcPr>
          <w:p>
            <w:pPr>
              <w:spacing w:after="0"/>
              <w:rPr>
                <w:sz w:val="22"/>
                <w:szCs w:val="22"/>
                <w:color w:val="auto"/>
              </w:rPr>
            </w:pPr>
          </w:p>
        </w:tc>
        <w:tc>
          <w:tcPr>
            <w:tcW w:w="240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tcPr>
          <w:p>
            <w:pPr>
              <w:spacing w:after="0"/>
              <w:rPr>
                <w:sz w:val="22"/>
                <w:szCs w:val="22"/>
                <w:color w:val="auto"/>
              </w:rPr>
            </w:pPr>
          </w:p>
        </w:tc>
      </w:tr>
      <w:tr>
        <w:trPr>
          <w:trHeight w:val="285"/>
        </w:trPr>
        <w:tc>
          <w:tcPr>
            <w:tcW w:w="3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schedule</w:t>
            </w:r>
          </w:p>
        </w:tc>
        <w:tc>
          <w:tcPr>
            <w:tcW w:w="2760" w:type="dxa"/>
            <w:vAlign w:val="bottom"/>
            <w:tcBorders>
              <w:bottom w:val="single" w:sz="8" w:color="auto"/>
              <w:right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r>
      <w:tr>
        <w:trPr>
          <w:trHeight w:val="276"/>
        </w:trPr>
        <w:tc>
          <w:tcPr>
            <w:tcW w:w="3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0"/>
              </w:rPr>
              <w:t>Quarterly Technical and Business Status</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1"/>
              </w:rPr>
              <w:t>*Specially Negotiated</w:t>
            </w:r>
          </w:p>
        </w:tc>
      </w:tr>
      <w:tr>
        <w:trPr>
          <w:trHeight w:val="257"/>
        </w:trPr>
        <w:tc>
          <w:tcPr>
            <w:tcW w:w="3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Report, see above for submission</w:t>
            </w:r>
          </w:p>
        </w:tc>
        <w:tc>
          <w:tcPr>
            <w:tcW w:w="2760" w:type="dxa"/>
            <w:vAlign w:val="bottom"/>
            <w:tcBorders>
              <w:right w:val="single" w:sz="8" w:color="auto"/>
            </w:tcBorders>
          </w:tcPr>
          <w:p>
            <w:pPr>
              <w:spacing w:after="0"/>
              <w:rPr>
                <w:sz w:val="22"/>
                <w:szCs w:val="22"/>
                <w:color w:val="auto"/>
              </w:rPr>
            </w:pPr>
          </w:p>
        </w:tc>
        <w:tc>
          <w:tcPr>
            <w:tcW w:w="240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tcPr>
          <w:p>
            <w:pPr>
              <w:spacing w:after="0"/>
              <w:rPr>
                <w:sz w:val="22"/>
                <w:szCs w:val="22"/>
                <w:color w:val="auto"/>
              </w:rPr>
            </w:pPr>
          </w:p>
        </w:tc>
      </w:tr>
      <w:tr>
        <w:trPr>
          <w:trHeight w:val="285"/>
        </w:trPr>
        <w:tc>
          <w:tcPr>
            <w:tcW w:w="3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schedule</w:t>
            </w:r>
          </w:p>
        </w:tc>
        <w:tc>
          <w:tcPr>
            <w:tcW w:w="2760" w:type="dxa"/>
            <w:vAlign w:val="bottom"/>
            <w:tcBorders>
              <w:bottom w:val="single" w:sz="8" w:color="auto"/>
              <w:right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r>
      <w:tr>
        <w:trPr>
          <w:trHeight w:val="304"/>
        </w:trPr>
        <w:tc>
          <w:tcPr>
            <w:tcW w:w="3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3"/>
              </w:rPr>
              <w:t>Limited Rights</w:t>
            </w:r>
          </w:p>
        </w:tc>
      </w:tr>
      <w:tr>
        <w:trPr>
          <w:trHeight w:val="304"/>
        </w:trPr>
        <w:tc>
          <w:tcPr>
            <w:tcW w:w="3660" w:type="dxa"/>
            <w:vAlign w:val="bottom"/>
            <w:tcBorders>
              <w:left w:val="single" w:sz="8" w:color="auto"/>
              <w:bottom w:val="single" w:sz="8" w:color="auto"/>
              <w:right w:val="single" w:sz="8" w:color="auto"/>
            </w:tcBorders>
          </w:tcPr>
          <w:p>
            <w:pPr>
              <w:spacing w:after="0"/>
              <w:rPr>
                <w:sz w:val="24"/>
                <w:szCs w:val="24"/>
                <w:color w:val="auto"/>
              </w:rPr>
            </w:pPr>
          </w:p>
        </w:tc>
        <w:tc>
          <w:tcPr>
            <w:tcW w:w="2760" w:type="dxa"/>
            <w:vAlign w:val="bottom"/>
            <w:tcBorders>
              <w:bottom w:val="single" w:sz="8" w:color="auto"/>
              <w:right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$450,262,000 (FFP)</w:t>
            </w:r>
          </w:p>
        </w:tc>
        <w:tc>
          <w:tcPr>
            <w:tcW w:w="222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UNCLASSIFIED</w:t>
      </w:r>
    </w:p>
    <w:p>
      <w:pPr>
        <w:spacing w:after="0" w:line="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CONFIDENTIAL/PROPRIETARY</w:t>
      </w:r>
    </w:p>
    <w:p>
      <w:pPr>
        <w:sectPr>
          <w:pgSz w:w="11900" w:h="16838" w:orient="portrait"/>
          <w:cols w:equalWidth="0" w:num="1">
            <w:col w:w="11020"/>
          </w:cols>
          <w:pgMar w:left="320" w:top="1422" w:right="559" w:bottom="1440" w:gutter="0" w:footer="0" w:header="0"/>
        </w:sectPr>
      </w:pPr>
    </w:p>
    <w:bookmarkStart w:id="201" w:name="page202"/>
    <w:bookmarkEnd w:id="201"/>
    <w:p>
      <w:pPr>
        <w:jc w:val="both"/>
        <w:spacing w:after="0" w:line="249" w:lineRule="auto"/>
        <w:rPr>
          <w:sz w:val="20"/>
          <w:szCs w:val="20"/>
          <w:color w:val="auto"/>
        </w:rPr>
      </w:pPr>
      <w:r>
        <w:rPr>
          <w:rFonts w:ascii="Arial" w:cs="Arial" w:eastAsia="Arial" w:hAnsi="Arial"/>
          <w:sz w:val="22"/>
          <w:szCs w:val="22"/>
          <w:color w:val="auto"/>
        </w:rPr>
        <w:t>*Upon payment, delivery and acceptance in accordance with the terms of this Project Agreement, the Government will have title to the product produced under this Statement of Work. The Government will have the rights described below in Section 7.3 to technical data disclosed under this Statement of Work.</w:t>
      </w:r>
    </w:p>
    <w:p>
      <w:pPr>
        <w:ind w:firstLine="8"/>
        <w:spacing w:after="0" w:line="246" w:lineRule="auto"/>
        <w:tabs>
          <w:tab w:leader="none" w:pos="29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Packaging and labeling of product will be performed following the determination of the use of the applicable drug product (e.g., for clinical trials or for distribution under an EUA or BLA).</w:t>
      </w:r>
    </w:p>
    <w:p>
      <w:pPr>
        <w:spacing w:after="0" w:line="213"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auto"/>
        </w:rPr>
        <w:t>5.0</w:t>
      </w:r>
      <w:r>
        <w:rPr>
          <w:sz w:val="20"/>
          <w:szCs w:val="20"/>
          <w:color w:val="auto"/>
        </w:rPr>
        <w:tab/>
      </w:r>
      <w:r>
        <w:rPr>
          <w:rFonts w:ascii="Arial" w:cs="Arial" w:eastAsia="Arial" w:hAnsi="Arial"/>
          <w:sz w:val="21"/>
          <w:szCs w:val="21"/>
          <w:b w:val="1"/>
          <w:bCs w:val="1"/>
          <w:color w:val="auto"/>
        </w:rPr>
        <w:t>MILESTONE PAYMENT SCHEDULE; TERMINATION COSTS</w:t>
      </w: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1480" w:type="dxa"/>
            <w:vAlign w:val="bottom"/>
            <w:tcBorders>
              <w:top w:val="single" w:sz="8" w:color="auto"/>
              <w:left w:val="single" w:sz="8" w:color="auto"/>
              <w:right w:val="single" w:sz="8" w:color="auto"/>
            </w:tcBorders>
            <w:shd w:val="clear" w:color="auto" w:fill="D9CBA7"/>
          </w:tcPr>
          <w:p>
            <w:pPr>
              <w:spacing w:after="0"/>
              <w:rPr>
                <w:sz w:val="24"/>
                <w:szCs w:val="24"/>
                <w:color w:val="auto"/>
              </w:rPr>
            </w:pPr>
          </w:p>
        </w:tc>
        <w:tc>
          <w:tcPr>
            <w:tcW w:w="5020" w:type="dxa"/>
            <w:vAlign w:val="bottom"/>
            <w:tcBorders>
              <w:top w:val="single" w:sz="8" w:color="auto"/>
              <w:right w:val="single" w:sz="8" w:color="auto"/>
            </w:tcBorders>
            <w:shd w:val="clear" w:color="auto" w:fill="D9CBA7"/>
          </w:tcPr>
          <w:p>
            <w:pPr>
              <w:ind w:left="1480"/>
              <w:spacing w:after="0"/>
              <w:rPr>
                <w:sz w:val="20"/>
                <w:szCs w:val="20"/>
                <w:color w:val="auto"/>
              </w:rPr>
            </w:pPr>
            <w:r>
              <w:rPr>
                <w:rFonts w:ascii="Arial" w:cs="Arial" w:eastAsia="Arial" w:hAnsi="Arial"/>
                <w:sz w:val="22"/>
                <w:szCs w:val="22"/>
                <w:b w:val="1"/>
                <w:bCs w:val="1"/>
                <w:color w:val="auto"/>
              </w:rPr>
              <w:t>Milestone Description</w:t>
            </w:r>
          </w:p>
        </w:tc>
        <w:tc>
          <w:tcPr>
            <w:tcW w:w="2000" w:type="dxa"/>
            <w:vAlign w:val="bottom"/>
            <w:tcBorders>
              <w:top w:val="single" w:sz="8" w:color="auto"/>
              <w:right w:val="single" w:sz="8" w:color="auto"/>
            </w:tcBorders>
            <w:shd w:val="clear" w:color="auto" w:fill="D9CBA7"/>
          </w:tcPr>
          <w:p>
            <w:pPr>
              <w:spacing w:after="0"/>
              <w:rPr>
                <w:sz w:val="24"/>
                <w:szCs w:val="24"/>
                <w:color w:val="auto"/>
              </w:rPr>
            </w:pPr>
          </w:p>
        </w:tc>
        <w:tc>
          <w:tcPr>
            <w:tcW w:w="2540" w:type="dxa"/>
            <w:vAlign w:val="bottom"/>
            <w:tcBorders>
              <w:top w:val="single" w:sz="8" w:color="auto"/>
              <w:right w:val="single" w:sz="8" w:color="auto"/>
            </w:tcBorders>
            <w:shd w:val="clear" w:color="auto" w:fill="D9CBA7"/>
          </w:tcPr>
          <w:p>
            <w:pPr>
              <w:spacing w:after="0"/>
              <w:rPr>
                <w:sz w:val="24"/>
                <w:szCs w:val="24"/>
                <w:color w:val="auto"/>
              </w:rPr>
            </w:pPr>
          </w:p>
        </w:tc>
      </w:tr>
      <w:tr>
        <w:trPr>
          <w:trHeight w:val="291"/>
        </w:trPr>
        <w:tc>
          <w:tcPr>
            <w:tcW w:w="1480" w:type="dxa"/>
            <w:vAlign w:val="bottom"/>
            <w:tcBorders>
              <w:left w:val="single" w:sz="8" w:color="auto"/>
              <w:bottom w:val="single" w:sz="8" w:color="auto"/>
              <w:right w:val="single" w:sz="8" w:color="auto"/>
            </w:tcBorders>
            <w:shd w:val="clear" w:color="auto" w:fill="D9CBA7"/>
          </w:tcPr>
          <w:p>
            <w:pPr>
              <w:ind w:left="200"/>
              <w:spacing w:after="0"/>
              <w:rPr>
                <w:sz w:val="20"/>
                <w:szCs w:val="20"/>
                <w:color w:val="auto"/>
              </w:rPr>
            </w:pPr>
            <w:r>
              <w:rPr>
                <w:rFonts w:ascii="Arial" w:cs="Arial" w:eastAsia="Arial" w:hAnsi="Arial"/>
                <w:sz w:val="22"/>
                <w:szCs w:val="22"/>
                <w:b w:val="1"/>
                <w:bCs w:val="1"/>
                <w:color w:val="auto"/>
              </w:rPr>
              <w:t>Milestone #</w:t>
            </w:r>
          </w:p>
        </w:tc>
        <w:tc>
          <w:tcPr>
            <w:tcW w:w="5020" w:type="dxa"/>
            <w:vAlign w:val="bottom"/>
            <w:tcBorders>
              <w:bottom w:val="single" w:sz="8" w:color="auto"/>
              <w:right w:val="single" w:sz="8" w:color="auto"/>
            </w:tcBorders>
            <w:shd w:val="clear" w:color="auto" w:fill="D9CBA7"/>
          </w:tcPr>
          <w:p>
            <w:pPr>
              <w:ind w:left="1420"/>
              <w:spacing w:after="0"/>
              <w:rPr>
                <w:sz w:val="20"/>
                <w:szCs w:val="20"/>
                <w:color w:val="auto"/>
              </w:rPr>
            </w:pPr>
            <w:r>
              <w:rPr>
                <w:rFonts w:ascii="Arial" w:cs="Arial" w:eastAsia="Arial" w:hAnsi="Arial"/>
                <w:sz w:val="22"/>
                <w:szCs w:val="22"/>
                <w:b w:val="1"/>
                <w:bCs w:val="1"/>
                <w:color w:val="auto"/>
              </w:rPr>
              <w:t>(Deliverable Reference)</w:t>
            </w:r>
          </w:p>
        </w:tc>
        <w:tc>
          <w:tcPr>
            <w:tcW w:w="2000" w:type="dxa"/>
            <w:vAlign w:val="bottom"/>
            <w:tcBorders>
              <w:bottom w:val="single" w:sz="8" w:color="auto"/>
              <w:right w:val="single" w:sz="8" w:color="auto"/>
            </w:tcBorders>
            <w:shd w:val="clear" w:color="auto" w:fill="D9CBA7"/>
          </w:tcPr>
          <w:p>
            <w:pPr>
              <w:ind w:left="560"/>
              <w:spacing w:after="0"/>
              <w:rPr>
                <w:sz w:val="20"/>
                <w:szCs w:val="20"/>
                <w:color w:val="auto"/>
              </w:rPr>
            </w:pPr>
            <w:r>
              <w:rPr>
                <w:rFonts w:ascii="Arial" w:cs="Arial" w:eastAsia="Arial" w:hAnsi="Arial"/>
                <w:sz w:val="22"/>
                <w:szCs w:val="22"/>
                <w:b w:val="1"/>
                <w:bCs w:val="1"/>
                <w:color w:val="auto"/>
              </w:rPr>
              <w:t>Due Date</w:t>
            </w:r>
          </w:p>
        </w:tc>
        <w:tc>
          <w:tcPr>
            <w:tcW w:w="2540" w:type="dxa"/>
            <w:vAlign w:val="bottom"/>
            <w:tcBorders>
              <w:bottom w:val="single" w:sz="8" w:color="auto"/>
              <w:right w:val="single" w:sz="8" w:color="auto"/>
            </w:tcBorders>
            <w:shd w:val="clear" w:color="auto" w:fill="D9CBA7"/>
          </w:tcPr>
          <w:p>
            <w:pPr>
              <w:jc w:val="center"/>
              <w:spacing w:after="0"/>
              <w:rPr>
                <w:sz w:val="20"/>
                <w:szCs w:val="20"/>
                <w:color w:val="auto"/>
              </w:rPr>
            </w:pPr>
            <w:r>
              <w:rPr>
                <w:rFonts w:ascii="Arial" w:cs="Arial" w:eastAsia="Arial" w:hAnsi="Arial"/>
                <w:sz w:val="22"/>
                <w:szCs w:val="22"/>
                <w:b w:val="1"/>
                <w:bCs w:val="1"/>
                <w:color w:val="auto"/>
                <w:w w:val="89"/>
              </w:rPr>
              <w:t>Total Program Funds</w:t>
            </w:r>
          </w:p>
        </w:tc>
      </w:tr>
      <w:tr>
        <w:trPr>
          <w:trHeight w:val="276"/>
        </w:trPr>
        <w:tc>
          <w:tcPr>
            <w:tcW w:w="1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5.1</w:t>
            </w:r>
          </w:p>
        </w:tc>
        <w:tc>
          <w:tcPr>
            <w:tcW w:w="502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 * *] Drug Substance Deliverables [* * *] of Drug</w:t>
            </w:r>
          </w:p>
        </w:tc>
        <w:tc>
          <w:tcPr>
            <w:tcW w:w="2000" w:type="dxa"/>
            <w:vAlign w:val="bottom"/>
            <w:tcBorders>
              <w:right w:val="single" w:sz="8" w:color="auto"/>
            </w:tcBorders>
          </w:tcPr>
          <w:p>
            <w:pPr>
              <w:jc w:val="center"/>
              <w:ind w:right="1272"/>
              <w:spacing w:after="0"/>
              <w:rPr>
                <w:sz w:val="20"/>
                <w:szCs w:val="20"/>
                <w:color w:val="auto"/>
              </w:rPr>
            </w:pPr>
            <w:r>
              <w:rPr>
                <w:rFonts w:ascii="Arial" w:cs="Arial" w:eastAsia="Arial" w:hAnsi="Arial"/>
                <w:sz w:val="22"/>
                <w:szCs w:val="22"/>
                <w:color w:val="auto"/>
              </w:rPr>
              <w:t>[***]</w:t>
            </w:r>
          </w:p>
        </w:tc>
        <w:tc>
          <w:tcPr>
            <w:tcW w:w="2540" w:type="dxa"/>
            <w:vAlign w:val="bottom"/>
            <w:tcBorders>
              <w:right w:val="single" w:sz="8" w:color="auto"/>
            </w:tcBorders>
          </w:tcPr>
          <w:p>
            <w:pPr>
              <w:jc w:val="right"/>
              <w:ind w:right="1852"/>
              <w:spacing w:after="0"/>
              <w:rPr>
                <w:sz w:val="20"/>
                <w:szCs w:val="20"/>
                <w:color w:val="auto"/>
              </w:rPr>
            </w:pPr>
            <w:r>
              <w:rPr>
                <w:rFonts w:ascii="Arial" w:cs="Arial" w:eastAsia="Arial" w:hAnsi="Arial"/>
                <w:sz w:val="22"/>
                <w:szCs w:val="22"/>
                <w:color w:val="auto"/>
              </w:rPr>
              <w:t>[***]</w:t>
            </w:r>
          </w:p>
        </w:tc>
      </w:tr>
      <w:tr>
        <w:trPr>
          <w:trHeight w:val="285"/>
        </w:trPr>
        <w:tc>
          <w:tcPr>
            <w:tcW w:w="1480" w:type="dxa"/>
            <w:vAlign w:val="bottom"/>
            <w:tcBorders>
              <w:left w:val="single" w:sz="8" w:color="auto"/>
              <w:bottom w:val="single" w:sz="8" w:color="auto"/>
              <w:right w:val="single" w:sz="8" w:color="auto"/>
            </w:tcBorders>
          </w:tcPr>
          <w:p>
            <w:pPr>
              <w:spacing w:after="0"/>
              <w:rPr>
                <w:sz w:val="24"/>
                <w:szCs w:val="24"/>
                <w:color w:val="auto"/>
              </w:rPr>
            </w:pPr>
          </w:p>
        </w:tc>
        <w:tc>
          <w:tcPr>
            <w:tcW w:w="5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Substance)</w:t>
            </w:r>
          </w:p>
        </w:tc>
        <w:tc>
          <w:tcPr>
            <w:tcW w:w="200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r>
      <w:tr>
        <w:trPr>
          <w:trHeight w:val="276"/>
        </w:trPr>
        <w:tc>
          <w:tcPr>
            <w:tcW w:w="1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5.2</w:t>
            </w:r>
          </w:p>
        </w:tc>
        <w:tc>
          <w:tcPr>
            <w:tcW w:w="502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 * *] Drug Substance Deliverables [* * *] of Drug</w:t>
            </w:r>
          </w:p>
        </w:tc>
        <w:tc>
          <w:tcPr>
            <w:tcW w:w="2000" w:type="dxa"/>
            <w:vAlign w:val="bottom"/>
            <w:tcBorders>
              <w:right w:val="single" w:sz="8" w:color="auto"/>
            </w:tcBorders>
          </w:tcPr>
          <w:p>
            <w:pPr>
              <w:jc w:val="center"/>
              <w:ind w:right="1272"/>
              <w:spacing w:after="0"/>
              <w:rPr>
                <w:sz w:val="20"/>
                <w:szCs w:val="20"/>
                <w:color w:val="auto"/>
              </w:rPr>
            </w:pPr>
            <w:r>
              <w:rPr>
                <w:rFonts w:ascii="Arial" w:cs="Arial" w:eastAsia="Arial" w:hAnsi="Arial"/>
                <w:sz w:val="22"/>
                <w:szCs w:val="22"/>
                <w:color w:val="auto"/>
              </w:rPr>
              <w:t>[***]</w:t>
            </w:r>
          </w:p>
        </w:tc>
        <w:tc>
          <w:tcPr>
            <w:tcW w:w="2540" w:type="dxa"/>
            <w:vAlign w:val="bottom"/>
            <w:tcBorders>
              <w:right w:val="single" w:sz="8" w:color="auto"/>
            </w:tcBorders>
          </w:tcPr>
          <w:p>
            <w:pPr>
              <w:jc w:val="right"/>
              <w:ind w:right="1852"/>
              <w:spacing w:after="0"/>
              <w:rPr>
                <w:sz w:val="20"/>
                <w:szCs w:val="20"/>
                <w:color w:val="auto"/>
              </w:rPr>
            </w:pPr>
            <w:r>
              <w:rPr>
                <w:rFonts w:ascii="Arial" w:cs="Arial" w:eastAsia="Arial" w:hAnsi="Arial"/>
                <w:sz w:val="22"/>
                <w:szCs w:val="22"/>
                <w:color w:val="auto"/>
              </w:rPr>
              <w:t>[***]</w:t>
            </w:r>
          </w:p>
        </w:tc>
      </w:tr>
      <w:tr>
        <w:trPr>
          <w:trHeight w:val="285"/>
        </w:trPr>
        <w:tc>
          <w:tcPr>
            <w:tcW w:w="1480" w:type="dxa"/>
            <w:vAlign w:val="bottom"/>
            <w:tcBorders>
              <w:left w:val="single" w:sz="8" w:color="auto"/>
              <w:bottom w:val="single" w:sz="8" w:color="auto"/>
              <w:right w:val="single" w:sz="8" w:color="auto"/>
            </w:tcBorders>
          </w:tcPr>
          <w:p>
            <w:pPr>
              <w:spacing w:after="0"/>
              <w:rPr>
                <w:sz w:val="24"/>
                <w:szCs w:val="24"/>
                <w:color w:val="auto"/>
              </w:rPr>
            </w:pPr>
          </w:p>
        </w:tc>
        <w:tc>
          <w:tcPr>
            <w:tcW w:w="5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Substance)</w:t>
            </w:r>
          </w:p>
        </w:tc>
        <w:tc>
          <w:tcPr>
            <w:tcW w:w="200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r>
      <w:tr>
        <w:trPr>
          <w:trHeight w:val="276"/>
        </w:trPr>
        <w:tc>
          <w:tcPr>
            <w:tcW w:w="1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5.3</w:t>
            </w:r>
          </w:p>
        </w:tc>
        <w:tc>
          <w:tcPr>
            <w:tcW w:w="5020" w:type="dxa"/>
            <w:vAlign w:val="bottom"/>
            <w:tcBorders>
              <w:right w:val="single" w:sz="8" w:color="auto"/>
            </w:tcBorders>
          </w:tcPr>
          <w:p>
            <w:pPr>
              <w:spacing w:after="0"/>
              <w:rPr>
                <w:sz w:val="20"/>
                <w:szCs w:val="20"/>
                <w:color w:val="auto"/>
              </w:rPr>
            </w:pPr>
            <w:r>
              <w:rPr>
                <w:rFonts w:ascii="Arial" w:cs="Arial" w:eastAsia="Arial" w:hAnsi="Arial"/>
                <w:sz w:val="22"/>
                <w:szCs w:val="22"/>
                <w:color w:val="auto"/>
                <w:w w:val="96"/>
              </w:rPr>
              <w:t>[* * *] Drug Substance Deliverables (Fill/Finish for [* *</w:t>
            </w:r>
          </w:p>
        </w:tc>
        <w:tc>
          <w:tcPr>
            <w:tcW w:w="2000" w:type="dxa"/>
            <w:vAlign w:val="bottom"/>
            <w:tcBorders>
              <w:right w:val="single" w:sz="8" w:color="auto"/>
            </w:tcBorders>
          </w:tcPr>
          <w:p>
            <w:pPr>
              <w:jc w:val="center"/>
              <w:ind w:right="1272"/>
              <w:spacing w:after="0"/>
              <w:rPr>
                <w:sz w:val="20"/>
                <w:szCs w:val="20"/>
                <w:color w:val="auto"/>
              </w:rPr>
            </w:pPr>
            <w:r>
              <w:rPr>
                <w:rFonts w:ascii="Arial" w:cs="Arial" w:eastAsia="Arial" w:hAnsi="Arial"/>
                <w:sz w:val="22"/>
                <w:szCs w:val="22"/>
                <w:color w:val="auto"/>
              </w:rPr>
              <w:t>[***]</w:t>
            </w:r>
          </w:p>
        </w:tc>
        <w:tc>
          <w:tcPr>
            <w:tcW w:w="2540" w:type="dxa"/>
            <w:vAlign w:val="bottom"/>
            <w:tcBorders>
              <w:right w:val="single" w:sz="8" w:color="auto"/>
            </w:tcBorders>
          </w:tcPr>
          <w:p>
            <w:pPr>
              <w:jc w:val="right"/>
              <w:ind w:right="1852"/>
              <w:spacing w:after="0"/>
              <w:rPr>
                <w:sz w:val="20"/>
                <w:szCs w:val="20"/>
                <w:color w:val="auto"/>
              </w:rPr>
            </w:pPr>
            <w:r>
              <w:rPr>
                <w:rFonts w:ascii="Arial" w:cs="Arial" w:eastAsia="Arial" w:hAnsi="Arial"/>
                <w:sz w:val="22"/>
                <w:szCs w:val="22"/>
                <w:color w:val="auto"/>
              </w:rPr>
              <w:t>[***]</w:t>
            </w:r>
          </w:p>
        </w:tc>
      </w:tr>
      <w:tr>
        <w:trPr>
          <w:trHeight w:val="285"/>
        </w:trPr>
        <w:tc>
          <w:tcPr>
            <w:tcW w:w="1480" w:type="dxa"/>
            <w:vAlign w:val="bottom"/>
            <w:tcBorders>
              <w:left w:val="single" w:sz="8" w:color="auto"/>
              <w:bottom w:val="single" w:sz="8" w:color="auto"/>
              <w:right w:val="single" w:sz="8" w:color="auto"/>
            </w:tcBorders>
          </w:tcPr>
          <w:p>
            <w:pPr>
              <w:spacing w:after="0"/>
              <w:rPr>
                <w:sz w:val="24"/>
                <w:szCs w:val="24"/>
                <w:color w:val="auto"/>
              </w:rPr>
            </w:pPr>
          </w:p>
        </w:tc>
        <w:tc>
          <w:tcPr>
            <w:tcW w:w="5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 of Drug Substance)</w:t>
            </w:r>
          </w:p>
        </w:tc>
        <w:tc>
          <w:tcPr>
            <w:tcW w:w="200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r>
      <w:tr>
        <w:trPr>
          <w:trHeight w:val="276"/>
        </w:trPr>
        <w:tc>
          <w:tcPr>
            <w:tcW w:w="1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5.4</w:t>
            </w:r>
          </w:p>
        </w:tc>
        <w:tc>
          <w:tcPr>
            <w:tcW w:w="502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 * *] Drug Substance Deliverables [* * *] of Drug</w:t>
            </w:r>
          </w:p>
        </w:tc>
        <w:tc>
          <w:tcPr>
            <w:tcW w:w="2000" w:type="dxa"/>
            <w:vAlign w:val="bottom"/>
            <w:tcBorders>
              <w:right w:val="single" w:sz="8" w:color="auto"/>
            </w:tcBorders>
          </w:tcPr>
          <w:p>
            <w:pPr>
              <w:jc w:val="center"/>
              <w:ind w:right="1272"/>
              <w:spacing w:after="0"/>
              <w:rPr>
                <w:sz w:val="20"/>
                <w:szCs w:val="20"/>
                <w:color w:val="auto"/>
              </w:rPr>
            </w:pPr>
            <w:r>
              <w:rPr>
                <w:rFonts w:ascii="Arial" w:cs="Arial" w:eastAsia="Arial" w:hAnsi="Arial"/>
                <w:sz w:val="22"/>
                <w:szCs w:val="22"/>
                <w:color w:val="auto"/>
              </w:rPr>
              <w:t>[***]</w:t>
            </w:r>
          </w:p>
        </w:tc>
        <w:tc>
          <w:tcPr>
            <w:tcW w:w="2540" w:type="dxa"/>
            <w:vAlign w:val="bottom"/>
            <w:tcBorders>
              <w:right w:val="single" w:sz="8" w:color="auto"/>
            </w:tcBorders>
          </w:tcPr>
          <w:p>
            <w:pPr>
              <w:jc w:val="right"/>
              <w:ind w:right="1852"/>
              <w:spacing w:after="0"/>
              <w:rPr>
                <w:sz w:val="20"/>
                <w:szCs w:val="20"/>
                <w:color w:val="auto"/>
              </w:rPr>
            </w:pPr>
            <w:r>
              <w:rPr>
                <w:rFonts w:ascii="Arial" w:cs="Arial" w:eastAsia="Arial" w:hAnsi="Arial"/>
                <w:sz w:val="22"/>
                <w:szCs w:val="22"/>
                <w:color w:val="auto"/>
              </w:rPr>
              <w:t>[***]</w:t>
            </w:r>
          </w:p>
        </w:tc>
      </w:tr>
      <w:tr>
        <w:trPr>
          <w:trHeight w:val="285"/>
        </w:trPr>
        <w:tc>
          <w:tcPr>
            <w:tcW w:w="1480" w:type="dxa"/>
            <w:vAlign w:val="bottom"/>
            <w:tcBorders>
              <w:left w:val="single" w:sz="8" w:color="auto"/>
              <w:bottom w:val="single" w:sz="8" w:color="auto"/>
              <w:right w:val="single" w:sz="8" w:color="auto"/>
            </w:tcBorders>
          </w:tcPr>
          <w:p>
            <w:pPr>
              <w:spacing w:after="0"/>
              <w:rPr>
                <w:sz w:val="24"/>
                <w:szCs w:val="24"/>
                <w:color w:val="auto"/>
              </w:rPr>
            </w:pPr>
          </w:p>
        </w:tc>
        <w:tc>
          <w:tcPr>
            <w:tcW w:w="5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Substance)</w:t>
            </w:r>
          </w:p>
        </w:tc>
        <w:tc>
          <w:tcPr>
            <w:tcW w:w="200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r>
      <w:tr>
        <w:trPr>
          <w:trHeight w:val="276"/>
        </w:trPr>
        <w:tc>
          <w:tcPr>
            <w:tcW w:w="1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5.5</w:t>
            </w:r>
          </w:p>
        </w:tc>
        <w:tc>
          <w:tcPr>
            <w:tcW w:w="5020" w:type="dxa"/>
            <w:vAlign w:val="bottom"/>
            <w:tcBorders>
              <w:right w:val="single" w:sz="8" w:color="auto"/>
            </w:tcBorders>
          </w:tcPr>
          <w:p>
            <w:pPr>
              <w:spacing w:after="0"/>
              <w:rPr>
                <w:sz w:val="20"/>
                <w:szCs w:val="20"/>
                <w:color w:val="auto"/>
              </w:rPr>
            </w:pPr>
            <w:r>
              <w:rPr>
                <w:rFonts w:ascii="Arial" w:cs="Arial" w:eastAsia="Arial" w:hAnsi="Arial"/>
                <w:sz w:val="22"/>
                <w:szCs w:val="22"/>
                <w:color w:val="auto"/>
                <w:w w:val="96"/>
              </w:rPr>
              <w:t>[* * *] Drug Substance Deliverables (Fill/Finish for [* *</w:t>
            </w:r>
          </w:p>
        </w:tc>
        <w:tc>
          <w:tcPr>
            <w:tcW w:w="2000" w:type="dxa"/>
            <w:vAlign w:val="bottom"/>
            <w:tcBorders>
              <w:right w:val="single" w:sz="8" w:color="auto"/>
            </w:tcBorders>
          </w:tcPr>
          <w:p>
            <w:pPr>
              <w:jc w:val="center"/>
              <w:ind w:right="1272"/>
              <w:spacing w:after="0"/>
              <w:rPr>
                <w:sz w:val="20"/>
                <w:szCs w:val="20"/>
                <w:color w:val="auto"/>
              </w:rPr>
            </w:pPr>
            <w:r>
              <w:rPr>
                <w:rFonts w:ascii="Arial" w:cs="Arial" w:eastAsia="Arial" w:hAnsi="Arial"/>
                <w:sz w:val="22"/>
                <w:szCs w:val="22"/>
                <w:color w:val="auto"/>
              </w:rPr>
              <w:t>[***]</w:t>
            </w:r>
          </w:p>
        </w:tc>
        <w:tc>
          <w:tcPr>
            <w:tcW w:w="2540" w:type="dxa"/>
            <w:vAlign w:val="bottom"/>
            <w:tcBorders>
              <w:right w:val="single" w:sz="8" w:color="auto"/>
            </w:tcBorders>
          </w:tcPr>
          <w:p>
            <w:pPr>
              <w:jc w:val="right"/>
              <w:ind w:right="1852"/>
              <w:spacing w:after="0"/>
              <w:rPr>
                <w:sz w:val="20"/>
                <w:szCs w:val="20"/>
                <w:color w:val="auto"/>
              </w:rPr>
            </w:pPr>
            <w:r>
              <w:rPr>
                <w:rFonts w:ascii="Arial" w:cs="Arial" w:eastAsia="Arial" w:hAnsi="Arial"/>
                <w:sz w:val="22"/>
                <w:szCs w:val="22"/>
                <w:color w:val="auto"/>
              </w:rPr>
              <w:t>[***]</w:t>
            </w:r>
          </w:p>
        </w:tc>
      </w:tr>
      <w:tr>
        <w:trPr>
          <w:trHeight w:val="285"/>
        </w:trPr>
        <w:tc>
          <w:tcPr>
            <w:tcW w:w="1480" w:type="dxa"/>
            <w:vAlign w:val="bottom"/>
            <w:tcBorders>
              <w:left w:val="single" w:sz="8" w:color="auto"/>
              <w:bottom w:val="single" w:sz="8" w:color="auto"/>
              <w:right w:val="single" w:sz="8" w:color="auto"/>
            </w:tcBorders>
          </w:tcPr>
          <w:p>
            <w:pPr>
              <w:spacing w:after="0"/>
              <w:rPr>
                <w:sz w:val="24"/>
                <w:szCs w:val="24"/>
                <w:color w:val="auto"/>
              </w:rPr>
            </w:pPr>
          </w:p>
        </w:tc>
        <w:tc>
          <w:tcPr>
            <w:tcW w:w="5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 of Drug Substance)</w:t>
            </w:r>
          </w:p>
        </w:tc>
        <w:tc>
          <w:tcPr>
            <w:tcW w:w="200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r>
      <w:tr>
        <w:trPr>
          <w:trHeight w:val="276"/>
        </w:trPr>
        <w:tc>
          <w:tcPr>
            <w:tcW w:w="1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5.6</w:t>
            </w:r>
          </w:p>
        </w:tc>
        <w:tc>
          <w:tcPr>
            <w:tcW w:w="502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Quarterly Technical and Business Status Report,</w:t>
            </w:r>
          </w:p>
        </w:tc>
        <w:tc>
          <w:tcPr>
            <w:tcW w:w="2000" w:type="dxa"/>
            <w:vAlign w:val="bottom"/>
            <w:tcBorders>
              <w:right w:val="single" w:sz="8" w:color="auto"/>
            </w:tcBorders>
          </w:tcPr>
          <w:p>
            <w:pPr>
              <w:jc w:val="center"/>
              <w:ind w:right="1272"/>
              <w:spacing w:after="0"/>
              <w:rPr>
                <w:sz w:val="20"/>
                <w:szCs w:val="20"/>
                <w:color w:val="auto"/>
              </w:rPr>
            </w:pPr>
            <w:r>
              <w:rPr>
                <w:rFonts w:ascii="Arial" w:cs="Arial" w:eastAsia="Arial" w:hAnsi="Arial"/>
                <w:sz w:val="22"/>
                <w:szCs w:val="22"/>
                <w:color w:val="auto"/>
              </w:rPr>
              <w:t>[***]</w:t>
            </w:r>
          </w:p>
        </w:tc>
        <w:tc>
          <w:tcPr>
            <w:tcW w:w="2540" w:type="dxa"/>
            <w:vAlign w:val="bottom"/>
            <w:tcBorders>
              <w:right w:val="single" w:sz="8" w:color="auto"/>
            </w:tcBorders>
          </w:tcPr>
          <w:p>
            <w:pPr>
              <w:jc w:val="right"/>
              <w:ind w:right="1852"/>
              <w:spacing w:after="0"/>
              <w:rPr>
                <w:sz w:val="20"/>
                <w:szCs w:val="20"/>
                <w:color w:val="auto"/>
              </w:rPr>
            </w:pPr>
            <w:r>
              <w:rPr>
                <w:rFonts w:ascii="Arial" w:cs="Arial" w:eastAsia="Arial" w:hAnsi="Arial"/>
                <w:sz w:val="22"/>
                <w:szCs w:val="22"/>
                <w:color w:val="auto"/>
              </w:rPr>
              <w:t>[***]</w:t>
            </w:r>
          </w:p>
        </w:tc>
      </w:tr>
      <w:tr>
        <w:trPr>
          <w:trHeight w:val="285"/>
        </w:trPr>
        <w:tc>
          <w:tcPr>
            <w:tcW w:w="1480" w:type="dxa"/>
            <w:vAlign w:val="bottom"/>
            <w:tcBorders>
              <w:left w:val="single" w:sz="8" w:color="auto"/>
              <w:bottom w:val="single" w:sz="8" w:color="auto"/>
              <w:right w:val="single" w:sz="8" w:color="auto"/>
            </w:tcBorders>
          </w:tcPr>
          <w:p>
            <w:pPr>
              <w:spacing w:after="0"/>
              <w:rPr>
                <w:sz w:val="24"/>
                <w:szCs w:val="24"/>
                <w:color w:val="auto"/>
              </w:rPr>
            </w:pPr>
          </w:p>
        </w:tc>
        <w:tc>
          <w:tcPr>
            <w:tcW w:w="5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Reference 3.3.1.k</w:t>
            </w:r>
          </w:p>
        </w:tc>
        <w:tc>
          <w:tcPr>
            <w:tcW w:w="200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r>
      <w:tr>
        <w:trPr>
          <w:trHeight w:val="276"/>
        </w:trPr>
        <w:tc>
          <w:tcPr>
            <w:tcW w:w="1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5.7</w:t>
            </w:r>
          </w:p>
        </w:tc>
        <w:tc>
          <w:tcPr>
            <w:tcW w:w="5020" w:type="dxa"/>
            <w:vAlign w:val="bottom"/>
            <w:tcBorders>
              <w:right w:val="single" w:sz="8" w:color="auto"/>
            </w:tcBorders>
          </w:tcPr>
          <w:p>
            <w:pPr>
              <w:spacing w:after="0"/>
              <w:rPr>
                <w:sz w:val="20"/>
                <w:szCs w:val="20"/>
                <w:color w:val="auto"/>
              </w:rPr>
            </w:pPr>
            <w:r>
              <w:rPr>
                <w:rFonts w:ascii="Arial" w:cs="Arial" w:eastAsia="Arial" w:hAnsi="Arial"/>
                <w:sz w:val="22"/>
                <w:szCs w:val="22"/>
                <w:color w:val="auto"/>
                <w:w w:val="88"/>
              </w:rPr>
              <w:t>Annual Technical and Business Status Report; Reference</w:t>
            </w:r>
          </w:p>
        </w:tc>
        <w:tc>
          <w:tcPr>
            <w:tcW w:w="2000" w:type="dxa"/>
            <w:vAlign w:val="bottom"/>
            <w:tcBorders>
              <w:right w:val="single" w:sz="8" w:color="auto"/>
            </w:tcBorders>
          </w:tcPr>
          <w:p>
            <w:pPr>
              <w:jc w:val="center"/>
              <w:ind w:right="1272"/>
              <w:spacing w:after="0"/>
              <w:rPr>
                <w:sz w:val="20"/>
                <w:szCs w:val="20"/>
                <w:color w:val="auto"/>
              </w:rPr>
            </w:pPr>
            <w:r>
              <w:rPr>
                <w:rFonts w:ascii="Arial" w:cs="Arial" w:eastAsia="Arial" w:hAnsi="Arial"/>
                <w:sz w:val="22"/>
                <w:szCs w:val="22"/>
                <w:color w:val="auto"/>
              </w:rPr>
              <w:t>[***]</w:t>
            </w:r>
          </w:p>
        </w:tc>
        <w:tc>
          <w:tcPr>
            <w:tcW w:w="2540" w:type="dxa"/>
            <w:vAlign w:val="bottom"/>
            <w:tcBorders>
              <w:right w:val="single" w:sz="8" w:color="auto"/>
            </w:tcBorders>
          </w:tcPr>
          <w:p>
            <w:pPr>
              <w:jc w:val="right"/>
              <w:ind w:right="1852"/>
              <w:spacing w:after="0"/>
              <w:rPr>
                <w:sz w:val="20"/>
                <w:szCs w:val="20"/>
                <w:color w:val="auto"/>
              </w:rPr>
            </w:pPr>
            <w:r>
              <w:rPr>
                <w:rFonts w:ascii="Arial" w:cs="Arial" w:eastAsia="Arial" w:hAnsi="Arial"/>
                <w:sz w:val="22"/>
                <w:szCs w:val="22"/>
                <w:color w:val="auto"/>
              </w:rPr>
              <w:t>[***]</w:t>
            </w:r>
          </w:p>
        </w:tc>
      </w:tr>
      <w:tr>
        <w:trPr>
          <w:trHeight w:val="285"/>
        </w:trPr>
        <w:tc>
          <w:tcPr>
            <w:tcW w:w="1480" w:type="dxa"/>
            <w:vAlign w:val="bottom"/>
            <w:tcBorders>
              <w:left w:val="single" w:sz="8" w:color="auto"/>
              <w:bottom w:val="single" w:sz="8" w:color="auto"/>
              <w:right w:val="single" w:sz="8" w:color="auto"/>
            </w:tcBorders>
          </w:tcPr>
          <w:p>
            <w:pPr>
              <w:spacing w:after="0"/>
              <w:rPr>
                <w:sz w:val="24"/>
                <w:szCs w:val="24"/>
                <w:color w:val="auto"/>
              </w:rPr>
            </w:pPr>
          </w:p>
        </w:tc>
        <w:tc>
          <w:tcPr>
            <w:tcW w:w="5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3-3.1.1</w:t>
            </w:r>
          </w:p>
        </w:tc>
        <w:tc>
          <w:tcPr>
            <w:tcW w:w="200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r>
      <w:tr>
        <w:trPr>
          <w:trHeight w:val="30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5.8</w:t>
            </w:r>
          </w:p>
        </w:tc>
        <w:tc>
          <w:tcPr>
            <w:tcW w:w="5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Storage of Drug Product in VMI [* * *]</w:t>
            </w:r>
          </w:p>
        </w:tc>
        <w:tc>
          <w:tcPr>
            <w:tcW w:w="2000" w:type="dxa"/>
            <w:vAlign w:val="bottom"/>
            <w:tcBorders>
              <w:bottom w:val="single" w:sz="8" w:color="auto"/>
              <w:right w:val="single" w:sz="8" w:color="auto"/>
            </w:tcBorders>
          </w:tcPr>
          <w:p>
            <w:pPr>
              <w:jc w:val="center"/>
              <w:ind w:right="1272"/>
              <w:spacing w:after="0"/>
              <w:rPr>
                <w:sz w:val="20"/>
                <w:szCs w:val="20"/>
                <w:color w:val="auto"/>
              </w:rPr>
            </w:pPr>
            <w:r>
              <w:rPr>
                <w:rFonts w:ascii="Arial" w:cs="Arial" w:eastAsia="Arial" w:hAnsi="Arial"/>
                <w:sz w:val="22"/>
                <w:szCs w:val="22"/>
                <w:color w:val="auto"/>
              </w:rPr>
              <w:t>[***]</w:t>
            </w:r>
          </w:p>
        </w:tc>
        <w:tc>
          <w:tcPr>
            <w:tcW w:w="2540" w:type="dxa"/>
            <w:vAlign w:val="bottom"/>
            <w:tcBorders>
              <w:bottom w:val="single" w:sz="8" w:color="auto"/>
              <w:right w:val="single" w:sz="8" w:color="auto"/>
            </w:tcBorders>
          </w:tcPr>
          <w:p>
            <w:pPr>
              <w:jc w:val="right"/>
              <w:ind w:right="1852"/>
              <w:spacing w:after="0"/>
              <w:rPr>
                <w:sz w:val="20"/>
                <w:szCs w:val="20"/>
                <w:color w:val="auto"/>
              </w:rPr>
            </w:pPr>
            <w:r>
              <w:rPr>
                <w:rFonts w:ascii="Arial" w:cs="Arial" w:eastAsia="Arial" w:hAnsi="Arial"/>
                <w:sz w:val="22"/>
                <w:szCs w:val="22"/>
                <w:color w:val="auto"/>
              </w:rPr>
              <w:t>[***]</w:t>
            </w:r>
          </w:p>
        </w:tc>
      </w:tr>
      <w:tr>
        <w:trPr>
          <w:trHeight w:val="30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5.9</w:t>
            </w:r>
          </w:p>
        </w:tc>
        <w:tc>
          <w:tcPr>
            <w:tcW w:w="5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Storage of Drug Product in VMI [* * *]</w:t>
            </w:r>
          </w:p>
        </w:tc>
        <w:tc>
          <w:tcPr>
            <w:tcW w:w="2000" w:type="dxa"/>
            <w:vAlign w:val="bottom"/>
            <w:tcBorders>
              <w:bottom w:val="single" w:sz="8" w:color="auto"/>
              <w:right w:val="single" w:sz="8" w:color="auto"/>
            </w:tcBorders>
          </w:tcPr>
          <w:p>
            <w:pPr>
              <w:jc w:val="center"/>
              <w:ind w:right="1272"/>
              <w:spacing w:after="0"/>
              <w:rPr>
                <w:sz w:val="20"/>
                <w:szCs w:val="20"/>
                <w:color w:val="auto"/>
              </w:rPr>
            </w:pPr>
            <w:r>
              <w:rPr>
                <w:rFonts w:ascii="Arial" w:cs="Arial" w:eastAsia="Arial" w:hAnsi="Arial"/>
                <w:sz w:val="22"/>
                <w:szCs w:val="22"/>
                <w:color w:val="auto"/>
              </w:rPr>
              <w:t>[***]</w:t>
            </w:r>
          </w:p>
        </w:tc>
        <w:tc>
          <w:tcPr>
            <w:tcW w:w="2540" w:type="dxa"/>
            <w:vAlign w:val="bottom"/>
            <w:tcBorders>
              <w:bottom w:val="single" w:sz="8" w:color="auto"/>
              <w:right w:val="single" w:sz="8" w:color="auto"/>
            </w:tcBorders>
          </w:tcPr>
          <w:p>
            <w:pPr>
              <w:jc w:val="right"/>
              <w:ind w:right="1852"/>
              <w:spacing w:after="0"/>
              <w:rPr>
                <w:sz w:val="20"/>
                <w:szCs w:val="20"/>
                <w:color w:val="auto"/>
              </w:rPr>
            </w:pPr>
            <w:r>
              <w:rPr>
                <w:rFonts w:ascii="Arial" w:cs="Arial" w:eastAsia="Arial" w:hAnsi="Arial"/>
                <w:sz w:val="22"/>
                <w:szCs w:val="22"/>
                <w:color w:val="auto"/>
              </w:rPr>
              <w:t>[***]</w:t>
            </w:r>
          </w:p>
        </w:tc>
      </w:tr>
      <w:tr>
        <w:trPr>
          <w:trHeight w:val="30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5.10</w:t>
            </w:r>
          </w:p>
        </w:tc>
        <w:tc>
          <w:tcPr>
            <w:tcW w:w="5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Storage of Drug Product in VMI [* * *]</w:t>
            </w:r>
          </w:p>
        </w:tc>
        <w:tc>
          <w:tcPr>
            <w:tcW w:w="2000" w:type="dxa"/>
            <w:vAlign w:val="bottom"/>
            <w:tcBorders>
              <w:bottom w:val="single" w:sz="8" w:color="auto"/>
              <w:right w:val="single" w:sz="8" w:color="auto"/>
            </w:tcBorders>
          </w:tcPr>
          <w:p>
            <w:pPr>
              <w:jc w:val="center"/>
              <w:ind w:right="1272"/>
              <w:spacing w:after="0"/>
              <w:rPr>
                <w:sz w:val="20"/>
                <w:szCs w:val="20"/>
                <w:color w:val="auto"/>
              </w:rPr>
            </w:pPr>
            <w:r>
              <w:rPr>
                <w:rFonts w:ascii="Arial" w:cs="Arial" w:eastAsia="Arial" w:hAnsi="Arial"/>
                <w:sz w:val="22"/>
                <w:szCs w:val="22"/>
                <w:color w:val="auto"/>
              </w:rPr>
              <w:t>[***]</w:t>
            </w:r>
          </w:p>
        </w:tc>
        <w:tc>
          <w:tcPr>
            <w:tcW w:w="2540" w:type="dxa"/>
            <w:vAlign w:val="bottom"/>
            <w:tcBorders>
              <w:bottom w:val="single" w:sz="8" w:color="auto"/>
              <w:right w:val="single" w:sz="8" w:color="auto"/>
            </w:tcBorders>
          </w:tcPr>
          <w:p>
            <w:pPr>
              <w:jc w:val="right"/>
              <w:ind w:right="1852"/>
              <w:spacing w:after="0"/>
              <w:rPr>
                <w:sz w:val="20"/>
                <w:szCs w:val="20"/>
                <w:color w:val="auto"/>
              </w:rPr>
            </w:pPr>
            <w:r>
              <w:rPr>
                <w:rFonts w:ascii="Arial" w:cs="Arial" w:eastAsia="Arial" w:hAnsi="Arial"/>
                <w:sz w:val="22"/>
                <w:szCs w:val="22"/>
                <w:color w:val="auto"/>
              </w:rPr>
              <w:t>[***]</w:t>
            </w:r>
          </w:p>
        </w:tc>
      </w:tr>
      <w:tr>
        <w:trPr>
          <w:trHeight w:val="30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5.11</w:t>
            </w:r>
          </w:p>
        </w:tc>
        <w:tc>
          <w:tcPr>
            <w:tcW w:w="5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Storage of Drug Product in VMI [* * *]</w:t>
            </w:r>
          </w:p>
        </w:tc>
        <w:tc>
          <w:tcPr>
            <w:tcW w:w="2000" w:type="dxa"/>
            <w:vAlign w:val="bottom"/>
            <w:tcBorders>
              <w:bottom w:val="single" w:sz="8" w:color="auto"/>
              <w:right w:val="single" w:sz="8" w:color="auto"/>
            </w:tcBorders>
          </w:tcPr>
          <w:p>
            <w:pPr>
              <w:jc w:val="center"/>
              <w:ind w:right="1272"/>
              <w:spacing w:after="0"/>
              <w:rPr>
                <w:sz w:val="20"/>
                <w:szCs w:val="20"/>
                <w:color w:val="auto"/>
              </w:rPr>
            </w:pPr>
            <w:r>
              <w:rPr>
                <w:rFonts w:ascii="Arial" w:cs="Arial" w:eastAsia="Arial" w:hAnsi="Arial"/>
                <w:sz w:val="22"/>
                <w:szCs w:val="22"/>
                <w:color w:val="auto"/>
              </w:rPr>
              <w:t>[***]</w:t>
            </w:r>
          </w:p>
        </w:tc>
        <w:tc>
          <w:tcPr>
            <w:tcW w:w="2540" w:type="dxa"/>
            <w:vAlign w:val="bottom"/>
            <w:tcBorders>
              <w:bottom w:val="single" w:sz="8" w:color="auto"/>
              <w:right w:val="single" w:sz="8" w:color="auto"/>
            </w:tcBorders>
          </w:tcPr>
          <w:p>
            <w:pPr>
              <w:jc w:val="right"/>
              <w:ind w:right="1852"/>
              <w:spacing w:after="0"/>
              <w:rPr>
                <w:sz w:val="20"/>
                <w:szCs w:val="20"/>
                <w:color w:val="auto"/>
              </w:rPr>
            </w:pPr>
            <w:r>
              <w:rPr>
                <w:rFonts w:ascii="Arial" w:cs="Arial" w:eastAsia="Arial" w:hAnsi="Arial"/>
                <w:sz w:val="22"/>
                <w:szCs w:val="22"/>
                <w:color w:val="auto"/>
              </w:rPr>
              <w:t>[***]</w:t>
            </w:r>
          </w:p>
        </w:tc>
      </w:tr>
      <w:tr>
        <w:trPr>
          <w:trHeight w:val="304"/>
        </w:trPr>
        <w:tc>
          <w:tcPr>
            <w:tcW w:w="1480" w:type="dxa"/>
            <w:vAlign w:val="bottom"/>
            <w:tcBorders>
              <w:left w:val="single" w:sz="8" w:color="auto"/>
              <w:bottom w:val="single" w:sz="8" w:color="auto"/>
            </w:tcBorders>
          </w:tcPr>
          <w:p>
            <w:pPr>
              <w:spacing w:after="0"/>
              <w:rPr>
                <w:sz w:val="24"/>
                <w:szCs w:val="24"/>
                <w:color w:val="auto"/>
              </w:rPr>
            </w:pPr>
          </w:p>
        </w:tc>
        <w:tc>
          <w:tcPr>
            <w:tcW w:w="7020" w:type="dxa"/>
            <w:vAlign w:val="bottom"/>
            <w:tcBorders>
              <w:bottom w:val="single" w:sz="8" w:color="auto"/>
              <w:right w:val="single" w:sz="8" w:color="auto"/>
            </w:tcBorders>
            <w:gridSpan w:val="2"/>
          </w:tcPr>
          <w:p>
            <w:pPr>
              <w:jc w:val="center"/>
              <w:ind w:left="3492"/>
              <w:spacing w:after="0"/>
              <w:rPr>
                <w:sz w:val="20"/>
                <w:szCs w:val="20"/>
                <w:color w:val="auto"/>
              </w:rPr>
            </w:pPr>
            <w:r>
              <w:rPr>
                <w:rFonts w:ascii="Arial" w:cs="Arial" w:eastAsia="Arial" w:hAnsi="Arial"/>
                <w:sz w:val="22"/>
                <w:szCs w:val="22"/>
                <w:b w:val="1"/>
                <w:bCs w:val="1"/>
                <w:color w:val="auto"/>
                <w:w w:val="90"/>
              </w:rPr>
              <w:t>Total (Include Payment Type; FFP):</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$450,262,000</w:t>
            </w:r>
          </w:p>
        </w:tc>
      </w:tr>
      <w:tr>
        <w:trPr>
          <w:trHeight w:val="304"/>
        </w:trPr>
        <w:tc>
          <w:tcPr>
            <w:tcW w:w="1480" w:type="dxa"/>
            <w:vAlign w:val="bottom"/>
            <w:tcBorders>
              <w:left w:val="single" w:sz="8" w:color="auto"/>
              <w:bottom w:val="single" w:sz="8" w:color="auto"/>
            </w:tcBorders>
          </w:tcPr>
          <w:p>
            <w:pPr>
              <w:spacing w:after="0"/>
              <w:rPr>
                <w:sz w:val="24"/>
                <w:szCs w:val="24"/>
                <w:color w:val="auto"/>
              </w:rPr>
            </w:pPr>
          </w:p>
        </w:tc>
        <w:tc>
          <w:tcPr>
            <w:tcW w:w="7020" w:type="dxa"/>
            <w:vAlign w:val="bottom"/>
            <w:tcBorders>
              <w:bottom w:val="single" w:sz="8" w:color="auto"/>
              <w:right w:val="single" w:sz="8" w:color="auto"/>
            </w:tcBorders>
            <w:gridSpan w:val="2"/>
          </w:tcPr>
          <w:p>
            <w:pPr>
              <w:ind w:left="4800"/>
              <w:spacing w:after="0"/>
              <w:rPr>
                <w:sz w:val="20"/>
                <w:szCs w:val="20"/>
                <w:color w:val="auto"/>
              </w:rPr>
            </w:pPr>
            <w:r>
              <w:rPr>
                <w:rFonts w:ascii="Arial" w:cs="Arial" w:eastAsia="Arial" w:hAnsi="Arial"/>
                <w:sz w:val="22"/>
                <w:szCs w:val="22"/>
                <w:b w:val="1"/>
                <w:bCs w:val="1"/>
                <w:color w:val="auto"/>
                <w:w w:val="89"/>
              </w:rPr>
              <w:t>Period of Performance:</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6"/>
              </w:rPr>
              <w:t>June 2020 – June 2021</w:t>
            </w:r>
          </w:p>
        </w:tc>
      </w:tr>
    </w:tbl>
    <w:p>
      <w:pPr>
        <w:spacing w:after="0" w:line="343"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The overall price is fixed price at $450,262,000. Milestone payments will be made quarterly as set forth in the table above, corresponding to the deliverables and any 3</w:t>
      </w:r>
      <w:r>
        <w:rPr>
          <w:rFonts w:ascii="Arial" w:cs="Arial" w:eastAsia="Arial" w:hAnsi="Arial"/>
          <w:sz w:val="28"/>
          <w:szCs w:val="28"/>
          <w:color w:val="auto"/>
          <w:vertAlign w:val="superscript"/>
        </w:rPr>
        <w:t>rd</w:t>
      </w:r>
      <w:r>
        <w:rPr>
          <w:rFonts w:ascii="Arial" w:cs="Arial" w:eastAsia="Arial" w:hAnsi="Arial"/>
          <w:sz w:val="22"/>
          <w:szCs w:val="22"/>
          <w:color w:val="auto"/>
        </w:rPr>
        <w:t xml:space="preserve"> party commitments Regeneron needs to make. In the event the deliverables in a given quarter are less than or exceed the projected quantity, the milestone payment for such quarter will be equitably adjusted based on the shortfall or excess amount, as applicable, however the price will not exceed $450,262,000 Milestone payment terms will be net 30 days.</w:t>
      </w:r>
    </w:p>
    <w:p>
      <w:pPr>
        <w:spacing w:after="0" w:line="23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Total pricing is a firm fixed price per lot, [* * *]. Regeneron will deliver [* * *] of filled/finished drug product. Regeneron will be entitled to full payment for drug product upon delivery/</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UNCLASSIFIED</w:t>
      </w:r>
    </w:p>
    <w:p>
      <w:pPr>
        <w:sectPr>
          <w:pgSz w:w="11900" w:h="16838" w:orient="portrait"/>
          <w:cols w:equalWidth="0" w:num="1">
            <w:col w:w="11240"/>
          </w:cols>
          <w:pgMar w:left="320" w:top="1428" w:right="339" w:bottom="1440" w:gutter="0" w:footer="0" w:header="0"/>
        </w:sectPr>
      </w:pP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CONFIDENTIAL/PROPRIETARY</w:t>
      </w:r>
    </w:p>
    <w:p>
      <w:pPr>
        <w:sectPr>
          <w:pgSz w:w="11900" w:h="16838" w:orient="portrait"/>
          <w:cols w:equalWidth="0" w:num="1">
            <w:col w:w="11240"/>
          </w:cols>
          <w:pgMar w:left="320" w:top="1428" w:right="339" w:bottom="1440" w:gutter="0" w:footer="0" w:header="0"/>
          <w:type w:val="continuous"/>
        </w:sectPr>
      </w:pPr>
    </w:p>
    <w:bookmarkStart w:id="202" w:name="page203"/>
    <w:bookmarkEnd w:id="202"/>
    <w:p>
      <w:pPr>
        <w:jc w:val="both"/>
        <w:spacing w:after="0" w:line="287" w:lineRule="auto"/>
        <w:rPr>
          <w:sz w:val="20"/>
          <w:szCs w:val="20"/>
          <w:color w:val="auto"/>
        </w:rPr>
      </w:pPr>
      <w:r>
        <w:rPr>
          <w:rFonts w:ascii="Arial" w:cs="Arial" w:eastAsia="Arial" w:hAnsi="Arial"/>
          <w:sz w:val="19"/>
          <w:szCs w:val="19"/>
          <w:color w:val="auto"/>
        </w:rPr>
        <w:t>acceptance (as described herein) of filled/finished drug product, prior to packaging and labeling. However, Regeneron shall be responsible for the packaging and labeling of product at no additional cost following the determination of the use of such drug product (e.g., for clinical trials or for distribution under an EUA or BLA). Drug product will comply with the Drug Supply Chain Security Act serialization and tracking requirements. Drug product will not be co-formulated, except as otherwise mutually agreed by the parties. Unless and until otherwise mutually agreed, the drug product produced under this Statement of Work will be filled for therapeutic use. In order to change this allocation, Regeneron will require at least [* * *] prior written notice, in order to meet Regeneron’s notification requirements to its fill/finish subcontractor. Regeneron will provide the Government with the timeline for fill/finish activities, including the dates by which the parties must determine the allocation of fill/finish activities. Notwithstanding the foregoing, as part of this Project Agreement, Regeneron will have the right to utilize material and capacity supported by this agreement to fill up to [* * *], as well as any additional drug product mutually agreed upon by Regeneron and the Government (with respect to which use the Government will not unreasonably withhold consent.</w:t>
      </w:r>
    </w:p>
    <w:p>
      <w:pPr>
        <w:spacing w:after="0" w:line="19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In the event this Statement of Work is terminated prior to completion, termination costs recoverable by Regeneron under Section 2.04 of the MCDC Base Agreement, shall include the following: the full contract price for any drug product manufactured and not yet paid for; a pro-rated portion of the contract price for drug substance or drug product that is in process, based on the stage of production, [* * *], and raw materials that Regeneron purchased (or is obligated to purchase) that cannot be allocated to other products.</w:t>
      </w:r>
    </w:p>
    <w:p>
      <w:pPr>
        <w:spacing w:after="0" w:line="213"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6.0</w:t>
      </w:r>
      <w:r>
        <w:rPr>
          <w:sz w:val="20"/>
          <w:szCs w:val="20"/>
          <w:color w:val="auto"/>
        </w:rPr>
        <w:tab/>
      </w:r>
      <w:r>
        <w:rPr>
          <w:rFonts w:ascii="Arial" w:cs="Arial" w:eastAsia="Arial" w:hAnsi="Arial"/>
          <w:sz w:val="21"/>
          <w:szCs w:val="21"/>
          <w:b w:val="1"/>
          <w:bCs w:val="1"/>
          <w:color w:val="auto"/>
        </w:rPr>
        <w:t>STORAGE AND SHIPPING PROVISIONS</w:t>
      </w:r>
    </w:p>
    <w:p>
      <w:pPr>
        <w:spacing w:after="0" w:line="253"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Upon acceptance by the Agreements Officer Representative of any lot of antibodies under this contract, title to such antibodies will transfer as follows: upon delivery of drug product to vendor-managed inventory and the Government's corresponding written acceptance of the delivery of each such lot of drug product. The Government shall accept product that conforms to contract requirements based on a Certificate of Analysis (COA) provided by Regeneron. The Government's acceptance of product will be [* * *] provide written notice of acceptance or rejection [* * *]. Unless otherwise mutually agreed upon by the parties, drug product shall be shipped to the Government within the continental United States. Regeneron will [* * *] for all product stored as vendor-managed inventory. To the extent that Regeneron is responsible for the correction, repair or replacement of Government property held in vendor-managed inventory [* * *] the Government will [* * *] of such property. Vendor-managed storage of product manufactured under this agreement is supported through June 30, 2021 and, as such, the Government must either (a) take possession on or before this date and provide Regeneron with disposition instructions in sufficient time to transfer physical material from Regeneron by this date or (b) bilaterally modify this agreement to extend the period of vendor management of storage prior to this date.</w:t>
      </w: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Government understands that prices identified in this contract include [* * *] applicable to material that will become Government property, including product stored as vendor-managed inventory.</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UNCLASSIFIED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CONFIDENTIAL/PROPRIETARY</w:t>
      </w:r>
    </w:p>
    <w:p>
      <w:pPr>
        <w:sectPr>
          <w:pgSz w:w="11900" w:h="16838" w:orient="portrait"/>
          <w:cols w:equalWidth="0" w:num="1">
            <w:col w:w="11240"/>
          </w:cols>
          <w:pgMar w:left="320" w:top="1428" w:right="339" w:bottom="1440" w:gutter="0" w:footer="0" w:header="0"/>
        </w:sectPr>
      </w:pPr>
    </w:p>
    <w:bookmarkStart w:id="203" w:name="page204"/>
    <w:bookmarkEnd w:id="203"/>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auto"/>
        </w:rPr>
        <w:t>7.0</w:t>
      </w:r>
      <w:r>
        <w:rPr>
          <w:sz w:val="20"/>
          <w:szCs w:val="20"/>
          <w:color w:val="auto"/>
        </w:rPr>
        <w:tab/>
      </w:r>
      <w:r>
        <w:rPr>
          <w:rFonts w:ascii="Arial" w:cs="Arial" w:eastAsia="Arial" w:hAnsi="Arial"/>
          <w:sz w:val="21"/>
          <w:szCs w:val="21"/>
          <w:b w:val="1"/>
          <w:bCs w:val="1"/>
          <w:color w:val="auto"/>
        </w:rPr>
        <w:t>PATENT RIGHTS; DATA RIGHTS; PREP ACT AND TRANSPARENCY</w:t>
      </w:r>
    </w:p>
    <w:p>
      <w:pPr>
        <w:spacing w:after="0" w:line="25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Article X, (“PATENT RIGHTS”) and Article XI. (“DATA RIGHTS”) of Other Transaction Agreement number W15QKN-16-9-1002 shall not apply to this Project Agreement and are hereby replaced for the purpose of this Project Agreement, with this Section 7.0 (including Sections 7.1-7.4 and the Definitions Appendix). Definitions:</w:t>
      </w:r>
    </w:p>
    <w:p>
      <w:pPr>
        <w:spacing w:after="0" w:line="200" w:lineRule="exact"/>
        <w:rPr>
          <w:sz w:val="20"/>
          <w:szCs w:val="20"/>
          <w:color w:val="auto"/>
        </w:rPr>
      </w:pPr>
    </w:p>
    <w:p>
      <w:pPr>
        <w:spacing w:after="0" w:line="2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Capitalized terms used in this Section 7.0 (including Sections 7.1-7.4) shall have the meanings ascribed to such terms in the Definitions Appendix to this Project Agreement.</w:t>
      </w:r>
    </w:p>
    <w:p>
      <w:pPr>
        <w:spacing w:after="0" w:line="202"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For purposes of this Project Agreement, all rights of the Government in and to Data or Subject Inventions are granted solely to The United States of America, as represented by the Department of Health &amp; Human Services, Office of the Assistant Secretary for Preparedness &amp; Response (“ASPR”), Office of Biomedical Advanced Research and Development (“BARDA”) (represented by Office of Acquisition Management, Contracts and Grants (AMCG)) and to no other agency of the United States of America (including JPEO) or representative of any such other agency (including the CMF). The parties acknowledge that Regeneron is permitted to communicate solely with BARDA regarding the matters described in this Section 7.0 (including Sections 7.1-7.4) and is not obligated to communicate with any other Government agency or representative regarding such matters.</w:t>
      </w:r>
    </w:p>
    <w:p>
      <w:pPr>
        <w:spacing w:after="0" w:line="17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7.1</w:t>
      </w:r>
      <w:r>
        <w:rPr>
          <w:sz w:val="20"/>
          <w:szCs w:val="20"/>
          <w:color w:val="auto"/>
        </w:rPr>
        <w:tab/>
      </w:r>
      <w:r>
        <w:rPr>
          <w:rFonts w:ascii="Arial" w:cs="Arial" w:eastAsia="Arial" w:hAnsi="Arial"/>
          <w:sz w:val="21"/>
          <w:szCs w:val="21"/>
          <w:b w:val="1"/>
          <w:bCs w:val="1"/>
          <w:color w:val="auto"/>
        </w:rPr>
        <w:t>BACKGROUND INTELLECTUAL PROPERTY</w:t>
      </w:r>
    </w:p>
    <w:p>
      <w:pPr>
        <w:spacing w:after="0" w:line="25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Each party acknowledges that it has no rights to the other party’s inventions, discoveries, know-how, Data, technology or intellectual property generated, discovered, conceived or reduced to practice prior to or otherwise outside of this Statement of Work (also referred to herein as, this “Project Agreement” or this “Agreement”), and any improvements or modifications thereto, including, without limitation, the background intellectual property (and improvements/modifications) for the Government and Regeneron described below, as follows:</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Government Background Intellectual Property</w:t>
      </w:r>
      <w:r>
        <w:rPr>
          <w:rFonts w:ascii="Arial" w:cs="Arial" w:eastAsia="Arial" w:hAnsi="Arial"/>
          <w:sz w:val="22"/>
          <w:szCs w:val="22"/>
          <w:color w:val="auto"/>
        </w:rPr>
        <w:t>. None.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Contractor Background Intellectual Property: </w:t>
      </w:r>
      <w:r>
        <w:rPr>
          <w:rFonts w:ascii="Arial" w:cs="Arial" w:eastAsia="Arial" w:hAnsi="Arial"/>
          <w:sz w:val="22"/>
          <w:szCs w:val="22"/>
          <w:color w:val="auto"/>
        </w:rPr>
        <w:t>Includes, but is not limited to, [* * *]:</w:t>
      </w:r>
    </w:p>
    <w:p>
      <w:pPr>
        <w:spacing w:after="0" w:line="247" w:lineRule="exact"/>
        <w:rPr>
          <w:sz w:val="20"/>
          <w:szCs w:val="20"/>
          <w:color w:val="auto"/>
        </w:rPr>
      </w:pPr>
    </w:p>
    <w:p>
      <w:pPr>
        <w:ind w:right="1040"/>
        <w:spacing w:after="0" w:line="345" w:lineRule="auto"/>
        <w:rPr>
          <w:sz w:val="20"/>
          <w:szCs w:val="20"/>
          <w:color w:val="auto"/>
        </w:rPr>
      </w:pPr>
      <w:r>
        <w:rPr>
          <w:rFonts w:ascii="Arial" w:cs="Arial" w:eastAsia="Arial" w:hAnsi="Arial"/>
          <w:sz w:val="22"/>
          <w:szCs w:val="22"/>
          <w:color w:val="auto"/>
        </w:rPr>
        <w:t>63/004,312, filed April 2, 2020 “Anti-SARS-CoV-2-Spike Glycoprotein Antibodies and Antigen-Binding Fragments” [***]</w:t>
      </w:r>
    </w:p>
    <w:p>
      <w:pPr>
        <w:spacing w:after="0" w:line="2" w:lineRule="exact"/>
        <w:rPr>
          <w:sz w:val="20"/>
          <w:szCs w:val="20"/>
          <w:color w:val="auto"/>
        </w:rPr>
      </w:pPr>
    </w:p>
    <w:p>
      <w:pPr>
        <w:ind w:right="940"/>
        <w:spacing w:after="0" w:line="345" w:lineRule="auto"/>
        <w:rPr>
          <w:sz w:val="20"/>
          <w:szCs w:val="20"/>
          <w:color w:val="auto"/>
        </w:rPr>
      </w:pPr>
      <w:r>
        <w:rPr>
          <w:rFonts w:ascii="Arial" w:cs="Arial" w:eastAsia="Arial" w:hAnsi="Arial"/>
          <w:sz w:val="22"/>
          <w:szCs w:val="22"/>
          <w:color w:val="auto"/>
        </w:rPr>
        <w:t>63/014,687, filed April 23, 2020 “Anti-SARS-CoV-2-Spike Glycoprotein Antibodies and Antigen-Binding Fragments” [***]</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63/025,949, filed May 15, 2020 “Anti-SARS-CoV-2-Spike Glycoprotein Antibodies and Antigen-Binding Fragments”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UNCLASSIFIED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CONFIDENTIAL/PROPRIETARY</w:t>
      </w:r>
    </w:p>
    <w:p>
      <w:pPr>
        <w:sectPr>
          <w:pgSz w:w="11900" w:h="16838" w:orient="portrait"/>
          <w:cols w:equalWidth="0" w:num="1">
            <w:col w:w="11240"/>
          </w:cols>
          <w:pgMar w:left="320" w:top="1440" w:right="339" w:bottom="1440" w:gutter="0" w:footer="0" w:header="0"/>
        </w:sectPr>
      </w:pPr>
    </w:p>
    <w:bookmarkStart w:id="204" w:name="page205"/>
    <w:bookmarkEnd w:id="204"/>
    <w:p>
      <w:pPr>
        <w:spacing w:after="0"/>
        <w:rPr>
          <w:sz w:val="20"/>
          <w:szCs w:val="20"/>
          <w:color w:val="auto"/>
        </w:rPr>
      </w:pPr>
      <w:r>
        <w:rPr>
          <w:rFonts w:ascii="Arial" w:cs="Arial" w:eastAsia="Arial" w:hAnsi="Arial"/>
          <w:sz w:val="22"/>
          <w:szCs w:val="22"/>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63/034,865, filed June 4, 2020 “Anti-SARS-CoV-2-Spike Glycoprotein Antibodies and Antigen-Binding Fragments”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color w:val="auto"/>
        </w:rPr>
        <w:t>No party relinquishes rights in any of its background intellectual property to any other party under this contract.</w:t>
      </w:r>
    </w:p>
    <w:p>
      <w:pPr>
        <w:spacing w:after="0" w:line="247"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Either Party may update its disclosure of background intellectual property under this Section 7.1 upon written notice to the other Party.</w:t>
      </w:r>
    </w:p>
    <w:p>
      <w:pPr>
        <w:spacing w:after="0" w:line="196"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auto"/>
        </w:rPr>
        <w:t>7.2</w:t>
      </w:r>
      <w:r>
        <w:rPr>
          <w:sz w:val="20"/>
          <w:szCs w:val="20"/>
          <w:color w:val="auto"/>
        </w:rPr>
        <w:tab/>
      </w:r>
      <w:r>
        <w:rPr>
          <w:rFonts w:ascii="Arial" w:cs="Arial" w:eastAsia="Arial" w:hAnsi="Arial"/>
          <w:sz w:val="21"/>
          <w:szCs w:val="21"/>
          <w:b w:val="1"/>
          <w:bCs w:val="1"/>
          <w:color w:val="auto"/>
        </w:rPr>
        <w:t>PATENT RIGHTS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  Allocation of Principal Rights</w:t>
      </w:r>
    </w:p>
    <w:p>
      <w:pPr>
        <w:spacing w:after="0" w:line="11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The parties agree that the Bayh-Dole statute does not apply to this Project Agreement. Ownership of inventions Made in the performance of this Project Agreement shall follow inventorship, and inventorship shall be determined in accordance with United States patent laws. With respect to any Subject Invention Made (in whole or in part) by or on behalf of Regeneron, unless Regeneron shall have notified the Government (in accordance with Subparagraph b. below) that Regeneron does not intend to properly disclose and elect title to a Subject Invention, Regeneron shall retain the entire right, title, and interest throughout the world to such Subject Invention, and the Government shall have a nonexclusive, nontransferable, irrevocable, paid-up license to practice or have practiced on behalf of the United States the Subject Invention throughout the world. This license does not include the right to use or allow others to use the Subject Invention for commercial purposes. If Regeneron does not properly disclose and elect title to any such Subject Invention (in accordance with Subparagraph b. below), then the Government may exercise its rights to seek ownership of such Subject Invention, pursuant to clause 7.2.c. below.</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b.  Invention Disclosure, Election of Title, and Filing of Patent Application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UNCLASSIFIED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CONFIDENTIAL/PROPRIETARY</w:t>
      </w:r>
    </w:p>
    <w:p>
      <w:pPr>
        <w:sectPr>
          <w:pgSz w:w="11900" w:h="16838" w:orient="portrait"/>
          <w:cols w:equalWidth="0" w:num="1">
            <w:col w:w="11240"/>
          </w:cols>
          <w:pgMar w:left="320" w:top="1428" w:right="339" w:bottom="1440" w:gutter="0" w:footer="0" w:header="0"/>
        </w:sectPr>
      </w:pPr>
    </w:p>
    <w:bookmarkStart w:id="205" w:name="page206"/>
    <w:bookmarkEnd w:id="205"/>
    <w:p>
      <w:pPr>
        <w:jc w:val="both"/>
        <w:ind w:left="520" w:hanging="324"/>
        <w:spacing w:after="0" w:line="289" w:lineRule="auto"/>
        <w:tabs>
          <w:tab w:leader="none" w:pos="512" w:val="left"/>
        </w:tabs>
        <w:numPr>
          <w:ilvl w:val="1"/>
          <w:numId w:val="134"/>
        </w:numPr>
        <w:rPr>
          <w:rFonts w:ascii="Arial" w:cs="Arial" w:eastAsia="Arial" w:hAnsi="Arial"/>
          <w:sz w:val="19"/>
          <w:szCs w:val="19"/>
          <w:color w:val="auto"/>
        </w:rPr>
      </w:pPr>
      <w:r>
        <w:rPr>
          <w:rFonts w:ascii="Arial" w:cs="Arial" w:eastAsia="Arial" w:hAnsi="Arial"/>
          <w:sz w:val="19"/>
          <w:szCs w:val="19"/>
          <w:color w:val="auto"/>
        </w:rPr>
        <w:t>Regeneron shall disclose in writing each Subject Invention to the OTTR within 12 months after the inventor discloses it in writing to Regeneron personnel responsible for patent matters. The disclosure shall identify the inventor(s) and this Project Agreement under which the Subject Invention was made. It shall be sufficiently complete in technical detail to convey a clear understanding of the Subject Invention. The disclosure shall also identify any publication, on sale (i.e., sale or offer for sale), or public use of the Subject Invention, or whether a manuscript describing the Subject Invention has been submitted for publication and, if so, whether it has been accepted for publication. In addition, after disclosure to the Government funding agency (HHS/BARDA), Regeneron shall promptly notify the OTTR of the acceptance of any manuscript describing the Subject Invention for publication and any on sale or public use.</w:t>
      </w:r>
    </w:p>
    <w:p>
      <w:pPr>
        <w:spacing w:after="0" w:line="291" w:lineRule="exact"/>
        <w:rPr>
          <w:rFonts w:ascii="Arial" w:cs="Arial" w:eastAsia="Arial" w:hAnsi="Arial"/>
          <w:sz w:val="19"/>
          <w:szCs w:val="19"/>
          <w:color w:val="auto"/>
        </w:rPr>
      </w:pPr>
    </w:p>
    <w:p>
      <w:pPr>
        <w:jc w:val="both"/>
        <w:ind w:left="520" w:hanging="324"/>
        <w:spacing w:after="0" w:line="263" w:lineRule="auto"/>
        <w:tabs>
          <w:tab w:leader="none" w:pos="517" w:val="left"/>
        </w:tabs>
        <w:numPr>
          <w:ilvl w:val="1"/>
          <w:numId w:val="134"/>
        </w:numPr>
        <w:rPr>
          <w:rFonts w:ascii="Arial" w:cs="Arial" w:eastAsia="Arial" w:hAnsi="Arial"/>
          <w:sz w:val="19"/>
          <w:szCs w:val="19"/>
          <w:color w:val="auto"/>
        </w:rPr>
      </w:pPr>
      <w:r>
        <w:rPr>
          <w:rFonts w:ascii="Arial" w:cs="Arial" w:eastAsia="Arial" w:hAnsi="Arial"/>
          <w:sz w:val="21"/>
          <w:szCs w:val="21"/>
          <w:color w:val="auto"/>
        </w:rPr>
        <w:t>Regeneron shall elect in writing whether or not to retain ownership of any Subject Invention by notifying the OTTR within 2 years of disclosure to the Government funding agency. However, in any case where publication, on sale, or public use has initiated the 1-year statutory period during which valid patent protection can be obtained in the United States, the period for election of title may be shortened by the agency to a date that is no more than 60 calendar days prior to the end of the statutory period.</w:t>
      </w:r>
    </w:p>
    <w:p>
      <w:pPr>
        <w:spacing w:after="0" w:line="202" w:lineRule="exact"/>
        <w:rPr>
          <w:rFonts w:ascii="Arial" w:cs="Arial" w:eastAsia="Arial" w:hAnsi="Arial"/>
          <w:sz w:val="19"/>
          <w:szCs w:val="19"/>
          <w:color w:val="auto"/>
        </w:rPr>
      </w:pPr>
    </w:p>
    <w:p>
      <w:pPr>
        <w:jc w:val="both"/>
        <w:ind w:left="340" w:hanging="318"/>
        <w:spacing w:after="0" w:line="292" w:lineRule="auto"/>
        <w:tabs>
          <w:tab w:leader="none" w:pos="338" w:val="left"/>
        </w:tabs>
        <w:numPr>
          <w:ilvl w:val="0"/>
          <w:numId w:val="135"/>
        </w:numPr>
        <w:rPr>
          <w:rFonts w:ascii="Arial" w:cs="Arial" w:eastAsia="Arial" w:hAnsi="Arial"/>
          <w:sz w:val="18"/>
          <w:szCs w:val="18"/>
          <w:color w:val="auto"/>
        </w:rPr>
      </w:pPr>
      <w:r>
        <w:rPr>
          <w:rFonts w:ascii="Arial" w:cs="Arial" w:eastAsia="Arial" w:hAnsi="Arial"/>
          <w:sz w:val="19"/>
          <w:szCs w:val="19"/>
          <w:color w:val="auto"/>
        </w:rPr>
        <w:t>Regeneron shall file either a provisional or a non-provisional patent application for an elected Subject Invention within 1 year after election of title. However, in any case where a publication, on sale, or public use has initiated the 1-year statutory period during which valid patent protection can be obtained in the United States, Regeneron shall file the application prior to the end of that statutory period. If Regeneron files an initial provisional application, it shall file a non-provisional application within 10 months of the filing of the initial provisional application. Regeneron shall include a Government Support Clause (GSC) within the specification of any United States patent applications and any patent issuing thereon covering a subject invention.</w:t>
      </w:r>
    </w:p>
    <w:p>
      <w:pPr>
        <w:spacing w:after="0" w:line="177" w:lineRule="exact"/>
        <w:rPr>
          <w:rFonts w:ascii="Arial" w:cs="Arial" w:eastAsia="Arial" w:hAnsi="Arial"/>
          <w:sz w:val="18"/>
          <w:szCs w:val="18"/>
          <w:color w:val="auto"/>
        </w:rPr>
      </w:pPr>
    </w:p>
    <w:p>
      <w:pPr>
        <w:jc w:val="both"/>
        <w:ind w:left="340" w:hanging="318"/>
        <w:spacing w:after="0" w:line="253" w:lineRule="auto"/>
        <w:tabs>
          <w:tab w:leader="none" w:pos="314" w:val="left"/>
        </w:tabs>
        <w:numPr>
          <w:ilvl w:val="0"/>
          <w:numId w:val="135"/>
        </w:numPr>
        <w:rPr>
          <w:rFonts w:ascii="Arial" w:cs="Arial" w:eastAsia="Arial" w:hAnsi="Arial"/>
          <w:sz w:val="20"/>
          <w:szCs w:val="20"/>
          <w:color w:val="auto"/>
        </w:rPr>
      </w:pPr>
      <w:r>
        <w:rPr>
          <w:rFonts w:ascii="Arial" w:cs="Arial" w:eastAsia="Arial" w:hAnsi="Arial"/>
          <w:sz w:val="22"/>
          <w:szCs w:val="22"/>
          <w:color w:val="auto"/>
        </w:rPr>
        <w:t>Regeneron may request extensions of time for disclosure, election, or filing under subparagraphs (b)(i), (b)(ii) and (b)(iii) of this clause. An extension of time for each deadline, may be granted at the discretion of the Government funding agency.</w:t>
      </w:r>
    </w:p>
    <w:p>
      <w:pPr>
        <w:spacing w:after="0" w:line="212" w:lineRule="exact"/>
        <w:rPr>
          <w:rFonts w:ascii="Arial" w:cs="Arial" w:eastAsia="Arial" w:hAnsi="Arial"/>
          <w:sz w:val="20"/>
          <w:szCs w:val="20"/>
          <w:color w:val="auto"/>
        </w:rPr>
      </w:pPr>
    </w:p>
    <w:p>
      <w:pPr>
        <w:jc w:val="both"/>
        <w:ind w:left="340" w:hanging="318"/>
        <w:spacing w:after="0" w:line="297" w:lineRule="auto"/>
        <w:tabs>
          <w:tab w:leader="none" w:pos="327" w:val="left"/>
        </w:tabs>
        <w:numPr>
          <w:ilvl w:val="0"/>
          <w:numId w:val="135"/>
        </w:numPr>
        <w:rPr>
          <w:rFonts w:ascii="Arial" w:cs="Arial" w:eastAsia="Arial" w:hAnsi="Arial"/>
          <w:sz w:val="18"/>
          <w:szCs w:val="18"/>
          <w:color w:val="auto"/>
        </w:rPr>
      </w:pPr>
      <w:r>
        <w:rPr>
          <w:rFonts w:ascii="Arial" w:cs="Arial" w:eastAsia="Arial" w:hAnsi="Arial"/>
          <w:sz w:val="19"/>
          <w:szCs w:val="19"/>
          <w:color w:val="auto"/>
        </w:rPr>
        <w:t>If Regeneron determines that it does not intend to elect to retain title to any such Subject Invention, Regeneron shall notify the Government, in writing, within two (2) years of disclosure to the Government. However, in any case where publication, sale, or public use has initiated the one (1)-year statutory period wherein valid patent protection can still be obtained in the United States, the period for such notice may be shortened by the Government to a date that is no more than sixty (60) calendar days prior to the end of the statutory period.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UNCLASSIFIED</w:t>
      </w:r>
    </w:p>
    <w:p>
      <w:pPr>
        <w:spacing w:after="0" w:line="22"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CONFIDENTIAL/PROPRIETARY</w:t>
      </w:r>
    </w:p>
    <w:p>
      <w:pPr>
        <w:sectPr>
          <w:pgSz w:w="11900" w:h="16838" w:orient="portrait"/>
          <w:cols w:equalWidth="0" w:num="1">
            <w:col w:w="10120"/>
          </w:cols>
          <w:pgMar w:left="1440" w:top="1428" w:right="339" w:bottom="1440" w:gutter="0" w:footer="0" w:header="0"/>
        </w:sectPr>
      </w:pPr>
    </w:p>
    <w:bookmarkStart w:id="206" w:name="page207"/>
    <w:bookmarkEnd w:id="206"/>
    <w:p>
      <w:pPr>
        <w:spacing w:after="0" w:line="22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c.  Conditions When the Government May Obtain Title</w:t>
      </w:r>
    </w:p>
    <w:p>
      <w:pPr>
        <w:spacing w:after="0" w:line="11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Upon the Government’s written request, Regeneron shall convey title to any Subject Invention to the Government funding agency if Regeneron fails to disclose the Subject Invention or elects not to retain title to the Subject Invention within the times specified in Subparagraph b of Section 7.2. The Government may request title after learning of the failure of Regeneron to disclose or elect within the specified times for an unlimited time. The Government funding agency may request title upon Regeneron’s omission to timely file patent applications in any country. The Government funding agency may request title in any country in which Regeneron decides to discontinue prosecution.</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d.  Rights to Regeneron and Protection of Regeneron’s Right to File</w:t>
      </w:r>
    </w:p>
    <w:p>
      <w:pPr>
        <w:spacing w:after="0" w:line="1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Regeneron shall retain a fully paid up, sub-licensable, nonexclusive, royalty-free license throughout the world in each Subject Invention to which the Government obtains title. Regeneron license extends to Regeneron’s subsidiaries and other affiliates (outside this Agreement), if any, within the corporate structure of which Regeneron is a party and includes the right to grant licenses of the same scope to the extent that Regeneron was legally obligated or permitted to do so at the time the Project Agreement was executed. The license is otherwise transferable only with the approval of the Government, except when transferred to an Affiliate or successor of that part of Regeneron’s business to which the Subject Invention pertains. The Government approval for license transfer shall be provided on a timely basis (and in no event later than 90 calendar days following Regeneron’s request) and shall not be unreasonably withheld.</w:t>
      </w:r>
    </w:p>
    <w:p>
      <w:pPr>
        <w:spacing w:after="0" w:line="75" w:lineRule="exact"/>
        <w:rPr>
          <w:sz w:val="20"/>
          <w:szCs w:val="20"/>
          <w:color w:val="auto"/>
        </w:rPr>
      </w:pPr>
    </w:p>
    <w:p>
      <w:pPr>
        <w:jc w:val="both"/>
        <w:ind w:left="1640" w:hanging="167"/>
        <w:spacing w:after="0" w:line="247" w:lineRule="auto"/>
        <w:rPr>
          <w:sz w:val="20"/>
          <w:szCs w:val="20"/>
          <w:color w:val="auto"/>
        </w:rPr>
      </w:pPr>
      <w:r>
        <w:rPr>
          <w:rFonts w:ascii="Arial" w:cs="Arial" w:eastAsia="Arial" w:hAnsi="Arial"/>
          <w:sz w:val="22"/>
          <w:szCs w:val="22"/>
          <w:color w:val="auto"/>
        </w:rPr>
        <w:t>i. The Regeneron license may be revoked or modified by the Government to the extent necessary to achieve expeditious Practical Application of the Subject Invention pursuant to an application for an exclusive or nonexclusive license submitted consistent with appropriate provisions at 37 CFR Part 404. Regeneron’s license shall not be revoked in that field of use or the geographical areas in which Regeneron has achieved Practical Application of the Subject Invention and continues to make the benefits of the Subject Invention accessible to the public.</w:t>
      </w:r>
    </w:p>
    <w:p>
      <w:pPr>
        <w:spacing w:after="0" w:line="85" w:lineRule="exact"/>
        <w:rPr>
          <w:sz w:val="20"/>
          <w:szCs w:val="20"/>
          <w:color w:val="auto"/>
        </w:rPr>
      </w:pPr>
    </w:p>
    <w:p>
      <w:pPr>
        <w:jc w:val="both"/>
        <w:ind w:left="1620" w:hanging="154"/>
        <w:spacing w:after="0" w:line="248" w:lineRule="auto"/>
        <w:tabs>
          <w:tab w:leader="none" w:pos="1943" w:val="left"/>
        </w:tabs>
        <w:numPr>
          <w:ilvl w:val="1"/>
          <w:numId w:val="136"/>
        </w:numPr>
        <w:rPr>
          <w:rFonts w:ascii="Arial" w:cs="Arial" w:eastAsia="Arial" w:hAnsi="Arial"/>
          <w:sz w:val="22"/>
          <w:szCs w:val="22"/>
          <w:color w:val="auto"/>
        </w:rPr>
      </w:pPr>
      <w:r>
        <w:rPr>
          <w:rFonts w:ascii="Arial" w:cs="Arial" w:eastAsia="Arial" w:hAnsi="Arial"/>
          <w:sz w:val="22"/>
          <w:szCs w:val="22"/>
          <w:color w:val="auto"/>
        </w:rPr>
        <w:t>Before revocation or modification of Regeneron’s license, the Government shall furnish Regeneron with a written notice of its intention to revoke or modify the license, which notice shall include a detailed explanation of the reasons for such revocation or modification, and Regeneron shall be allowed thirty (30) calendar days (or such other time as may be authorized for good cause shown) after the notice to show cause why the license should not be revoked or modified.</w:t>
      </w:r>
    </w:p>
    <w:p>
      <w:pPr>
        <w:spacing w:after="0" w:line="212" w:lineRule="exact"/>
        <w:rPr>
          <w:rFonts w:ascii="Arial" w:cs="Arial" w:eastAsia="Arial" w:hAnsi="Arial"/>
          <w:sz w:val="22"/>
          <w:szCs w:val="22"/>
          <w:color w:val="auto"/>
        </w:rPr>
      </w:pPr>
    </w:p>
    <w:p>
      <w:pPr>
        <w:ind w:left="960" w:hanging="304"/>
        <w:spacing w:after="0"/>
        <w:tabs>
          <w:tab w:leader="none" w:pos="960" w:val="left"/>
        </w:tabs>
        <w:numPr>
          <w:ilvl w:val="0"/>
          <w:numId w:val="137"/>
        </w:numPr>
        <w:rPr>
          <w:rFonts w:ascii="Arial" w:cs="Arial" w:eastAsia="Arial" w:hAnsi="Arial"/>
          <w:sz w:val="22"/>
          <w:szCs w:val="22"/>
          <w:b w:val="1"/>
          <w:bCs w:val="1"/>
          <w:color w:val="auto"/>
        </w:rPr>
      </w:pPr>
      <w:r>
        <w:rPr>
          <w:rFonts w:ascii="Arial" w:cs="Arial" w:eastAsia="Arial" w:hAnsi="Arial"/>
          <w:sz w:val="22"/>
          <w:szCs w:val="22"/>
          <w:b w:val="1"/>
          <w:bCs w:val="1"/>
          <w:color w:val="auto"/>
        </w:rPr>
        <w:t>Action to Protect the Government’s Interest</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Regeneron agrees to execute or to have executed and promptly deliver to the Government all instruments necessary to</w:t>
      </w:r>
    </w:p>
    <w:p>
      <w:pPr>
        <w:spacing w:after="0" w:line="56" w:lineRule="exact"/>
        <w:rPr>
          <w:sz w:val="20"/>
          <w:szCs w:val="20"/>
          <w:color w:val="auto"/>
        </w:rPr>
      </w:pPr>
    </w:p>
    <w:p>
      <w:pPr>
        <w:ind w:firstLine="8"/>
        <w:spacing w:after="0" w:line="246" w:lineRule="auto"/>
        <w:tabs>
          <w:tab w:leader="none" w:pos="286" w:val="left"/>
        </w:tabs>
        <w:numPr>
          <w:ilvl w:val="0"/>
          <w:numId w:val="138"/>
        </w:numPr>
        <w:rPr>
          <w:rFonts w:ascii="Arial" w:cs="Arial" w:eastAsia="Arial" w:hAnsi="Arial"/>
          <w:sz w:val="22"/>
          <w:szCs w:val="22"/>
          <w:color w:val="auto"/>
        </w:rPr>
      </w:pPr>
      <w:r>
        <w:rPr>
          <w:rFonts w:ascii="Arial" w:cs="Arial" w:eastAsia="Arial" w:hAnsi="Arial"/>
          <w:sz w:val="22"/>
          <w:szCs w:val="22"/>
          <w:color w:val="auto"/>
        </w:rPr>
        <w:t>establish or confirm the rights the Government has throughout the world in those Subject Inventions to which Regeneron elects to retain title, and (ii) convey title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UNCLASSIFIED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CONFIDENTIAL/PROPRIETARY</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263" w:lineRule="auto"/>
        <w:rPr>
          <w:sz w:val="20"/>
          <w:szCs w:val="20"/>
          <w:color w:val="auto"/>
        </w:rPr>
      </w:pPr>
      <w:r>
        <w:rPr>
          <w:rFonts w:ascii="Arial" w:cs="Arial" w:eastAsia="Arial" w:hAnsi="Arial"/>
          <w:sz w:val="22"/>
          <w:szCs w:val="22"/>
          <w:color w:val="auto"/>
        </w:rPr>
        <w:t>the Government when requested under Subparagraph c of this Section 7.2 and to enable the Government to obtain patent protection throughout the world in that Subject Invention.</w:t>
      </w:r>
    </w:p>
    <w:p>
      <w:pPr>
        <w:spacing w:after="0" w:line="67" w:lineRule="exact"/>
        <w:rPr>
          <w:sz w:val="20"/>
          <w:szCs w:val="20"/>
          <w:color w:val="auto"/>
        </w:rPr>
      </w:pPr>
    </w:p>
    <w:p>
      <w:pPr>
        <w:jc w:val="both"/>
        <w:ind w:left="1640" w:hanging="167"/>
        <w:spacing w:after="0" w:line="246" w:lineRule="auto"/>
        <w:rPr>
          <w:sz w:val="20"/>
          <w:szCs w:val="20"/>
          <w:color w:val="auto"/>
        </w:rPr>
      </w:pPr>
      <w:r>
        <w:rPr>
          <w:rFonts w:ascii="Arial" w:cs="Arial" w:eastAsia="Arial" w:hAnsi="Arial"/>
          <w:sz w:val="22"/>
          <w:szCs w:val="22"/>
          <w:color w:val="auto"/>
        </w:rPr>
        <w:t>i. Regeneron agrees to require, by written agreement, its employees, other than clerical and non-technical employees, to disclose promptly in writing to personnel identified as responsible for the administration of patent matters and in a format suggested by Regeneron, each Subject Invention made under this Agreement so Regeneron can comply with the disclosure provisions of this Section 7.2. Regeneron shall use reasonable efforts to instruct employees, through employee agreements or other suitable educational programs, on the importance of reporting inventions in sufficient time to permit the filing of patent applications prior to U.S. or foreign statutory bars.</w:t>
      </w:r>
    </w:p>
    <w:p>
      <w:pPr>
        <w:spacing w:after="0" w:line="88" w:lineRule="exact"/>
        <w:rPr>
          <w:sz w:val="20"/>
          <w:szCs w:val="20"/>
          <w:color w:val="auto"/>
        </w:rPr>
      </w:pPr>
    </w:p>
    <w:p>
      <w:pPr>
        <w:jc w:val="both"/>
        <w:ind w:left="1620" w:hanging="154"/>
        <w:spacing w:after="0" w:line="250" w:lineRule="auto"/>
        <w:tabs>
          <w:tab w:leader="none" w:pos="1943" w:val="left"/>
        </w:tabs>
        <w:numPr>
          <w:ilvl w:val="0"/>
          <w:numId w:val="139"/>
        </w:numPr>
        <w:rPr>
          <w:rFonts w:ascii="Arial" w:cs="Arial" w:eastAsia="Arial" w:hAnsi="Arial"/>
          <w:sz w:val="22"/>
          <w:szCs w:val="22"/>
          <w:color w:val="auto"/>
        </w:rPr>
      </w:pPr>
      <w:r>
        <w:rPr>
          <w:rFonts w:ascii="Arial" w:cs="Arial" w:eastAsia="Arial" w:hAnsi="Arial"/>
          <w:sz w:val="22"/>
          <w:szCs w:val="22"/>
          <w:color w:val="auto"/>
        </w:rPr>
        <w:t>Regeneron shall notify the Government of any decisions not to continue the prosecution of a patent application for a Subject Invention, pay maintenance fees, or defend in a reexamination or opposition proceedings on a patent of a Subject Invention, in any country, not less than thirty (30) calendar days before the expiration of the response period required by the relevant patent office.</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Regeneron shall include, within the specification of any United States patent application and any patent issuing thereon covering a Subject Invention, the following statement: “This invention was made with Government support under Agreement </w:t>
      </w:r>
      <w:r>
        <w:rPr>
          <w:rFonts w:ascii="Arial" w:cs="Arial" w:eastAsia="Arial" w:hAnsi="Arial"/>
          <w:sz w:val="22"/>
          <w:szCs w:val="22"/>
          <w:b w:val="1"/>
          <w:bCs w:val="1"/>
          <w:color w:val="auto"/>
        </w:rPr>
        <w:t>MCDC2020-504</w:t>
      </w:r>
      <w:r>
        <w:rPr>
          <w:rFonts w:ascii="Arial" w:cs="Arial" w:eastAsia="Arial" w:hAnsi="Arial"/>
          <w:sz w:val="22"/>
          <w:szCs w:val="22"/>
          <w:color w:val="auto"/>
        </w:rPr>
        <w:t>, awarded by the U.S. Department of Health and Human Services. The Government has certain rights in the</w:t>
      </w:r>
      <w:r>
        <w:rPr>
          <w:rFonts w:ascii="Arial" w:cs="Arial" w:eastAsia="Arial" w:hAnsi="Arial"/>
          <w:sz w:val="22"/>
          <w:szCs w:val="22"/>
          <w:b w:val="1"/>
          <w:bCs w:val="1"/>
          <w:color w:val="auto"/>
        </w:rPr>
        <w:t xml:space="preserve"> </w:t>
      </w:r>
      <w:r>
        <w:rPr>
          <w:rFonts w:ascii="Arial" w:cs="Arial" w:eastAsia="Arial" w:hAnsi="Arial"/>
          <w:sz w:val="22"/>
          <w:szCs w:val="22"/>
          <w:color w:val="auto"/>
        </w:rPr>
        <w:t>invention.”</w:t>
      </w:r>
    </w:p>
    <w:p>
      <w:pPr>
        <w:spacing w:after="0" w:line="209"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22"/>
          <w:szCs w:val="22"/>
          <w:b w:val="1"/>
          <w:bCs w:val="1"/>
          <w:color w:val="auto"/>
        </w:rPr>
        <w:t>f.</w:t>
      </w:r>
      <w:r>
        <w:rPr>
          <w:sz w:val="20"/>
          <w:szCs w:val="20"/>
          <w:color w:val="auto"/>
        </w:rPr>
        <w:tab/>
      </w:r>
      <w:r>
        <w:rPr>
          <w:rFonts w:ascii="Arial" w:cs="Arial" w:eastAsia="Arial" w:hAnsi="Arial"/>
          <w:sz w:val="19"/>
          <w:szCs w:val="19"/>
          <w:b w:val="1"/>
          <w:bCs w:val="1"/>
          <w:color w:val="auto"/>
        </w:rPr>
        <w:t>Lower Tier Agreements</w:t>
      </w:r>
    </w:p>
    <w:p>
      <w:pPr>
        <w:spacing w:after="0" w:line="11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Regeneron shall ensure that its Affiliate agreements and Sub-Recipient Agreements regardless of tier, for experimental, developmental, or research work entered into after the Effective Date and submitted for reimbursement under this Agreement, contain invention reporting and assignment requirements sufficient to permit Regeneron to comply with this Section 7.2.</w:t>
      </w:r>
    </w:p>
    <w:p>
      <w:pPr>
        <w:spacing w:after="0" w:line="154" w:lineRule="exact"/>
        <w:rPr>
          <w:sz w:val="20"/>
          <w:szCs w:val="20"/>
          <w:color w:val="auto"/>
        </w:rPr>
      </w:pPr>
    </w:p>
    <w:p>
      <w:pPr>
        <w:ind w:left="980" w:hanging="324"/>
        <w:spacing w:after="0"/>
        <w:tabs>
          <w:tab w:leader="none" w:pos="980" w:val="left"/>
        </w:tabs>
        <w:numPr>
          <w:ilvl w:val="0"/>
          <w:numId w:val="140"/>
        </w:numPr>
        <w:rPr>
          <w:rFonts w:ascii="Arial" w:cs="Arial" w:eastAsia="Arial" w:hAnsi="Arial"/>
          <w:sz w:val="22"/>
          <w:szCs w:val="22"/>
          <w:b w:val="1"/>
          <w:bCs w:val="1"/>
          <w:color w:val="auto"/>
        </w:rPr>
      </w:pPr>
      <w:r>
        <w:rPr>
          <w:rFonts w:ascii="Arial" w:cs="Arial" w:eastAsia="Arial" w:hAnsi="Arial"/>
          <w:sz w:val="22"/>
          <w:szCs w:val="22"/>
          <w:b w:val="1"/>
          <w:bCs w:val="1"/>
          <w:color w:val="auto"/>
        </w:rPr>
        <w:t>Reporting on Utilization of Subject Inventions</w:t>
      </w:r>
    </w:p>
    <w:p>
      <w:pPr>
        <w:spacing w:after="0" w:line="117" w:lineRule="exact"/>
        <w:rPr>
          <w:rFonts w:ascii="Arial" w:cs="Arial" w:eastAsia="Arial" w:hAnsi="Arial"/>
          <w:sz w:val="22"/>
          <w:szCs w:val="22"/>
          <w:b w:val="1"/>
          <w:bCs w:val="1"/>
          <w:color w:val="auto"/>
        </w:rPr>
      </w:pPr>
    </w:p>
    <w:p>
      <w:pPr>
        <w:jc w:val="both"/>
        <w:ind w:left="1640" w:hanging="168"/>
        <w:spacing w:after="0" w:line="292" w:lineRule="auto"/>
        <w:tabs>
          <w:tab w:leader="none" w:pos="1640" w:val="left"/>
        </w:tabs>
        <w:numPr>
          <w:ilvl w:val="1"/>
          <w:numId w:val="140"/>
        </w:numPr>
        <w:rPr>
          <w:rFonts w:ascii="Arial" w:cs="Arial" w:eastAsia="Arial" w:hAnsi="Arial"/>
          <w:sz w:val="19"/>
          <w:szCs w:val="19"/>
          <w:color w:val="auto"/>
        </w:rPr>
      </w:pPr>
      <w:r>
        <w:rPr>
          <w:rFonts w:ascii="Arial" w:cs="Arial" w:eastAsia="Arial" w:hAnsi="Arial"/>
          <w:sz w:val="19"/>
          <w:szCs w:val="19"/>
          <w:color w:val="auto"/>
        </w:rPr>
        <w:t>Regeneron agrees to submit, during the term of this Project Agreement, an annual report on the utilization of a Subject Invention or on efforts at obtaining such utilization that is being made by Regeneron or its licensees or assignees. Such reports shall include information regarding the status of development, date of first commercial sale or use, and such other data and information as the agency may reasonably specify. Regeneron also agrees to provide additional reports as may be requested by the Government in connection with any march-in proceedings undertaken by the Government in accordance with Subparagraph h of this Section 7.2. Consistent with 35 U.S.C. § 202(c)(5), the Government agrees it shall not disclose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UNCLASSIFIED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CONFIDENTIAL/PROPRIETARY</w:t>
      </w:r>
    </w:p>
    <w:p>
      <w:pPr>
        <w:sectPr>
          <w:pgSz w:w="11900" w:h="16838" w:orient="portrait"/>
          <w:cols w:equalWidth="0" w:num="1">
            <w:col w:w="11240"/>
          </w:cols>
          <w:pgMar w:left="320" w:top="1428" w:right="339" w:bottom="1440" w:gutter="0" w:footer="0" w:header="0"/>
        </w:sectPr>
      </w:pPr>
    </w:p>
    <w:bookmarkStart w:id="208" w:name="page209"/>
    <w:bookmarkEnd w:id="208"/>
    <w:p>
      <w:pPr>
        <w:ind w:left="1640"/>
        <w:spacing w:after="0"/>
        <w:rPr>
          <w:sz w:val="20"/>
          <w:szCs w:val="20"/>
          <w:color w:val="auto"/>
        </w:rPr>
      </w:pPr>
      <w:r>
        <w:rPr>
          <w:rFonts w:ascii="Arial" w:cs="Arial" w:eastAsia="Arial" w:hAnsi="Arial"/>
          <w:sz w:val="22"/>
          <w:szCs w:val="22"/>
          <w:color w:val="auto"/>
        </w:rPr>
        <w:t>information to persons outside the Government without permission of Regeneron.</w:t>
      </w:r>
    </w:p>
    <w:p>
      <w:pPr>
        <w:spacing w:after="0" w:line="112" w:lineRule="exact"/>
        <w:rPr>
          <w:sz w:val="20"/>
          <w:szCs w:val="20"/>
          <w:color w:val="auto"/>
        </w:rPr>
      </w:pPr>
    </w:p>
    <w:p>
      <w:pPr>
        <w:ind w:left="660" w:right="2300" w:firstLine="806"/>
        <w:spacing w:after="0" w:line="409" w:lineRule="auto"/>
        <w:tabs>
          <w:tab w:leader="none" w:pos="1955" w:val="left"/>
        </w:tabs>
        <w:numPr>
          <w:ilvl w:val="1"/>
          <w:numId w:val="141"/>
        </w:numPr>
        <w:rPr>
          <w:rFonts w:ascii="Arial" w:cs="Arial" w:eastAsia="Arial" w:hAnsi="Arial"/>
          <w:sz w:val="22"/>
          <w:szCs w:val="22"/>
          <w:color w:val="auto"/>
        </w:rPr>
      </w:pPr>
      <w:r>
        <w:rPr>
          <w:rFonts w:ascii="Arial" w:cs="Arial" w:eastAsia="Arial" w:hAnsi="Arial"/>
          <w:sz w:val="22"/>
          <w:szCs w:val="22"/>
          <w:color w:val="auto"/>
        </w:rPr>
        <w:t xml:space="preserve">All required reports shall be submitted to the e-room, OTAS, OTAO, and OTTR. </w:t>
      </w:r>
      <w:r>
        <w:rPr>
          <w:rFonts w:ascii="Arial" w:cs="Arial" w:eastAsia="Arial" w:hAnsi="Arial"/>
          <w:sz w:val="22"/>
          <w:szCs w:val="22"/>
          <w:b w:val="1"/>
          <w:bCs w:val="1"/>
          <w:color w:val="auto"/>
        </w:rPr>
        <w:t>h. Compulsory Licensing Rights</w:t>
      </w:r>
    </w:p>
    <w:p>
      <w:pPr>
        <w:spacing w:after="0" w:line="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Regeneron agrees that, with respect to any Subject Invention in which it has retained title, the Government has the right to require Regeneron, an assignee, or exclusive licensee of a Subject Invention to grant a non-exclusive license to a responsible applicant or applicants, upon terms that are reasonable under the circumstances, and if Regeneron, assignee, or exclusive licensee refuses such a request, the Government has the right to grant such a license within the Field itself </w:t>
      </w:r>
      <w:r>
        <w:rPr>
          <w:rFonts w:ascii="Arial" w:cs="Arial" w:eastAsia="Arial" w:hAnsi="Arial"/>
          <w:sz w:val="22"/>
          <w:szCs w:val="22"/>
          <w:i w:val="1"/>
          <w:iCs w:val="1"/>
          <w:color w:val="auto"/>
        </w:rPr>
        <w:t>only</w:t>
      </w:r>
      <w:r>
        <w:rPr>
          <w:rFonts w:ascii="Arial" w:cs="Arial" w:eastAsia="Arial" w:hAnsi="Arial"/>
          <w:sz w:val="22"/>
          <w:szCs w:val="22"/>
          <w:color w:val="auto"/>
        </w:rPr>
        <w:t xml:space="preserve"> if the Government determines that:</w:t>
      </w:r>
    </w:p>
    <w:p>
      <w:pPr>
        <w:spacing w:after="0" w:line="219" w:lineRule="exact"/>
        <w:rPr>
          <w:sz w:val="20"/>
          <w:szCs w:val="20"/>
          <w:color w:val="auto"/>
        </w:rPr>
      </w:pPr>
    </w:p>
    <w:p>
      <w:pPr>
        <w:jc w:val="both"/>
        <w:ind w:left="1620" w:hanging="161"/>
        <w:spacing w:after="0" w:line="249" w:lineRule="auto"/>
        <w:rPr>
          <w:sz w:val="20"/>
          <w:szCs w:val="20"/>
          <w:color w:val="auto"/>
        </w:rPr>
      </w:pPr>
      <w:r>
        <w:rPr>
          <w:rFonts w:ascii="Arial" w:cs="Arial" w:eastAsia="Arial" w:hAnsi="Arial"/>
          <w:sz w:val="22"/>
          <w:szCs w:val="22"/>
          <w:color w:val="auto"/>
        </w:rPr>
        <w:t>i. Action is necessary to alleviate the following health or safety needs that may affect the United States and Regeneron (itself or through its assignee, subcontractor or licensee) is unwilling or unable to manufacture or supply the Subject Invention to address such needs:</w:t>
      </w:r>
    </w:p>
    <w:p>
      <w:pPr>
        <w:ind w:left="2920" w:hanging="320"/>
        <w:spacing w:after="0"/>
        <w:tabs>
          <w:tab w:leader="none" w:pos="292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Declaration for Public Health Emergency by the Secretary of HHS;</w:t>
      </w:r>
    </w:p>
    <w:p>
      <w:pPr>
        <w:spacing w:after="0" w:line="93" w:lineRule="exact"/>
        <w:rPr>
          <w:rFonts w:ascii="Arial" w:cs="Arial" w:eastAsia="Arial" w:hAnsi="Arial"/>
          <w:sz w:val="22"/>
          <w:szCs w:val="22"/>
          <w:color w:val="auto"/>
        </w:rPr>
      </w:pPr>
    </w:p>
    <w:p>
      <w:pPr>
        <w:jc w:val="both"/>
        <w:ind w:left="2920" w:hanging="320"/>
        <w:spacing w:after="0" w:line="253" w:lineRule="auto"/>
        <w:tabs>
          <w:tab w:leader="none" w:pos="292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Determination that there is a significant potential for a public Health emergency that has a significant potential to affect a national or health security of U.S. citizens as determined by the Secretary of HHS; or</w:t>
      </w:r>
    </w:p>
    <w:p>
      <w:pPr>
        <w:spacing w:after="0" w:line="77" w:lineRule="exact"/>
        <w:rPr>
          <w:rFonts w:ascii="Arial" w:cs="Arial" w:eastAsia="Arial" w:hAnsi="Arial"/>
          <w:sz w:val="22"/>
          <w:szCs w:val="22"/>
          <w:color w:val="auto"/>
        </w:rPr>
      </w:pPr>
    </w:p>
    <w:p>
      <w:pPr>
        <w:ind w:left="2920" w:hanging="320"/>
        <w:spacing w:after="0"/>
        <w:tabs>
          <w:tab w:leader="none" w:pos="292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Declaration by WHO Director General of a public health emergency of international concern.</w:t>
      </w:r>
    </w:p>
    <w:p>
      <w:pPr>
        <w:spacing w:after="0" w:line="27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7.3</w:t>
      </w:r>
      <w:r>
        <w:rPr>
          <w:sz w:val="20"/>
          <w:szCs w:val="20"/>
          <w:color w:val="auto"/>
        </w:rPr>
        <w:tab/>
      </w:r>
      <w:r>
        <w:rPr>
          <w:rFonts w:ascii="Arial" w:cs="Arial" w:eastAsia="Arial" w:hAnsi="Arial"/>
          <w:sz w:val="21"/>
          <w:szCs w:val="21"/>
          <w:b w:val="1"/>
          <w:bCs w:val="1"/>
          <w:color w:val="auto"/>
        </w:rPr>
        <w:t>DATA RIGHTS</w:t>
      </w:r>
    </w:p>
    <w:p>
      <w:pPr>
        <w:spacing w:after="0" w:line="247" w:lineRule="exact"/>
        <w:rPr>
          <w:sz w:val="20"/>
          <w:szCs w:val="20"/>
          <w:color w:val="auto"/>
        </w:rPr>
      </w:pPr>
    </w:p>
    <w:p>
      <w:pPr>
        <w:ind w:left="1300" w:hanging="968"/>
        <w:spacing w:after="0"/>
        <w:tabs>
          <w:tab w:leader="none" w:pos="1300" w:val="left"/>
        </w:tabs>
        <w:numPr>
          <w:ilvl w:val="0"/>
          <w:numId w:val="143"/>
        </w:numPr>
        <w:rPr>
          <w:rFonts w:ascii="Arial" w:cs="Arial" w:eastAsia="Arial" w:hAnsi="Arial"/>
          <w:sz w:val="22"/>
          <w:szCs w:val="22"/>
          <w:b w:val="1"/>
          <w:bCs w:val="1"/>
          <w:color w:val="auto"/>
        </w:rPr>
      </w:pPr>
      <w:r>
        <w:rPr>
          <w:rFonts w:ascii="Arial" w:cs="Arial" w:eastAsia="Arial" w:hAnsi="Arial"/>
          <w:sz w:val="22"/>
          <w:szCs w:val="22"/>
          <w:b w:val="1"/>
          <w:bCs w:val="1"/>
          <w:color w:val="auto"/>
        </w:rPr>
        <w:t>Allocation of Principal Rights</w:t>
      </w:r>
    </w:p>
    <w:p>
      <w:pPr>
        <w:spacing w:after="0" w:line="117" w:lineRule="exact"/>
        <w:rPr>
          <w:rFonts w:ascii="Arial" w:cs="Arial" w:eastAsia="Arial" w:hAnsi="Arial"/>
          <w:sz w:val="22"/>
          <w:szCs w:val="22"/>
          <w:b w:val="1"/>
          <w:bCs w:val="1"/>
          <w:color w:val="auto"/>
        </w:rPr>
      </w:pPr>
    </w:p>
    <w:p>
      <w:pPr>
        <w:jc w:val="both"/>
        <w:ind w:left="1960" w:hanging="164"/>
        <w:spacing w:after="0" w:line="288" w:lineRule="auto"/>
        <w:tabs>
          <w:tab w:leader="none" w:pos="1960" w:val="left"/>
        </w:tabs>
        <w:numPr>
          <w:ilvl w:val="1"/>
          <w:numId w:val="143"/>
        </w:numPr>
        <w:rPr>
          <w:rFonts w:ascii="Arial" w:cs="Arial" w:eastAsia="Arial" w:hAnsi="Arial"/>
          <w:sz w:val="19"/>
          <w:szCs w:val="19"/>
          <w:color w:val="auto"/>
        </w:rPr>
      </w:pPr>
      <w:r>
        <w:rPr>
          <w:rFonts w:ascii="Arial" w:cs="Arial" w:eastAsia="Arial" w:hAnsi="Arial"/>
          <w:sz w:val="19"/>
          <w:szCs w:val="19"/>
          <w:color w:val="auto"/>
        </w:rPr>
        <w:t>For Data produced under this SOW including Computer Software, to the extent developed with Government funds provided under this SOW, except as expressly provided elsewhere in this Project Agreement (including Section 7.3.b.), Regeneron grants to the Government a paid-up, nonexclusive, nontransferable, irrevocable, worldwide license in such Data (a) to exercise Government Purpose Rights for a period of ten (10) years following the production of such Data, (b) to exercise Unlimited Rights following the expiration of such ten (10)- year period. For Data produced under this Project Agreement, excluding Computer Software, to the extent developed with private funds and for other Data designated by Regeneron as “Limited Rights Data”, Regeneron grants to the Government a paid-up, nonexclusive, nontransferable, irrevocable, worldwide license in such Data to exercise Limited Rights. The Government will not obtain any rights in Computer Software produced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UNCLASSIFIED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CONFIDENTIAL/PROPRIETARY</w:t>
      </w:r>
    </w:p>
    <w:p>
      <w:pPr>
        <w:sectPr>
          <w:pgSz w:w="11900" w:h="16838" w:orient="portrait"/>
          <w:cols w:equalWidth="0" w:num="1">
            <w:col w:w="11240"/>
          </w:cols>
          <w:pgMar w:left="320" w:top="1428" w:right="339" w:bottom="1440" w:gutter="0" w:footer="0" w:header="0"/>
        </w:sectPr>
      </w:pPr>
    </w:p>
    <w:bookmarkStart w:id="209" w:name="page210"/>
    <w:bookmarkEnd w:id="209"/>
    <w:p>
      <w:pPr>
        <w:jc w:val="both"/>
        <w:ind w:left="1960"/>
        <w:spacing w:after="0" w:line="253" w:lineRule="auto"/>
        <w:rPr>
          <w:sz w:val="20"/>
          <w:szCs w:val="20"/>
          <w:color w:val="auto"/>
        </w:rPr>
      </w:pPr>
      <w:r>
        <w:rPr>
          <w:rFonts w:ascii="Arial" w:cs="Arial" w:eastAsia="Arial" w:hAnsi="Arial"/>
          <w:sz w:val="22"/>
          <w:szCs w:val="22"/>
          <w:color w:val="auto"/>
        </w:rPr>
        <w:t>under this Project Agreement to the extent developed with private funds. For certificates of analysis and batch records pertaining to drug product purchased under this Project Agreement, the Government shall have Unlimited Rights.</w:t>
      </w:r>
    </w:p>
    <w:p>
      <w:pPr>
        <w:spacing w:after="0" w:line="77" w:lineRule="exact"/>
        <w:rPr>
          <w:sz w:val="20"/>
          <w:szCs w:val="20"/>
          <w:color w:val="auto"/>
        </w:rPr>
      </w:pPr>
    </w:p>
    <w:p>
      <w:pPr>
        <w:jc w:val="both"/>
        <w:ind w:left="1960" w:hanging="164"/>
        <w:spacing w:after="0" w:line="260" w:lineRule="auto"/>
        <w:tabs>
          <w:tab w:leader="none" w:pos="2587" w:val="left"/>
        </w:tabs>
        <w:numPr>
          <w:ilvl w:val="2"/>
          <w:numId w:val="144"/>
        </w:numPr>
        <w:rPr>
          <w:rFonts w:ascii="Arial" w:cs="Arial" w:eastAsia="Arial" w:hAnsi="Arial"/>
          <w:sz w:val="21"/>
          <w:szCs w:val="21"/>
          <w:color w:val="auto"/>
        </w:rPr>
      </w:pPr>
      <w:r>
        <w:rPr>
          <w:rFonts w:ascii="Arial" w:cs="Arial" w:eastAsia="Arial" w:hAnsi="Arial"/>
          <w:sz w:val="21"/>
          <w:szCs w:val="21"/>
          <w:color w:val="auto"/>
        </w:rPr>
        <w:t>Regeneron agrees to retain and maintain in good condition all Data produced under this Project Agreement and necessary to achieve Practical Application of any Subject Invention in accordance with Regeneron’s established record retention practices. In the event of an exercise of the Government’s compulsory licensing rights as set forth under Section 7.2.h., Regeneron agrees, upon written request from the Government, to deliver at no additional cost to the Government, all existing Data produced under this Project Agreement necessary to achieve Practical Application of the relevant Subject Invention within sixty (60) calendar days from the date of the written request.</w:t>
      </w:r>
    </w:p>
    <w:p>
      <w:pPr>
        <w:spacing w:after="0" w:line="72" w:lineRule="exact"/>
        <w:rPr>
          <w:rFonts w:ascii="Arial" w:cs="Arial" w:eastAsia="Arial" w:hAnsi="Arial"/>
          <w:sz w:val="21"/>
          <w:szCs w:val="21"/>
          <w:color w:val="auto"/>
        </w:rPr>
      </w:pPr>
    </w:p>
    <w:p>
      <w:pPr>
        <w:jc w:val="both"/>
        <w:ind w:left="1960" w:hanging="332"/>
        <w:spacing w:after="0" w:line="302" w:lineRule="auto"/>
        <w:tabs>
          <w:tab w:leader="none" w:pos="1951" w:val="left"/>
        </w:tabs>
        <w:numPr>
          <w:ilvl w:val="1"/>
          <w:numId w:val="145"/>
        </w:numPr>
        <w:rPr>
          <w:rFonts w:ascii="Arial" w:cs="Arial" w:eastAsia="Arial" w:hAnsi="Arial"/>
          <w:sz w:val="19"/>
          <w:szCs w:val="19"/>
          <w:color w:val="auto"/>
        </w:rPr>
      </w:pPr>
      <w:r>
        <w:rPr>
          <w:rFonts w:ascii="Arial" w:cs="Arial" w:eastAsia="Arial" w:hAnsi="Arial"/>
          <w:sz w:val="19"/>
          <w:szCs w:val="19"/>
          <w:color w:val="auto"/>
        </w:rPr>
        <w:t>Regeneron’s right to use Data is not restricted and includes the right under Regeneron’s established business policies to make public research Data (especially human research Data) by publication in the scientific literature, by making trial protocols, trial results summaries, and clinical studies reports publicly available, and by making trial patient-level data available for third-party analysis.</w:t>
      </w:r>
    </w:p>
    <w:p>
      <w:pPr>
        <w:spacing w:after="0" w:line="163" w:lineRule="exact"/>
        <w:rPr>
          <w:rFonts w:ascii="Arial" w:cs="Arial" w:eastAsia="Arial" w:hAnsi="Arial"/>
          <w:sz w:val="19"/>
          <w:szCs w:val="19"/>
          <w:color w:val="auto"/>
        </w:rPr>
      </w:pPr>
    </w:p>
    <w:p>
      <w:pPr>
        <w:ind w:left="1300" w:hanging="968"/>
        <w:spacing w:after="0"/>
        <w:tabs>
          <w:tab w:leader="none" w:pos="1300" w:val="left"/>
        </w:tabs>
        <w:numPr>
          <w:ilvl w:val="0"/>
          <w:numId w:val="146"/>
        </w:numPr>
        <w:rPr>
          <w:rFonts w:ascii="Arial" w:cs="Arial" w:eastAsia="Arial" w:hAnsi="Arial"/>
          <w:sz w:val="22"/>
          <w:szCs w:val="22"/>
          <w:b w:val="1"/>
          <w:bCs w:val="1"/>
          <w:color w:val="auto"/>
        </w:rPr>
      </w:pPr>
      <w:r>
        <w:rPr>
          <w:rFonts w:ascii="Arial" w:cs="Arial" w:eastAsia="Arial" w:hAnsi="Arial"/>
          <w:sz w:val="22"/>
          <w:szCs w:val="22"/>
          <w:b w:val="1"/>
          <w:bCs w:val="1"/>
          <w:color w:val="auto"/>
        </w:rPr>
        <w:t>Proprietary Manufacturing Data</w:t>
      </w:r>
    </w:p>
    <w:p>
      <w:pPr>
        <w:spacing w:after="0" w:line="1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Notwithstanding anything to the contrary in this Project Agreement, Regeneron retains all rights in and to Data relating to or comprising Regeneron’s proprietary manufacturing technology and processes, including any trade secrets, Chemistry, Manufacturing and Controls information (CMC Data), and Data concerning or arising from test method development, device or delivery system development, assay development, formulation, quality assurance/quality control development, technology transfer, process development and scale-up and cell-line development, and the Government shall have no rights to use such Data independently from this Agreement or to disclose such Data to any third party. Regeneron may designate certain Data concerning its manufacturing activities as Limited Rights Data, in which case the Government shall have Limited Rights in and to such Data. Regeneron will use reasonable efforts to mark any Limited Rights Data delivered under this Project Agreement with appropriate Limited Rights markings.</w:t>
      </w:r>
    </w:p>
    <w:p>
      <w:pPr>
        <w:spacing w:after="0" w:line="200" w:lineRule="exact"/>
        <w:rPr>
          <w:sz w:val="20"/>
          <w:szCs w:val="20"/>
          <w:color w:val="auto"/>
        </w:rPr>
      </w:pPr>
    </w:p>
    <w:p>
      <w:pPr>
        <w:ind w:left="1300" w:hanging="968"/>
        <w:spacing w:after="0"/>
        <w:tabs>
          <w:tab w:leader="none" w:pos="1300" w:val="left"/>
        </w:tabs>
        <w:numPr>
          <w:ilvl w:val="0"/>
          <w:numId w:val="147"/>
        </w:numPr>
        <w:rPr>
          <w:rFonts w:ascii="Arial" w:cs="Arial" w:eastAsia="Arial" w:hAnsi="Arial"/>
          <w:sz w:val="22"/>
          <w:szCs w:val="22"/>
          <w:b w:val="1"/>
          <w:bCs w:val="1"/>
          <w:color w:val="auto"/>
        </w:rPr>
      </w:pPr>
      <w:r>
        <w:rPr>
          <w:rFonts w:ascii="Arial" w:cs="Arial" w:eastAsia="Arial" w:hAnsi="Arial"/>
          <w:sz w:val="22"/>
          <w:szCs w:val="22"/>
          <w:b w:val="1"/>
          <w:bCs w:val="1"/>
          <w:color w:val="auto"/>
        </w:rPr>
        <w:t>Identification and Disposition of Data</w:t>
      </w:r>
    </w:p>
    <w:p>
      <w:pPr>
        <w:spacing w:after="0" w:line="11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Regeneron shall keep copies of all Data relevant to this Project Agreement as required by the Food and Drug Administration (FDA) for the time specified by the FDA. The Government reserves the right to review any other data determined by the Government to be relevant to this Agreement. The Government further acknowledges that Regeneron holds the commercialization rights for all products developed under this Agreement in the U.S. and will be responsible for their registration with the FDA. This provision is subject to any applicable limitations on the Government’s rights under Article VIII.B.a-b of the BARDA OTA.</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UNCLASSIFIED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CONFIDENTIAL/PROPRIETARY</w:t>
      </w:r>
    </w:p>
    <w:p>
      <w:pPr>
        <w:sectPr>
          <w:pgSz w:w="11900" w:h="16838" w:orient="portrait"/>
          <w:cols w:equalWidth="0" w:num="1">
            <w:col w:w="11240"/>
          </w:cols>
          <w:pgMar w:left="320" w:top="1428" w:right="339" w:bottom="1440" w:gutter="0" w:footer="0" w:header="0"/>
        </w:sectPr>
      </w:pPr>
    </w:p>
    <w:bookmarkStart w:id="210" w:name="page211"/>
    <w:bookmarkEnd w:id="210"/>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7.4</w:t>
      </w:r>
      <w:r>
        <w:rPr>
          <w:sz w:val="20"/>
          <w:szCs w:val="20"/>
          <w:color w:val="auto"/>
        </w:rPr>
        <w:tab/>
      </w:r>
      <w:r>
        <w:rPr>
          <w:rFonts w:ascii="Arial" w:cs="Arial" w:eastAsia="Arial" w:hAnsi="Arial"/>
          <w:sz w:val="21"/>
          <w:szCs w:val="21"/>
          <w:b w:val="1"/>
          <w:bCs w:val="1"/>
          <w:color w:val="auto"/>
        </w:rPr>
        <w:t>REGULATORY RIGHTS</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The Contractor agrees to the following:</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 Regulatory Data. Regeneron shall provide to the OTTR and OTAS copies of formal FDA submissions pertaining to the scope of the project, no later than 10 business days before submission to the FDA. For clarity, CMC Data included in such submissions shall be subject to Section 7.3.b.</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b. Rights of Reference. Upon mutual agreement, Regeneron will grant to the Government a right of reference to any Regulatory Application submitted in support of this Project Agreement, solely for the purpose of the Government conducting a clinical trial with the drug product supplied under this Project Agreement under a protocol approved by Regeneron for performance by the Government. In such a case, Regeneron agrees to provide a letter of cross-reference to the Government and file such letter with the appropriate FDA office. Nothing in this paragraph reduces the Government’s data rights as articulated in other provisions of this award.</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c. Clause 7.4.b. will survive the acquisition or merger of the Contractor by or with a third party. This clause will survive the expiration of this contract.</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7.5 PREP Act Coverage. It is the intent of the Parties that the drug product provided pursuant to this Agreement be covered by the March 10, 2020 declaration under the Public Readiness and Emergency Preparedness Act (PREP Act), 42 U.S.C. § 247d-6d, 85 Fed Reg. 15,198 (March 17, 2020), or any amendments thereto that provides liability protection for such use. Based on an independent review by each of the Parties of the PREP Act Declaration issued by DHHS on March 10, 2020, pursuant to section 319F-3 of the Public Health Service Act (42 U.S.C. 247d-6d), and a related advisory opinion issued by the DHHS Office of General Counsel on April 14, 2020, the Parties believe that Regeneron is a covered person eligible for immunity under the PREP Act for activities related to medical countermeasures against COVID-19. To the extent DoD or BARDA is authorized to do so as an Authority Having Jurisdiction, the Government designates Regeneron as a covered person eligible for immunity under the PREP Act Declaration issued by DHHS on March 10, 2020, pursuant to section 319F-3 of the Public Health Service Act (42 U.S.C. 247d-6d), for activities related to medical countermeasures against COVID-19. The Government further warrants that the drug product provided pursuant to this Project Agreement will not be (a) sold to any entity nor will it be returned after acceptance under the terms of this contract or (b) distributed or used, or authorized for distribution or use, outside the United States or to the extent such activities are not protected from liability under an active PREP Act declaration.</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7.6 Transparency. To the extent permitted under applicable laws, the Government will provide Regeneron in a timely manner copies of reports concerning this Project Agreement that are provided to other Government agencies or legislative or executive branches of the government.</w:t>
      </w:r>
    </w:p>
    <w:p>
      <w:pPr>
        <w:spacing w:after="0" w:line="206"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auto"/>
        </w:rPr>
        <w:t>8.0</w:t>
        <w:tab/>
        <w:t>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UNCLASSIFIED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CONFIDENTIAL/PROPRIETARY</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The security classification level for this effort is UNCLASSIFIED.</w:t>
      </w:r>
    </w:p>
    <w:p>
      <w:pPr>
        <w:spacing w:after="0" w:line="24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auto"/>
        </w:rPr>
        <w:t>9.0</w:t>
      </w:r>
      <w:r>
        <w:rPr>
          <w:sz w:val="20"/>
          <w:szCs w:val="20"/>
          <w:color w:val="auto"/>
        </w:rPr>
        <w:tab/>
      </w:r>
      <w:r>
        <w:rPr>
          <w:rFonts w:ascii="Arial" w:cs="Arial" w:eastAsia="Arial" w:hAnsi="Arial"/>
          <w:sz w:val="21"/>
          <w:szCs w:val="21"/>
          <w:b w:val="1"/>
          <w:bCs w:val="1"/>
          <w:color w:val="auto"/>
        </w:rPr>
        <w:t>MISCELLANEOUS REQUIREMENTS (SAFETY, ENVIRONMENTAL, ETC.)</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N/A</w:t>
      </w:r>
    </w:p>
    <w:p>
      <w:pPr>
        <w:spacing w:after="0" w:line="24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10.0</w:t>
        <w:tab/>
        <w:t>GOVERNMENT FURNISHED PROPERTY/MATERIAL/INFORMATION</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41"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11.0</w:t>
      </w:r>
      <w:r>
        <w:rPr>
          <w:sz w:val="20"/>
          <w:szCs w:val="20"/>
          <w:color w:val="auto"/>
        </w:rPr>
        <w:tab/>
      </w:r>
      <w:r>
        <w:rPr>
          <w:rFonts w:ascii="Arial" w:cs="Arial" w:eastAsia="Arial" w:hAnsi="Arial"/>
          <w:sz w:val="21"/>
          <w:szCs w:val="21"/>
          <w:b w:val="1"/>
          <w:bCs w:val="1"/>
          <w:color w:val="auto"/>
        </w:rPr>
        <w:t>AGREEMENTS OFFICER’S REPRESENTATIVE (AOR) AND ALTERNATE AOR CONTACT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AOR</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EMAIL: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PHONE: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AGENCY NAME/DIVISION/SECTION: HHS/ASPR/BARDA</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Alternate AOR</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MAILING ADDRESS: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EMAIL: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PHONE: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AGENCY NAME/DIVISION/SECTION: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69862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22">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Requiring Activity:</w:t>
      </w:r>
    </w:p>
    <w:p>
      <w:pPr>
        <w:spacing w:after="0" w:line="58" w:lineRule="exact"/>
        <w:rPr>
          <w:sz w:val="20"/>
          <w:szCs w:val="20"/>
          <w:color w:val="auto"/>
        </w:rPr>
      </w:pPr>
    </w:p>
    <w:p>
      <w:pPr>
        <w:ind w:left="20" w:right="320"/>
        <w:spacing w:after="0" w:line="263" w:lineRule="auto"/>
        <w:rPr>
          <w:sz w:val="20"/>
          <w:szCs w:val="20"/>
          <w:color w:val="auto"/>
        </w:rPr>
      </w:pPr>
      <w:r>
        <w:rPr>
          <w:rFonts w:ascii="Arial" w:cs="Arial" w:eastAsia="Arial" w:hAnsi="Arial"/>
          <w:sz w:val="22"/>
          <w:szCs w:val="22"/>
          <w:color w:val="auto"/>
        </w:rPr>
        <w:t>US Department of Health &amp; Human Services (HHS), Assistant Secretary for Preparedness and Response (ASPR), Biomedical Advanced Research and Development Authority (BARDA)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698627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23">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UNCLASSIFIED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CONFIDENTIAL/PROPRIETARY</w:t>
      </w:r>
    </w:p>
    <w:p>
      <w:pPr>
        <w:sectPr>
          <w:pgSz w:w="11900" w:h="16838" w:orient="portrait"/>
          <w:cols w:equalWidth="0" w:num="1">
            <w:col w:w="11240"/>
          </w:cols>
          <w:pgMar w:left="320" w:top="1440" w:right="339" w:bottom="1440" w:gutter="0" w:footer="0" w:header="0"/>
        </w:sectPr>
      </w:pPr>
    </w:p>
    <w:bookmarkStart w:id="212" w:name="page213"/>
    <w:bookmarkEnd w:id="212"/>
    <w:p>
      <w:pPr>
        <w:jc w:val="center"/>
        <w:ind w:right="-79"/>
        <w:spacing w:after="0"/>
        <w:rPr>
          <w:sz w:val="20"/>
          <w:szCs w:val="20"/>
          <w:color w:val="auto"/>
        </w:rPr>
      </w:pPr>
      <w:r>
        <w:rPr>
          <w:rFonts w:ascii="Arial" w:cs="Arial" w:eastAsia="Arial" w:hAnsi="Arial"/>
          <w:sz w:val="22"/>
          <w:szCs w:val="22"/>
          <w:color w:val="auto"/>
        </w:rPr>
        <w:t>Definitions Appendix</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Computer Software: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To perform and further this Project Agreement:</w:t>
      </w:r>
    </w:p>
    <w:p>
      <w:pPr>
        <w:spacing w:after="0" w:line="220" w:lineRule="exact"/>
        <w:rPr>
          <w:sz w:val="20"/>
          <w:szCs w:val="20"/>
          <w:color w:val="auto"/>
        </w:rPr>
      </w:pPr>
    </w:p>
    <w:p>
      <w:pPr>
        <w:ind w:right="720"/>
        <w:spacing w:after="0" w:line="343" w:lineRule="auto"/>
        <w:rPr>
          <w:sz w:val="20"/>
          <w:szCs w:val="20"/>
          <w:color w:val="auto"/>
        </w:rPr>
      </w:pPr>
      <w:r>
        <w:rPr>
          <w:rFonts w:ascii="Arial" w:cs="Arial" w:eastAsia="Arial" w:hAnsi="Arial"/>
          <w:sz w:val="19"/>
          <w:szCs w:val="19"/>
          <w:color w:val="auto"/>
        </w:rPr>
        <w:t>Computer programs that comprise a series of instructions, rules, routines, or statements, regardless of the media in which recorded, that allow or cause a computer to perform a specific operation or series of operations; and</w:t>
      </w:r>
    </w:p>
    <w:p>
      <w:pPr>
        <w:spacing w:after="0" w:line="104" w:lineRule="exact"/>
        <w:rPr>
          <w:sz w:val="20"/>
          <w:szCs w:val="20"/>
          <w:color w:val="auto"/>
        </w:rPr>
      </w:pPr>
    </w:p>
    <w:p>
      <w:pPr>
        <w:ind w:right="220"/>
        <w:spacing w:after="0" w:line="263" w:lineRule="auto"/>
        <w:rPr>
          <w:sz w:val="20"/>
          <w:szCs w:val="20"/>
          <w:color w:val="auto"/>
        </w:rPr>
      </w:pPr>
      <w:r>
        <w:rPr>
          <w:rFonts w:ascii="Arial" w:cs="Arial" w:eastAsia="Arial" w:hAnsi="Arial"/>
          <w:sz w:val="22"/>
          <w:szCs w:val="22"/>
          <w:color w:val="auto"/>
        </w:rPr>
        <w:t>Recorded information comprising source code listings, design details, algorithms, processes, flow charts, formulas, and related material that would enable the computer program to be produced, created, or compiled.</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Does not include computer databases or computer software documentation.</w:t>
      </w:r>
    </w:p>
    <w:p>
      <w:pPr>
        <w:spacing w:after="0" w:line="214" w:lineRule="exact"/>
        <w:rPr>
          <w:sz w:val="20"/>
          <w:szCs w:val="20"/>
          <w:color w:val="auto"/>
        </w:rPr>
      </w:pPr>
    </w:p>
    <w:p>
      <w:pPr>
        <w:ind w:right="300"/>
        <w:spacing w:after="0" w:line="256" w:lineRule="auto"/>
        <w:rPr>
          <w:sz w:val="20"/>
          <w:szCs w:val="20"/>
          <w:color w:val="auto"/>
        </w:rPr>
      </w:pPr>
      <w:r>
        <w:rPr>
          <w:rFonts w:ascii="Arial" w:cs="Arial" w:eastAsia="Arial" w:hAnsi="Arial"/>
          <w:sz w:val="22"/>
          <w:szCs w:val="22"/>
          <w:b w:val="1"/>
          <w:bCs w:val="1"/>
          <w:color w:val="auto"/>
        </w:rPr>
        <w:t xml:space="preserve">Data: </w:t>
      </w:r>
      <w:r>
        <w:rPr>
          <w:rFonts w:ascii="Arial" w:cs="Arial" w:eastAsia="Arial" w:hAnsi="Arial"/>
          <w:sz w:val="22"/>
          <w:szCs w:val="22"/>
          <w:color w:val="auto"/>
        </w:rPr>
        <w:t>Means recorded information, regardless of form or the media on which it may be recorded. The term includes technical</w:t>
      </w:r>
      <w:r>
        <w:rPr>
          <w:rFonts w:ascii="Arial" w:cs="Arial" w:eastAsia="Arial" w:hAnsi="Arial"/>
          <w:sz w:val="22"/>
          <w:szCs w:val="22"/>
          <w:b w:val="1"/>
          <w:bCs w:val="1"/>
          <w:color w:val="auto"/>
        </w:rPr>
        <w:t xml:space="preserve"> </w:t>
      </w:r>
      <w:r>
        <w:rPr>
          <w:rFonts w:ascii="Arial" w:cs="Arial" w:eastAsia="Arial" w:hAnsi="Arial"/>
          <w:sz w:val="22"/>
          <w:szCs w:val="22"/>
          <w:color w:val="auto"/>
        </w:rPr>
        <w:t>data and Computer Software. The term does not include information incidental to contract administration, such as financial, administrative, cost or pricing, or management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Field: </w:t>
      </w:r>
      <w:r>
        <w:rPr>
          <w:rFonts w:ascii="Arial" w:cs="Arial" w:eastAsia="Arial" w:hAnsi="Arial"/>
          <w:sz w:val="22"/>
          <w:szCs w:val="22"/>
          <w:color w:val="auto"/>
        </w:rPr>
        <w:t>The development of anti-pathogen assets to treat, diagnose or prevent emerging infectious diseases.</w:t>
      </w:r>
    </w:p>
    <w:p>
      <w:pPr>
        <w:spacing w:after="0" w:line="220" w:lineRule="exact"/>
        <w:rPr>
          <w:sz w:val="20"/>
          <w:szCs w:val="20"/>
          <w:color w:val="auto"/>
        </w:rPr>
      </w:pPr>
    </w:p>
    <w:p>
      <w:pPr>
        <w:ind w:right="220"/>
        <w:spacing w:after="0" w:line="315" w:lineRule="auto"/>
        <w:rPr>
          <w:sz w:val="20"/>
          <w:szCs w:val="20"/>
          <w:color w:val="auto"/>
        </w:rPr>
      </w:pPr>
      <w:r>
        <w:rPr>
          <w:rFonts w:ascii="Arial" w:cs="Arial" w:eastAsia="Arial" w:hAnsi="Arial"/>
          <w:sz w:val="19"/>
          <w:szCs w:val="19"/>
          <w:b w:val="1"/>
          <w:bCs w:val="1"/>
          <w:color w:val="auto"/>
        </w:rPr>
        <w:t xml:space="preserve">Government: </w:t>
      </w:r>
      <w:r>
        <w:rPr>
          <w:rFonts w:ascii="Arial" w:cs="Arial" w:eastAsia="Arial" w:hAnsi="Arial"/>
          <w:sz w:val="19"/>
          <w:szCs w:val="19"/>
          <w:color w:val="auto"/>
        </w:rPr>
        <w:t>The United States of America, as represented by the Department of Health &amp; Human Services (“Government”),</w:t>
      </w:r>
      <w:r>
        <w:rPr>
          <w:rFonts w:ascii="Arial" w:cs="Arial" w:eastAsia="Arial" w:hAnsi="Arial"/>
          <w:sz w:val="19"/>
          <w:szCs w:val="19"/>
          <w:b w:val="1"/>
          <w:bCs w:val="1"/>
          <w:color w:val="auto"/>
        </w:rPr>
        <w:t xml:space="preserve"> </w:t>
      </w:r>
      <w:r>
        <w:rPr>
          <w:rFonts w:ascii="Arial" w:cs="Arial" w:eastAsia="Arial" w:hAnsi="Arial"/>
          <w:sz w:val="19"/>
          <w:szCs w:val="19"/>
          <w:color w:val="auto"/>
        </w:rPr>
        <w:t>Office of the Assistant Secretary for Preparedness &amp; Response (“ASPR”), Office of Biomedical Advanced Research and Development (“BARDA”) (represented by Office of Acquisition Management, Contracts and Grants (AMCG)).</w:t>
      </w:r>
    </w:p>
    <w:p>
      <w:pPr>
        <w:spacing w:after="0" w:line="125" w:lineRule="exact"/>
        <w:rPr>
          <w:sz w:val="20"/>
          <w:szCs w:val="20"/>
          <w:color w:val="auto"/>
        </w:rPr>
      </w:pPr>
    </w:p>
    <w:p>
      <w:pPr>
        <w:spacing w:after="0" w:line="249" w:lineRule="auto"/>
        <w:rPr>
          <w:sz w:val="20"/>
          <w:szCs w:val="20"/>
          <w:color w:val="auto"/>
        </w:rPr>
      </w:pPr>
      <w:r>
        <w:rPr>
          <w:rFonts w:ascii="Arial" w:cs="Arial" w:eastAsia="Arial" w:hAnsi="Arial"/>
          <w:sz w:val="22"/>
          <w:szCs w:val="22"/>
          <w:b w:val="1"/>
          <w:bCs w:val="1"/>
          <w:color w:val="auto"/>
        </w:rPr>
        <w:t xml:space="preserve">Government Purpose: </w:t>
      </w:r>
      <w:r>
        <w:rPr>
          <w:rFonts w:ascii="Arial" w:cs="Arial" w:eastAsia="Arial" w:hAnsi="Arial"/>
          <w:sz w:val="22"/>
          <w:szCs w:val="22"/>
          <w:color w:val="auto"/>
        </w:rPr>
        <w:t>Any activity in which the United States Government is a party, including cooperative agreements with</w:t>
      </w:r>
      <w:r>
        <w:rPr>
          <w:rFonts w:ascii="Arial" w:cs="Arial" w:eastAsia="Arial" w:hAnsi="Arial"/>
          <w:sz w:val="22"/>
          <w:szCs w:val="22"/>
          <w:b w:val="1"/>
          <w:bCs w:val="1"/>
          <w:color w:val="auto"/>
        </w:rPr>
        <w:t xml:space="preserve"> </w:t>
      </w:r>
      <w:r>
        <w:rPr>
          <w:rFonts w:ascii="Arial" w:cs="Arial" w:eastAsia="Arial" w:hAnsi="Arial"/>
          <w:sz w:val="22"/>
          <w:szCs w:val="22"/>
          <w:color w:val="auto"/>
        </w:rPr>
        <w:t>international or multi-national defense organizations, or sales or transfers by the United States Government to foreign governments or international organizations. Government purposes include competitive procurement, but do not include the rights to use, modify, reproduce, release, perform, display, or disclose technical data for commercial purposes or authorize others to do so.</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Government Purpose Rights: </w:t>
      </w:r>
      <w:r>
        <w:rPr>
          <w:rFonts w:ascii="Arial" w:cs="Arial" w:eastAsia="Arial" w:hAnsi="Arial"/>
          <w:sz w:val="22"/>
          <w:szCs w:val="22"/>
          <w:color w:val="auto"/>
        </w:rPr>
        <w:t>The rights by Government to—</w:t>
      </w:r>
    </w:p>
    <w:p>
      <w:pPr>
        <w:spacing w:after="0" w:line="226" w:lineRule="exact"/>
        <w:rPr>
          <w:sz w:val="20"/>
          <w:szCs w:val="20"/>
          <w:color w:val="auto"/>
        </w:rPr>
      </w:pPr>
    </w:p>
    <w:p>
      <w:pPr>
        <w:ind w:left="440" w:hanging="432"/>
        <w:spacing w:after="0"/>
        <w:tabs>
          <w:tab w:leader="none" w:pos="44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Use, modify, reproduce, release, perform, display, or disclose technical data within the Government without restriction; and</w:t>
      </w:r>
    </w:p>
    <w:p>
      <w:pPr>
        <w:spacing w:after="0" w:line="254" w:lineRule="exact"/>
        <w:rPr>
          <w:rFonts w:ascii="Arial" w:cs="Arial" w:eastAsia="Arial" w:hAnsi="Arial"/>
          <w:sz w:val="19"/>
          <w:szCs w:val="19"/>
          <w:color w:val="auto"/>
        </w:rPr>
      </w:pPr>
    </w:p>
    <w:p>
      <w:pPr>
        <w:ind w:right="340" w:firstLine="8"/>
        <w:spacing w:after="0" w:line="343" w:lineRule="auto"/>
        <w:tabs>
          <w:tab w:leader="none" w:pos="432" w:val="left"/>
        </w:tabs>
        <w:numPr>
          <w:ilvl w:val="0"/>
          <w:numId w:val="148"/>
        </w:numPr>
        <w:rPr>
          <w:rFonts w:ascii="Arial" w:cs="Arial" w:eastAsia="Arial" w:hAnsi="Arial"/>
          <w:sz w:val="19"/>
          <w:szCs w:val="19"/>
          <w:color w:val="auto"/>
        </w:rPr>
      </w:pPr>
      <w:r>
        <w:rPr>
          <w:rFonts w:ascii="Arial" w:cs="Arial" w:eastAsia="Arial" w:hAnsi="Arial"/>
          <w:sz w:val="19"/>
          <w:szCs w:val="19"/>
          <w:color w:val="auto"/>
        </w:rPr>
        <w:t>Release or disclose technical data outside the Government and authorize persons to whom release or disclosure has been made to use, modify, reproduce, release, perform, display, or disclose that data for United States Government Purpose.</w:t>
      </w:r>
    </w:p>
    <w:p>
      <w:pPr>
        <w:spacing w:after="0" w:line="98" w:lineRule="exact"/>
        <w:rPr>
          <w:sz w:val="20"/>
          <w:szCs w:val="20"/>
          <w:color w:val="auto"/>
        </w:rPr>
      </w:pPr>
    </w:p>
    <w:p>
      <w:pPr>
        <w:ind w:right="180"/>
        <w:spacing w:after="0" w:line="269" w:lineRule="auto"/>
        <w:rPr>
          <w:sz w:val="20"/>
          <w:szCs w:val="20"/>
          <w:color w:val="auto"/>
        </w:rPr>
      </w:pPr>
      <w:r>
        <w:rPr>
          <w:rFonts w:ascii="Arial" w:cs="Arial" w:eastAsia="Arial" w:hAnsi="Arial"/>
          <w:sz w:val="22"/>
          <w:szCs w:val="22"/>
          <w:b w:val="1"/>
          <w:bCs w:val="1"/>
          <w:color w:val="auto"/>
        </w:rPr>
        <w:t xml:space="preserve">Invention: </w:t>
      </w:r>
      <w:r>
        <w:rPr>
          <w:rFonts w:ascii="Arial" w:cs="Arial" w:eastAsia="Arial" w:hAnsi="Arial"/>
          <w:sz w:val="22"/>
          <w:szCs w:val="22"/>
          <w:color w:val="auto"/>
        </w:rPr>
        <w:t>Any invention or discovery that is or may be patentable or otherwise protectable under Title 35 of the United States</w:t>
      </w:r>
      <w:r>
        <w:rPr>
          <w:rFonts w:ascii="Arial" w:cs="Arial" w:eastAsia="Arial" w:hAnsi="Arial"/>
          <w:sz w:val="22"/>
          <w:szCs w:val="22"/>
          <w:b w:val="1"/>
          <w:bCs w:val="1"/>
          <w:color w:val="auto"/>
        </w:rPr>
        <w:t xml:space="preserve"> </w:t>
      </w:r>
      <w:r>
        <w:rPr>
          <w:rFonts w:ascii="Arial" w:cs="Arial" w:eastAsia="Arial" w:hAnsi="Arial"/>
          <w:sz w:val="22"/>
          <w:szCs w:val="22"/>
          <w:color w:val="auto"/>
        </w:rPr>
        <w:t>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UNCLASSIFIED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CONFIDENTIAL/PROPRIETARY</w:t>
      </w:r>
    </w:p>
    <w:p>
      <w:pPr>
        <w:sectPr>
          <w:pgSz w:w="11900" w:h="16838" w:orient="portrait"/>
          <w:cols w:equalWidth="0" w:num="1">
            <w:col w:w="11180"/>
          </w:cols>
          <w:pgMar w:left="320" w:top="1428" w:right="399" w:bottom="1440" w:gutter="0" w:footer="0" w:header="0"/>
        </w:sectPr>
      </w:pPr>
    </w:p>
    <w:bookmarkStart w:id="213" w:name="page214"/>
    <w:bookmarkEnd w:id="213"/>
    <w:p>
      <w:pPr>
        <w:ind w:right="40"/>
        <w:spacing w:after="0" w:line="295" w:lineRule="auto"/>
        <w:rPr>
          <w:sz w:val="20"/>
          <w:szCs w:val="20"/>
          <w:color w:val="auto"/>
        </w:rPr>
      </w:pPr>
      <w:r>
        <w:rPr>
          <w:rFonts w:ascii="Arial" w:cs="Arial" w:eastAsia="Arial" w:hAnsi="Arial"/>
          <w:sz w:val="19"/>
          <w:szCs w:val="19"/>
          <w:b w:val="1"/>
          <w:bCs w:val="1"/>
          <w:color w:val="auto"/>
        </w:rPr>
        <w:t xml:space="preserve">Limited Rights: </w:t>
      </w:r>
      <w:r>
        <w:rPr>
          <w:rFonts w:ascii="Arial" w:cs="Arial" w:eastAsia="Arial" w:hAnsi="Arial"/>
          <w:sz w:val="19"/>
          <w:szCs w:val="19"/>
          <w:color w:val="auto"/>
        </w:rPr>
        <w:t>The rights to use, modify, reproduce, perform, display, or disclose Data, in whole or in part, within the</w:t>
      </w:r>
      <w:r>
        <w:rPr>
          <w:rFonts w:ascii="Arial" w:cs="Arial" w:eastAsia="Arial" w:hAnsi="Arial"/>
          <w:sz w:val="19"/>
          <w:szCs w:val="19"/>
          <w:b w:val="1"/>
          <w:bCs w:val="1"/>
          <w:color w:val="auto"/>
        </w:rPr>
        <w:t xml:space="preserve"> </w:t>
      </w:r>
      <w:r>
        <w:rPr>
          <w:rFonts w:ascii="Arial" w:cs="Arial" w:eastAsia="Arial" w:hAnsi="Arial"/>
          <w:sz w:val="19"/>
          <w:szCs w:val="19"/>
          <w:color w:val="auto"/>
        </w:rPr>
        <w:t>Government solely for research purposes for the Field. Government will ensure that disclosed information is safeguarded in accordance with the restrictions of this Agreement. The Government may not, without the prior written permission of Recipient, release or disclose the Data outside the Government, use the Data for competitive procurement or manufacture, release or disclose the data for commercial purposes, or authorize the Data to be used by another party. The Parties shall maintain the confidentiality of all Data subject to or designated as falling within Limited Rights.</w:t>
      </w:r>
    </w:p>
    <w:p>
      <w:pPr>
        <w:spacing w:after="0" w:line="144"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 xml:space="preserve">Limited Rights Data: </w:t>
      </w:r>
      <w:r>
        <w:rPr>
          <w:rFonts w:ascii="Arial" w:cs="Arial" w:eastAsia="Arial" w:hAnsi="Arial"/>
          <w:sz w:val="22"/>
          <w:szCs w:val="22"/>
          <w:color w:val="auto"/>
        </w:rPr>
        <w:t>Data, other than Computer Software, that embody trade secrets or are commercial or financial and</w:t>
      </w:r>
      <w:r>
        <w:rPr>
          <w:rFonts w:ascii="Arial" w:cs="Arial" w:eastAsia="Arial" w:hAnsi="Arial"/>
          <w:sz w:val="22"/>
          <w:szCs w:val="22"/>
          <w:b w:val="1"/>
          <w:bCs w:val="1"/>
          <w:color w:val="auto"/>
        </w:rPr>
        <w:t xml:space="preserve"> </w:t>
      </w:r>
      <w:r>
        <w:rPr>
          <w:rFonts w:ascii="Arial" w:cs="Arial" w:eastAsia="Arial" w:hAnsi="Arial"/>
          <w:sz w:val="22"/>
          <w:szCs w:val="22"/>
          <w:color w:val="auto"/>
        </w:rPr>
        <w:t>confidential or privileged, to the extent that such Data pertain to items, components, or processes developed at private expense, including minor modifications.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Made: </w:t>
      </w:r>
      <w:r>
        <w:rPr>
          <w:rFonts w:ascii="Arial" w:cs="Arial" w:eastAsia="Arial" w:hAnsi="Arial"/>
          <w:sz w:val="22"/>
          <w:szCs w:val="22"/>
          <w:color w:val="auto"/>
        </w:rPr>
        <w:t>The conception or first actual reduction to practice of the invention as defined in this Agreement.</w:t>
      </w:r>
    </w:p>
    <w:p>
      <w:pPr>
        <w:spacing w:after="0" w:line="220" w:lineRule="exact"/>
        <w:rPr>
          <w:sz w:val="20"/>
          <w:szCs w:val="20"/>
          <w:color w:val="auto"/>
        </w:rPr>
      </w:pPr>
    </w:p>
    <w:p>
      <w:pPr>
        <w:ind w:right="260"/>
        <w:spacing w:after="0" w:line="293" w:lineRule="auto"/>
        <w:rPr>
          <w:sz w:val="20"/>
          <w:szCs w:val="20"/>
          <w:color w:val="auto"/>
        </w:rPr>
      </w:pPr>
      <w:r>
        <w:rPr>
          <w:rFonts w:ascii="Arial" w:cs="Arial" w:eastAsia="Arial" w:hAnsi="Arial"/>
          <w:sz w:val="21"/>
          <w:szCs w:val="21"/>
          <w:b w:val="1"/>
          <w:bCs w:val="1"/>
          <w:color w:val="auto"/>
        </w:rPr>
        <w:t xml:space="preserve">Option: </w:t>
      </w:r>
      <w:r>
        <w:rPr>
          <w:rFonts w:ascii="Arial" w:cs="Arial" w:eastAsia="Arial" w:hAnsi="Arial"/>
          <w:sz w:val="21"/>
          <w:szCs w:val="21"/>
          <w:color w:val="auto"/>
        </w:rPr>
        <w:t>An option, entered into by bilateral agreement pursuant to a Statement of Work and budget, by which, for a specified</w:t>
      </w:r>
      <w:r>
        <w:rPr>
          <w:rFonts w:ascii="Arial" w:cs="Arial" w:eastAsia="Arial" w:hAnsi="Arial"/>
          <w:sz w:val="21"/>
          <w:szCs w:val="21"/>
          <w:b w:val="1"/>
          <w:bCs w:val="1"/>
          <w:color w:val="auto"/>
        </w:rPr>
        <w:t xml:space="preserve"> </w:t>
      </w:r>
      <w:r>
        <w:rPr>
          <w:rFonts w:ascii="Arial" w:cs="Arial" w:eastAsia="Arial" w:hAnsi="Arial"/>
          <w:sz w:val="21"/>
          <w:szCs w:val="21"/>
          <w:color w:val="auto"/>
        </w:rPr>
        <w:t>time, the Government may elect to purchase additional supplies or services called for by the Agreement.</w:t>
      </w:r>
    </w:p>
    <w:p>
      <w:pPr>
        <w:spacing w:after="0" w:line="139" w:lineRule="exact"/>
        <w:rPr>
          <w:sz w:val="20"/>
          <w:szCs w:val="20"/>
          <w:color w:val="auto"/>
        </w:rPr>
      </w:pPr>
    </w:p>
    <w:p>
      <w:pPr>
        <w:ind w:right="80"/>
        <w:spacing w:after="0" w:line="269" w:lineRule="auto"/>
        <w:rPr>
          <w:sz w:val="20"/>
          <w:szCs w:val="20"/>
          <w:color w:val="auto"/>
        </w:rPr>
      </w:pPr>
      <w:r>
        <w:rPr>
          <w:rFonts w:ascii="Arial" w:cs="Arial" w:eastAsia="Arial" w:hAnsi="Arial"/>
          <w:sz w:val="22"/>
          <w:szCs w:val="22"/>
          <w:b w:val="1"/>
          <w:bCs w:val="1"/>
          <w:color w:val="auto"/>
        </w:rPr>
        <w:t>Other Transaction Agreement Officer (“OTAO”</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Is the responsible Government official authorized to bind the Government</w:t>
      </w:r>
      <w:r>
        <w:rPr>
          <w:rFonts w:ascii="Arial" w:cs="Arial" w:eastAsia="Arial" w:hAnsi="Arial"/>
          <w:sz w:val="22"/>
          <w:szCs w:val="22"/>
          <w:b w:val="1"/>
          <w:bCs w:val="1"/>
          <w:color w:val="auto"/>
        </w:rPr>
        <w:t xml:space="preserve"> </w:t>
      </w:r>
      <w:r>
        <w:rPr>
          <w:rFonts w:ascii="Arial" w:cs="Arial" w:eastAsia="Arial" w:hAnsi="Arial"/>
          <w:sz w:val="22"/>
          <w:szCs w:val="22"/>
          <w:color w:val="auto"/>
        </w:rPr>
        <w:t>by signing this Agreement and bilateral modifications.</w:t>
      </w:r>
    </w:p>
    <w:p>
      <w:pPr>
        <w:spacing w:after="0" w:line="162" w:lineRule="exact"/>
        <w:rPr>
          <w:sz w:val="20"/>
          <w:szCs w:val="20"/>
          <w:color w:val="auto"/>
        </w:rPr>
      </w:pPr>
    </w:p>
    <w:p>
      <w:pPr>
        <w:ind w:right="40"/>
        <w:spacing w:after="0" w:line="269" w:lineRule="auto"/>
        <w:rPr>
          <w:sz w:val="20"/>
          <w:szCs w:val="20"/>
          <w:color w:val="auto"/>
        </w:rPr>
      </w:pPr>
      <w:r>
        <w:rPr>
          <w:rFonts w:ascii="Arial" w:cs="Arial" w:eastAsia="Arial" w:hAnsi="Arial"/>
          <w:sz w:val="22"/>
          <w:szCs w:val="22"/>
          <w:b w:val="1"/>
          <w:bCs w:val="1"/>
          <w:color w:val="auto"/>
        </w:rPr>
        <w:t xml:space="preserve">Other Transaction Agreement Specialist (“OTAS”): </w:t>
      </w:r>
      <w:r>
        <w:rPr>
          <w:rFonts w:ascii="Arial" w:cs="Arial" w:eastAsia="Arial" w:hAnsi="Arial"/>
          <w:sz w:val="22"/>
          <w:szCs w:val="22"/>
          <w:color w:val="auto"/>
        </w:rPr>
        <w:t>Is a supporting official that assists and represents the OTAO. The OTAO</w:t>
      </w:r>
      <w:r>
        <w:rPr>
          <w:rFonts w:ascii="Arial" w:cs="Arial" w:eastAsia="Arial" w:hAnsi="Arial"/>
          <w:sz w:val="22"/>
          <w:szCs w:val="22"/>
          <w:b w:val="1"/>
          <w:bCs w:val="1"/>
          <w:color w:val="auto"/>
        </w:rPr>
        <w:t xml:space="preserve"> </w:t>
      </w:r>
      <w:r>
        <w:rPr>
          <w:rFonts w:ascii="Arial" w:cs="Arial" w:eastAsia="Arial" w:hAnsi="Arial"/>
          <w:sz w:val="22"/>
          <w:szCs w:val="22"/>
          <w:color w:val="auto"/>
        </w:rPr>
        <w:t>is the only official who can bind the Government.</w:t>
      </w:r>
    </w:p>
    <w:p>
      <w:pPr>
        <w:spacing w:after="0" w:line="162" w:lineRule="exact"/>
        <w:rPr>
          <w:sz w:val="20"/>
          <w:szCs w:val="20"/>
          <w:color w:val="auto"/>
        </w:rPr>
      </w:pPr>
    </w:p>
    <w:p>
      <w:pPr>
        <w:ind w:right="420"/>
        <w:spacing w:after="0" w:line="269" w:lineRule="auto"/>
        <w:rPr>
          <w:sz w:val="20"/>
          <w:szCs w:val="20"/>
          <w:color w:val="auto"/>
        </w:rPr>
      </w:pPr>
      <w:r>
        <w:rPr>
          <w:rFonts w:ascii="Arial" w:cs="Arial" w:eastAsia="Arial" w:hAnsi="Arial"/>
          <w:sz w:val="22"/>
          <w:szCs w:val="22"/>
          <w:b w:val="1"/>
          <w:bCs w:val="1"/>
          <w:color w:val="auto"/>
        </w:rPr>
        <w:t>Other Transaction Agreement Technical Representative (“OTTR”</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Is the primary Government official for all technical</w:t>
      </w:r>
      <w:r>
        <w:rPr>
          <w:rFonts w:ascii="Arial" w:cs="Arial" w:eastAsia="Arial" w:hAnsi="Arial"/>
          <w:sz w:val="22"/>
          <w:szCs w:val="22"/>
          <w:b w:val="1"/>
          <w:bCs w:val="1"/>
          <w:color w:val="auto"/>
        </w:rPr>
        <w:t xml:space="preserve"> </w:t>
      </w:r>
      <w:r>
        <w:rPr>
          <w:rFonts w:ascii="Arial" w:cs="Arial" w:eastAsia="Arial" w:hAnsi="Arial"/>
          <w:sz w:val="22"/>
          <w:szCs w:val="22"/>
          <w:color w:val="auto"/>
        </w:rPr>
        <w:t>matters on the Agreement.</w:t>
      </w:r>
    </w:p>
    <w:p>
      <w:pPr>
        <w:spacing w:after="0" w:line="162" w:lineRule="exact"/>
        <w:rPr>
          <w:sz w:val="20"/>
          <w:szCs w:val="20"/>
          <w:color w:val="auto"/>
        </w:rPr>
      </w:pPr>
    </w:p>
    <w:p>
      <w:pPr>
        <w:ind w:right="40"/>
        <w:spacing w:after="0" w:line="267" w:lineRule="auto"/>
        <w:rPr>
          <w:sz w:val="20"/>
          <w:szCs w:val="20"/>
          <w:color w:val="auto"/>
        </w:rPr>
      </w:pPr>
      <w:r>
        <w:rPr>
          <w:rFonts w:ascii="Arial" w:cs="Arial" w:eastAsia="Arial" w:hAnsi="Arial"/>
          <w:sz w:val="21"/>
          <w:szCs w:val="21"/>
          <w:b w:val="1"/>
          <w:bCs w:val="1"/>
          <w:color w:val="auto"/>
        </w:rPr>
        <w:t xml:space="preserve">Practical Application: </w:t>
      </w:r>
      <w:r>
        <w:rPr>
          <w:rFonts w:ascii="Arial" w:cs="Arial" w:eastAsia="Arial" w:hAnsi="Arial"/>
          <w:sz w:val="21"/>
          <w:szCs w:val="21"/>
          <w:color w:val="auto"/>
        </w:rPr>
        <w:t>With respect to a Subject Invention, to manufacture, in the case of a composition or product; to practice,</w:t>
      </w:r>
      <w:r>
        <w:rPr>
          <w:rFonts w:ascii="Arial" w:cs="Arial" w:eastAsia="Arial" w:hAnsi="Arial"/>
          <w:sz w:val="21"/>
          <w:szCs w:val="21"/>
          <w:b w:val="1"/>
          <w:bCs w:val="1"/>
          <w:color w:val="auto"/>
        </w:rPr>
        <w:t xml:space="preserve"> </w:t>
      </w:r>
      <w:r>
        <w:rPr>
          <w:rFonts w:ascii="Arial" w:cs="Arial" w:eastAsia="Arial" w:hAnsi="Arial"/>
          <w:sz w:val="21"/>
          <w:szCs w:val="21"/>
          <w:color w:val="auto"/>
        </w:rPr>
        <w:t>in the case of a process or method; or to operate, in the case of a machine or system; and, in each case, under such conditions as to establish that the Subject Invention is capable of being utilized and that its benefits are, to the extent permitted by law or Government regulations, available to the public for a regulatory approved product.</w:t>
      </w:r>
    </w:p>
    <w:p>
      <w:pPr>
        <w:spacing w:after="0" w:line="167" w:lineRule="exact"/>
        <w:rPr>
          <w:sz w:val="20"/>
          <w:szCs w:val="20"/>
          <w:color w:val="auto"/>
        </w:rPr>
      </w:pPr>
    </w:p>
    <w:p>
      <w:pPr>
        <w:ind w:right="40"/>
        <w:spacing w:after="0" w:line="269" w:lineRule="auto"/>
        <w:rPr>
          <w:sz w:val="20"/>
          <w:szCs w:val="20"/>
          <w:color w:val="auto"/>
        </w:rPr>
      </w:pPr>
      <w:r>
        <w:rPr>
          <w:rFonts w:ascii="Arial" w:cs="Arial" w:eastAsia="Arial" w:hAnsi="Arial"/>
          <w:sz w:val="22"/>
          <w:szCs w:val="22"/>
          <w:b w:val="1"/>
          <w:bCs w:val="1"/>
          <w:color w:val="auto"/>
        </w:rPr>
        <w:t xml:space="preserve">Subject Invention: </w:t>
      </w:r>
      <w:r>
        <w:rPr>
          <w:rFonts w:ascii="Arial" w:cs="Arial" w:eastAsia="Arial" w:hAnsi="Arial"/>
          <w:sz w:val="22"/>
          <w:szCs w:val="22"/>
          <w:color w:val="auto"/>
        </w:rPr>
        <w:t>Any Invention Made in the performance of work under this Agreement within the Field for which Recipient</w:t>
      </w:r>
      <w:r>
        <w:rPr>
          <w:rFonts w:ascii="Arial" w:cs="Arial" w:eastAsia="Arial" w:hAnsi="Arial"/>
          <w:sz w:val="22"/>
          <w:szCs w:val="22"/>
          <w:b w:val="1"/>
          <w:bCs w:val="1"/>
          <w:color w:val="auto"/>
        </w:rPr>
        <w:t xml:space="preserve"> </w:t>
      </w:r>
      <w:r>
        <w:rPr>
          <w:rFonts w:ascii="Arial" w:cs="Arial" w:eastAsia="Arial" w:hAnsi="Arial"/>
          <w:sz w:val="22"/>
          <w:szCs w:val="22"/>
          <w:color w:val="auto"/>
        </w:rPr>
        <w:t>pursues a patent.</w:t>
      </w:r>
    </w:p>
    <w:p>
      <w:pPr>
        <w:spacing w:after="0" w:line="162" w:lineRule="exact"/>
        <w:rPr>
          <w:sz w:val="20"/>
          <w:szCs w:val="20"/>
          <w:color w:val="auto"/>
        </w:rPr>
      </w:pPr>
    </w:p>
    <w:p>
      <w:pPr>
        <w:spacing w:after="0" w:line="274" w:lineRule="auto"/>
        <w:rPr>
          <w:sz w:val="20"/>
          <w:szCs w:val="20"/>
          <w:color w:val="auto"/>
        </w:rPr>
      </w:pPr>
      <w:r>
        <w:rPr>
          <w:rFonts w:ascii="Arial" w:cs="Arial" w:eastAsia="Arial" w:hAnsi="Arial"/>
          <w:sz w:val="21"/>
          <w:szCs w:val="21"/>
          <w:b w:val="1"/>
          <w:bCs w:val="1"/>
          <w:color w:val="auto"/>
        </w:rPr>
        <w:t xml:space="preserve">Sub-Recipient: </w:t>
      </w:r>
      <w:r>
        <w:rPr>
          <w:rFonts w:ascii="Arial" w:cs="Arial" w:eastAsia="Arial" w:hAnsi="Arial"/>
          <w:sz w:val="21"/>
          <w:szCs w:val="21"/>
          <w:color w:val="auto"/>
        </w:rPr>
        <w:t>Akin to a subcontractor. Any supplier, distributor, vendor, or firm that furnishes supplies or services to or for the</w:t>
      </w:r>
      <w:r>
        <w:rPr>
          <w:rFonts w:ascii="Arial" w:cs="Arial" w:eastAsia="Arial" w:hAnsi="Arial"/>
          <w:sz w:val="21"/>
          <w:szCs w:val="21"/>
          <w:b w:val="1"/>
          <w:bCs w:val="1"/>
          <w:color w:val="auto"/>
        </w:rPr>
        <w:t xml:space="preserve"> </w:t>
      </w:r>
      <w:r>
        <w:rPr>
          <w:rFonts w:ascii="Arial" w:cs="Arial" w:eastAsia="Arial" w:hAnsi="Arial"/>
          <w:sz w:val="21"/>
          <w:szCs w:val="21"/>
          <w:color w:val="auto"/>
        </w:rPr>
        <w:t>Recipient, an Affiliate, or a Sub-Recipient. A Sub-Recipient differs from an Affiliate in that Sub-Recipients are not listed as an Affiliate in Attachment 3 and may be used to execute tasks under the SOW by Recipient or Affiliate.</w:t>
      </w:r>
    </w:p>
    <w:p>
      <w:pPr>
        <w:spacing w:after="0" w:line="158" w:lineRule="exact"/>
        <w:rPr>
          <w:sz w:val="20"/>
          <w:szCs w:val="20"/>
          <w:color w:val="auto"/>
        </w:rPr>
      </w:pPr>
    </w:p>
    <w:p>
      <w:pPr>
        <w:ind w:right="40"/>
        <w:spacing w:after="0" w:line="336" w:lineRule="auto"/>
        <w:rPr>
          <w:sz w:val="20"/>
          <w:szCs w:val="20"/>
          <w:color w:val="auto"/>
        </w:rPr>
      </w:pPr>
      <w:r>
        <w:rPr>
          <w:rFonts w:ascii="Arial" w:cs="Arial" w:eastAsia="Arial" w:hAnsi="Arial"/>
          <w:sz w:val="19"/>
          <w:szCs w:val="19"/>
          <w:b w:val="1"/>
          <w:bCs w:val="1"/>
          <w:color w:val="auto"/>
        </w:rPr>
        <w:t xml:space="preserve">Sub-Recipient Agreement: </w:t>
      </w:r>
      <w:r>
        <w:rPr>
          <w:rFonts w:ascii="Arial" w:cs="Arial" w:eastAsia="Arial" w:hAnsi="Arial"/>
          <w:sz w:val="19"/>
          <w:szCs w:val="19"/>
          <w:color w:val="auto"/>
        </w:rPr>
        <w:t>Any contract entered into by a Sub-Recipient to furnish supplies or services for performance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This term describes an agreement with a 1</w:t>
      </w:r>
      <w:r>
        <w:rPr>
          <w:rFonts w:ascii="Arial" w:cs="Arial" w:eastAsia="Arial" w:hAnsi="Arial"/>
          <w:sz w:val="25"/>
          <w:szCs w:val="25"/>
          <w:color w:val="auto"/>
          <w:vertAlign w:val="superscript"/>
        </w:rPr>
        <w:t>st</w:t>
      </w:r>
      <w:r>
        <w:rPr>
          <w:rFonts w:ascii="Arial" w:cs="Arial" w:eastAsia="Arial" w:hAnsi="Arial"/>
          <w:sz w:val="19"/>
          <w:szCs w:val="19"/>
          <w:color w:val="auto"/>
        </w:rPr>
        <w:t>-Tier Sub-Recipient, except as expressly noted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UNCLASSIFIED</w:t>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CONFIDENTIAL/PROPRIETARY</w:t>
      </w:r>
    </w:p>
    <w:p>
      <w:pPr>
        <w:sectPr>
          <w:pgSz w:w="11900" w:h="16838" w:orient="portrait"/>
          <w:cols w:equalWidth="0" w:num="1">
            <w:col w:w="11140"/>
          </w:cols>
          <w:pgMar w:left="320" w:top="1422" w:right="439" w:bottom="1440" w:gutter="0" w:footer="0" w:header="0"/>
        </w:sectPr>
      </w:pPr>
    </w:p>
    <w:bookmarkStart w:id="214" w:name="page215"/>
    <w:bookmarkEnd w:id="214"/>
    <w:p>
      <w:pPr>
        <w:jc w:val="center"/>
        <w:spacing w:after="0"/>
        <w:rPr>
          <w:sz w:val="20"/>
          <w:szCs w:val="20"/>
          <w:color w:val="auto"/>
        </w:rPr>
      </w:pPr>
      <w:r>
        <w:rPr>
          <w:rFonts w:ascii="Arial" w:cs="Arial" w:eastAsia="Arial" w:hAnsi="Arial"/>
          <w:sz w:val="22"/>
          <w:szCs w:val="22"/>
          <w:b w:val="1"/>
          <w:bCs w:val="1"/>
          <w:color w:val="auto"/>
        </w:rPr>
        <w:t>Attachment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Report Requirements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page intentionally left blank. See separate document for Attachment B.</w:t>
      </w:r>
    </w:p>
    <w:p>
      <w:pPr>
        <w:sectPr>
          <w:pgSz w:w="11900" w:h="16838" w:orient="portrait"/>
          <w:cols w:equalWidth="0" w:num="1">
            <w:col w:w="9019"/>
          </w:cols>
          <w:pgMar w:left="1440" w:top="1341" w:right="1440" w:bottom="1440" w:gutter="0" w:footer="0" w:header="0"/>
        </w:sectPr>
      </w:pPr>
    </w:p>
    <w:bookmarkStart w:id="215" w:name="page216"/>
    <w:bookmarkEnd w:id="215"/>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REPORT REQUIREMENTS</w:t>
      </w:r>
    </w:p>
    <w:p>
      <w:pPr>
        <w:spacing w:after="0" w:line="260"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b w:val="1"/>
          <w:bCs w:val="1"/>
          <w:color w:val="auto"/>
        </w:rPr>
        <w:t>If classified information is required to be submitted under this Agreement, it must be submitted to the addresses specified in the SOW or DD254. No classified information should be submitted directly to ATI.</w:t>
      </w:r>
    </w:p>
    <w:p>
      <w:pPr>
        <w:spacing w:after="0" w:line="189" w:lineRule="exact"/>
        <w:rPr>
          <w:sz w:val="20"/>
          <w:szCs w:val="20"/>
          <w:color w:val="auto"/>
        </w:rPr>
      </w:pPr>
    </w:p>
    <w:p>
      <w:pPr>
        <w:jc w:val="both"/>
        <w:ind w:left="4" w:right="20"/>
        <w:spacing w:after="0" w:line="269" w:lineRule="auto"/>
        <w:rPr>
          <w:sz w:val="20"/>
          <w:szCs w:val="20"/>
          <w:color w:val="auto"/>
        </w:rPr>
      </w:pPr>
      <w:r>
        <w:rPr>
          <w:rFonts w:ascii="Arial" w:cs="Arial" w:eastAsia="Arial" w:hAnsi="Arial"/>
          <w:sz w:val="22"/>
          <w:szCs w:val="22"/>
          <w:b w:val="1"/>
          <w:bCs w:val="1"/>
          <w:color w:val="auto"/>
        </w:rPr>
        <w:t>Any applicable Contract Data Requirements Lists (CDRLs), Data Item Descriptions (DIDs) or other report guidance for this Project may be included at the end of this attachment.</w:t>
      </w:r>
    </w:p>
    <w:p>
      <w:pPr>
        <w:spacing w:after="0" w:line="202" w:lineRule="exact"/>
        <w:rPr>
          <w:sz w:val="20"/>
          <w:szCs w:val="20"/>
          <w:color w:val="auto"/>
        </w:rPr>
      </w:pPr>
    </w:p>
    <w:p>
      <w:pPr>
        <w:jc w:val="both"/>
        <w:ind w:left="4"/>
        <w:spacing w:after="0" w:line="249" w:lineRule="auto"/>
        <w:rPr>
          <w:sz w:val="20"/>
          <w:szCs w:val="20"/>
          <w:color w:val="auto"/>
        </w:rPr>
      </w:pPr>
      <w:r>
        <w:rPr>
          <w:rFonts w:ascii="Arial" w:cs="Arial" w:eastAsia="Arial" w:hAnsi="Arial"/>
          <w:sz w:val="22"/>
          <w:szCs w:val="22"/>
          <w:b w:val="1"/>
          <w:bCs w:val="1"/>
          <w:color w:val="auto"/>
        </w:rPr>
        <w:t>ATI, in addition to the AOR, must receive a copy of the Quarterly Status Reports and the Final Status Report. Quarterly Status Reports, Annual Status Reports, and Final Status Reports should be submitted to . All other deliverables shall be submitted to the AOR only, but ATI must be notified that the deliverable has been submitted to the AOR. The AOR will provide ATI a completed Sign- off Memorandum as evidence the milestone deliverable was received and deemed acceptable.</w:t>
      </w:r>
    </w:p>
    <w:p>
      <w:pPr>
        <w:spacing w:after="0" w:line="227"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auto"/>
        </w:rPr>
        <w:t>If you would like a copy of the Report Requirements template in MS Word, please email</w:t>
      </w:r>
    </w:p>
    <w:p>
      <w:pPr>
        <w:spacing w:after="0" w:line="260" w:lineRule="exact"/>
        <w:rPr>
          <w:sz w:val="20"/>
          <w:szCs w:val="20"/>
          <w:color w:val="auto"/>
        </w:rPr>
      </w:pPr>
    </w:p>
    <w:p>
      <w:pPr>
        <w:ind w:left="644" w:hanging="644"/>
        <w:spacing w:after="0"/>
        <w:tabs>
          <w:tab w:leader="none" w:pos="644" w:val="left"/>
        </w:tabs>
        <w:numPr>
          <w:ilvl w:val="0"/>
          <w:numId w:val="149"/>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STATUS REPORT</w:t>
      </w:r>
    </w:p>
    <w:p>
      <w:pPr>
        <w:spacing w:after="0" w:line="239" w:lineRule="exact"/>
        <w:rPr>
          <w:sz w:val="20"/>
          <w:szCs w:val="20"/>
          <w:color w:val="auto"/>
        </w:rPr>
      </w:pPr>
    </w:p>
    <w:p>
      <w:pPr>
        <w:jc w:val="both"/>
        <w:ind w:left="4" w:right="20"/>
        <w:spacing w:after="0" w:line="328" w:lineRule="auto"/>
        <w:rPr>
          <w:sz w:val="20"/>
          <w:szCs w:val="20"/>
          <w:color w:val="auto"/>
        </w:rPr>
      </w:pPr>
      <w:r>
        <w:rPr>
          <w:rFonts w:ascii="Arial" w:cs="Arial" w:eastAsia="Arial" w:hAnsi="Arial"/>
          <w:sz w:val="19"/>
          <w:szCs w:val="19"/>
          <w:color w:val="auto"/>
        </w:rPr>
        <w:t xml:space="preserve">The Recipient shall submit or otherwise provide a Quarterly Status Report in the format as shown in this attachment on the last day of the month of the calendar quarter (i.e., </w:t>
      </w:r>
      <w:r>
        <w:rPr>
          <w:rFonts w:ascii="Arial" w:cs="Arial" w:eastAsia="Arial" w:hAnsi="Arial"/>
          <w:sz w:val="19"/>
          <w:szCs w:val="19"/>
          <w:b w:val="1"/>
          <w:bCs w:val="1"/>
          <w:color w:val="auto"/>
        </w:rPr>
        <w:t>March 31, June 30, and December 31</w:t>
      </w:r>
      <w:r>
        <w:rPr>
          <w:rFonts w:ascii="Arial" w:cs="Arial" w:eastAsia="Arial" w:hAnsi="Arial"/>
          <w:sz w:val="19"/>
          <w:szCs w:val="19"/>
          <w:color w:val="auto"/>
        </w:rPr>
        <w:t>). A sample template is provided.</w:t>
      </w:r>
    </w:p>
    <w:p>
      <w:pPr>
        <w:spacing w:after="0" w:line="139" w:lineRule="exact"/>
        <w:rPr>
          <w:sz w:val="20"/>
          <w:szCs w:val="20"/>
          <w:color w:val="auto"/>
        </w:rPr>
      </w:pPr>
    </w:p>
    <w:p>
      <w:pPr>
        <w:jc w:val="both"/>
        <w:ind w:left="644" w:hanging="647"/>
        <w:spacing w:after="0" w:line="256" w:lineRule="auto"/>
        <w:rPr>
          <w:sz w:val="20"/>
          <w:szCs w:val="20"/>
          <w:color w:val="auto"/>
        </w:rPr>
      </w:pPr>
      <w:r>
        <w:rPr>
          <w:rFonts w:ascii="Arial" w:cs="Arial" w:eastAsia="Arial" w:hAnsi="Arial"/>
          <w:sz w:val="22"/>
          <w:szCs w:val="22"/>
          <w:b w:val="1"/>
          <w:bCs w:val="1"/>
          <w:color w:val="auto"/>
        </w:rPr>
        <w:t xml:space="preserve">I. </w:t>
      </w:r>
      <w:r>
        <w:rPr>
          <w:rFonts w:ascii="Arial" w:cs="Arial" w:eastAsia="Arial" w:hAnsi="Arial"/>
          <w:sz w:val="22"/>
          <w:szCs w:val="22"/>
          <w:color w:val="auto"/>
        </w:rPr>
        <w:t>The Recipient’s Technical Status Report will, at a minimum, address the following: Comments on Technical/Cost/Schedule</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Project Quad Chart, Milestone Status, Non-Traditional Defense Contractor Participation and Plans for the Next Quarter.</w:t>
      </w:r>
    </w:p>
    <w:p>
      <w:pPr>
        <w:spacing w:after="0" w:line="203" w:lineRule="exact"/>
        <w:rPr>
          <w:sz w:val="20"/>
          <w:szCs w:val="20"/>
          <w:color w:val="auto"/>
        </w:rPr>
      </w:pPr>
    </w:p>
    <w:p>
      <w:pPr>
        <w:ind w:left="644" w:hanging="644"/>
        <w:spacing w:after="0"/>
        <w:tabs>
          <w:tab w:leader="none" w:pos="644" w:val="left"/>
        </w:tabs>
        <w:numPr>
          <w:ilvl w:val="0"/>
          <w:numId w:val="150"/>
        </w:numPr>
        <w:rPr>
          <w:rFonts w:ascii="Arial" w:cs="Arial" w:eastAsia="Arial" w:hAnsi="Arial"/>
          <w:sz w:val="22"/>
          <w:szCs w:val="22"/>
          <w:b w:val="1"/>
          <w:bCs w:val="1"/>
          <w:color w:val="auto"/>
        </w:rPr>
      </w:pPr>
      <w:r>
        <w:rPr>
          <w:rFonts w:ascii="Arial" w:cs="Arial" w:eastAsia="Arial" w:hAnsi="Arial"/>
          <w:sz w:val="22"/>
          <w:szCs w:val="22"/>
          <w:b w:val="1"/>
          <w:bCs w:val="1"/>
          <w:color w:val="auto"/>
        </w:rPr>
        <w:t>PAYABLE MILESTONES/DELIVERABLES</w:t>
      </w:r>
    </w:p>
    <w:p>
      <w:pPr>
        <w:spacing w:after="0" w:line="266" w:lineRule="exact"/>
        <w:rPr>
          <w:sz w:val="20"/>
          <w:szCs w:val="20"/>
          <w:color w:val="auto"/>
        </w:rPr>
      </w:pPr>
    </w:p>
    <w:p>
      <w:pPr>
        <w:ind w:left="4" w:right="820"/>
        <w:spacing w:after="0" w:line="251" w:lineRule="auto"/>
        <w:rPr>
          <w:sz w:val="20"/>
          <w:szCs w:val="20"/>
          <w:color w:val="auto"/>
        </w:rPr>
      </w:pPr>
      <w:r>
        <w:rPr>
          <w:rFonts w:ascii="Arial" w:cs="Arial" w:eastAsia="Arial" w:hAnsi="Arial"/>
          <w:sz w:val="22"/>
          <w:szCs w:val="22"/>
          <w:color w:val="auto"/>
        </w:rPr>
        <w:t>The Recipient shall submit to the Agreements Officer Representative and MCDC CMF Representative documentation describing the extent of accomplishment of Payable Milestones and Deliverables.</w:t>
      </w:r>
    </w:p>
    <w:p>
      <w:pPr>
        <w:spacing w:after="0" w:line="2" w:lineRule="exact"/>
        <w:rPr>
          <w:sz w:val="20"/>
          <w:szCs w:val="20"/>
          <w:color w:val="auto"/>
        </w:rPr>
      </w:pPr>
    </w:p>
    <w:p>
      <w:pPr>
        <w:jc w:val="both"/>
        <w:ind w:left="644" w:hanging="644"/>
        <w:spacing w:after="0" w:line="245" w:lineRule="auto"/>
        <w:tabs>
          <w:tab w:leader="none" w:pos="633" w:val="left"/>
        </w:tabs>
        <w:numPr>
          <w:ilvl w:val="0"/>
          <w:numId w:val="151"/>
        </w:numPr>
        <w:rPr>
          <w:rFonts w:ascii="Arial" w:cs="Arial" w:eastAsia="Arial" w:hAnsi="Arial"/>
          <w:sz w:val="22"/>
          <w:szCs w:val="22"/>
          <w:b w:val="1"/>
          <w:bCs w:val="1"/>
          <w:color w:val="auto"/>
        </w:rPr>
      </w:pPr>
      <w:r>
        <w:rPr>
          <w:rFonts w:ascii="Arial" w:cs="Arial" w:eastAsia="Arial" w:hAnsi="Arial"/>
          <w:sz w:val="22"/>
          <w:szCs w:val="22"/>
          <w:b w:val="1"/>
          <w:bCs w:val="1"/>
          <w:color w:val="auto"/>
        </w:rPr>
        <w:t>Submission of Payable Milestones/Deliverables</w:t>
      </w:r>
      <w:r>
        <w:rPr>
          <w:rFonts w:ascii="Arial" w:cs="Arial" w:eastAsia="Arial" w:hAnsi="Arial"/>
          <w:sz w:val="22"/>
          <w:szCs w:val="22"/>
          <w:color w:val="auto"/>
        </w:rPr>
        <w:t>. The Recipient is required to submit all deliverables identified as</w:t>
      </w:r>
      <w:r>
        <w:rPr>
          <w:rFonts w:ascii="Arial" w:cs="Arial" w:eastAsia="Arial" w:hAnsi="Arial"/>
          <w:sz w:val="22"/>
          <w:szCs w:val="22"/>
          <w:b w:val="1"/>
          <w:bCs w:val="1"/>
          <w:color w:val="auto"/>
        </w:rPr>
        <w:t xml:space="preserve"> </w:t>
      </w:r>
      <w:r>
        <w:rPr>
          <w:rFonts w:ascii="Arial" w:cs="Arial" w:eastAsia="Arial" w:hAnsi="Arial"/>
          <w:sz w:val="22"/>
          <w:szCs w:val="22"/>
          <w:color w:val="auto"/>
        </w:rPr>
        <w:t>Payable Milestones, as shown in the Payable Milestone Schedule, as well as any other deliverables/reports listed in the Statement of Work.</w:t>
      </w:r>
    </w:p>
    <w:p>
      <w:pPr>
        <w:spacing w:after="0" w:line="214" w:lineRule="exact"/>
        <w:rPr>
          <w:sz w:val="20"/>
          <w:szCs w:val="20"/>
          <w:color w:val="auto"/>
        </w:rPr>
      </w:pPr>
    </w:p>
    <w:p>
      <w:pPr>
        <w:ind w:left="644" w:right="160" w:hanging="644"/>
        <w:spacing w:after="0" w:line="290" w:lineRule="auto"/>
        <w:tabs>
          <w:tab w:leader="none" w:pos="637" w:val="left"/>
        </w:tabs>
        <w:numPr>
          <w:ilvl w:val="0"/>
          <w:numId w:val="15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Sign-off Memorandum. </w:t>
      </w:r>
      <w:r>
        <w:rPr>
          <w:rFonts w:ascii="Arial" w:cs="Arial" w:eastAsia="Arial" w:hAnsi="Arial"/>
          <w:sz w:val="19"/>
          <w:szCs w:val="19"/>
          <w:color w:val="auto"/>
        </w:rPr>
        <w:t>The Sign-off Memorandum as shown in this attachment shall accompany all submissions</w:t>
      </w:r>
      <w:r>
        <w:rPr>
          <w:rFonts w:ascii="Arial" w:cs="Arial" w:eastAsia="Arial" w:hAnsi="Arial"/>
          <w:sz w:val="19"/>
          <w:szCs w:val="19"/>
          <w:b w:val="1"/>
          <w:bCs w:val="1"/>
          <w:color w:val="auto"/>
        </w:rPr>
        <w:t xml:space="preserve"> </w:t>
      </w:r>
      <w:r>
        <w:rPr>
          <w:rFonts w:ascii="Arial" w:cs="Arial" w:eastAsia="Arial" w:hAnsi="Arial"/>
          <w:sz w:val="19"/>
          <w:szCs w:val="19"/>
          <w:color w:val="auto"/>
        </w:rPr>
        <w:t>indicated in section B.I. The Agreements Officer Representative shall provide written approval using the Sign-off Memorandum to the MCDC Consortium Management Firm. The Sign-off Memorandum will be used to verify that all</w:t>
      </w:r>
    </w:p>
    <w:p>
      <w:pPr>
        <w:spacing w:after="0" w:line="1" w:lineRule="exact"/>
        <w:rPr>
          <w:sz w:val="20"/>
          <w:szCs w:val="20"/>
          <w:color w:val="auto"/>
        </w:rPr>
      </w:pPr>
    </w:p>
    <w:p>
      <w:pPr>
        <w:ind w:left="644" w:right="800"/>
        <w:spacing w:after="0" w:line="243" w:lineRule="auto"/>
        <w:rPr>
          <w:sz w:val="20"/>
          <w:szCs w:val="20"/>
          <w:color w:val="auto"/>
        </w:rPr>
      </w:pPr>
      <w:r>
        <w:rPr>
          <w:rFonts w:ascii="Arial" w:cs="Arial" w:eastAsia="Arial" w:hAnsi="Arial"/>
          <w:sz w:val="22"/>
          <w:szCs w:val="22"/>
          <w:color w:val="auto"/>
        </w:rPr>
        <w:t>submissions are technically acceptable. It will also be used to substantiate invoice payment for firm fixed price agreements.</w:t>
      </w:r>
    </w:p>
    <w:p>
      <w:pPr>
        <w:spacing w:after="0" w:line="1" w:lineRule="exact"/>
        <w:rPr>
          <w:sz w:val="20"/>
          <w:szCs w:val="20"/>
          <w:color w:val="auto"/>
        </w:rPr>
      </w:pPr>
    </w:p>
    <w:p>
      <w:pPr>
        <w:ind w:left="624" w:hanging="624"/>
        <w:spacing w:after="0"/>
        <w:tabs>
          <w:tab w:leader="none" w:pos="624" w:val="left"/>
        </w:tabs>
        <w:numPr>
          <w:ilvl w:val="0"/>
          <w:numId w:val="153"/>
        </w:numPr>
        <w:rPr>
          <w:rFonts w:ascii="Arial" w:cs="Arial" w:eastAsia="Arial" w:hAnsi="Arial"/>
          <w:sz w:val="22"/>
          <w:szCs w:val="22"/>
          <w:b w:val="1"/>
          <w:bCs w:val="1"/>
          <w:color w:val="auto"/>
        </w:rPr>
      </w:pPr>
      <w:r>
        <w:rPr>
          <w:rFonts w:ascii="Arial" w:cs="Arial" w:eastAsia="Arial" w:hAnsi="Arial"/>
          <w:sz w:val="22"/>
          <w:szCs w:val="22"/>
          <w:b w:val="1"/>
          <w:bCs w:val="1"/>
          <w:color w:val="auto"/>
        </w:rPr>
        <w:t>ANNUAL STATUS REPORTING</w:t>
      </w:r>
    </w:p>
    <w:p>
      <w:pPr>
        <w:sectPr>
          <w:pgSz w:w="11900" w:h="16838" w:orient="portrait"/>
          <w:cols w:equalWidth="0" w:num="1">
            <w:col w:w="11024"/>
          </w:cols>
          <w:pgMar w:left="436" w:top="1440" w:right="439" w:bottom="1440" w:gutter="0" w:footer="0" w:header="0"/>
        </w:sectPr>
      </w:pPr>
    </w:p>
    <w:bookmarkStart w:id="216" w:name="page217"/>
    <w:bookmarkEnd w:id="216"/>
    <w:p>
      <w:pPr>
        <w:ind w:left="660" w:right="540" w:hanging="644"/>
        <w:spacing w:after="0" w:line="349" w:lineRule="auto"/>
        <w:tabs>
          <w:tab w:leader="none" w:pos="649" w:val="left"/>
        </w:tabs>
        <w:numPr>
          <w:ilvl w:val="0"/>
          <w:numId w:val="154"/>
        </w:numPr>
        <w:rPr>
          <w:rFonts w:ascii="Arial" w:cs="Arial" w:eastAsia="Arial" w:hAnsi="Arial"/>
          <w:sz w:val="19"/>
          <w:szCs w:val="19"/>
          <w:b w:val="1"/>
          <w:bCs w:val="1"/>
          <w:color w:val="auto"/>
        </w:rPr>
      </w:pPr>
      <w:r>
        <w:rPr>
          <w:rFonts w:ascii="Arial" w:cs="Arial" w:eastAsia="Arial" w:hAnsi="Arial"/>
          <w:sz w:val="19"/>
          <w:szCs w:val="19"/>
          <w:color w:val="auto"/>
        </w:rPr>
        <w:t xml:space="preserve">The Project Agreement Holder shall submit an Annual Status Report on </w:t>
      </w:r>
      <w:r>
        <w:rPr>
          <w:rFonts w:ascii="Arial" w:cs="Arial" w:eastAsia="Arial" w:hAnsi="Arial"/>
          <w:sz w:val="19"/>
          <w:szCs w:val="19"/>
          <w:b w:val="1"/>
          <w:bCs w:val="1"/>
          <w:color w:val="auto"/>
        </w:rPr>
        <w:t>September 30</w:t>
      </w:r>
      <w:r>
        <w:rPr>
          <w:rFonts w:ascii="Arial" w:cs="Arial" w:eastAsia="Arial" w:hAnsi="Arial"/>
          <w:sz w:val="19"/>
          <w:szCs w:val="19"/>
          <w:color w:val="auto"/>
        </w:rPr>
        <w:t xml:space="preserve"> each year (same format as Quarterly Status Report for one year period) for all projects whose periods of performances are greater than</w:t>
      </w:r>
    </w:p>
    <w:p>
      <w:pPr>
        <w:spacing w:after="0" w:line="200" w:lineRule="exact"/>
        <w:rPr>
          <w:sz w:val="20"/>
          <w:szCs w:val="20"/>
          <w:color w:val="auto"/>
        </w:rPr>
      </w:pPr>
    </w:p>
    <w:p>
      <w:pPr>
        <w:spacing w:after="0" w:line="237" w:lineRule="exact"/>
        <w:rPr>
          <w:sz w:val="20"/>
          <w:szCs w:val="20"/>
          <w:color w:val="auto"/>
        </w:rPr>
      </w:pPr>
    </w:p>
    <w:p>
      <w:pPr>
        <w:ind w:right="480"/>
        <w:spacing w:after="0" w:line="251" w:lineRule="auto"/>
        <w:rPr>
          <w:sz w:val="20"/>
          <w:szCs w:val="20"/>
          <w:color w:val="auto"/>
        </w:rPr>
      </w:pPr>
      <w:r>
        <w:rPr>
          <w:rFonts w:ascii="Arial" w:cs="Arial" w:eastAsia="Arial" w:hAnsi="Arial"/>
          <w:sz w:val="22"/>
          <w:szCs w:val="22"/>
          <w:color w:val="auto"/>
        </w:rPr>
        <w:t>one year in accordance with the terms and conditions of the MCDC Base Agreement. The Annual Status Report must also include the following:</w:t>
      </w:r>
    </w:p>
    <w:p>
      <w:pPr>
        <w:spacing w:after="0" w:line="2" w:lineRule="exact"/>
        <w:rPr>
          <w:sz w:val="20"/>
          <w:szCs w:val="20"/>
          <w:color w:val="auto"/>
        </w:rPr>
      </w:pPr>
    </w:p>
    <w:p>
      <w:pPr>
        <w:ind w:left="960" w:hanging="381"/>
        <w:spacing w:after="0"/>
        <w:tabs>
          <w:tab w:leader="none" w:pos="960" w:val="left"/>
        </w:tabs>
        <w:numPr>
          <w:ilvl w:val="2"/>
          <w:numId w:val="155"/>
        </w:numPr>
        <w:rPr>
          <w:rFonts w:ascii="Arial" w:cs="Arial" w:eastAsia="Arial" w:hAnsi="Arial"/>
          <w:sz w:val="19"/>
          <w:szCs w:val="19"/>
          <w:color w:val="auto"/>
        </w:rPr>
      </w:pPr>
      <w:r>
        <w:rPr>
          <w:rFonts w:ascii="Arial" w:cs="Arial" w:eastAsia="Arial" w:hAnsi="Arial"/>
          <w:sz w:val="19"/>
          <w:szCs w:val="19"/>
          <w:color w:val="auto"/>
        </w:rPr>
        <w:t>A comparison of actual accomplishments with the goals and objectives of the project established for the period.</w:t>
      </w:r>
    </w:p>
    <w:p>
      <w:pPr>
        <w:spacing w:after="0" w:line="38" w:lineRule="exact"/>
        <w:rPr>
          <w:rFonts w:ascii="Arial" w:cs="Arial" w:eastAsia="Arial" w:hAnsi="Arial"/>
          <w:sz w:val="19"/>
          <w:szCs w:val="19"/>
          <w:color w:val="auto"/>
        </w:rPr>
      </w:pPr>
    </w:p>
    <w:p>
      <w:pPr>
        <w:ind w:left="980" w:hanging="508"/>
        <w:spacing w:after="0"/>
        <w:tabs>
          <w:tab w:leader="none" w:pos="980" w:val="left"/>
        </w:tabs>
        <w:numPr>
          <w:ilvl w:val="1"/>
          <w:numId w:val="156"/>
        </w:numPr>
        <w:rPr>
          <w:rFonts w:ascii="Arial" w:cs="Arial" w:eastAsia="Arial" w:hAnsi="Arial"/>
          <w:sz w:val="22"/>
          <w:szCs w:val="22"/>
          <w:color w:val="auto"/>
        </w:rPr>
      </w:pPr>
      <w:r>
        <w:rPr>
          <w:rFonts w:ascii="Arial" w:cs="Arial" w:eastAsia="Arial" w:hAnsi="Arial"/>
          <w:sz w:val="22"/>
          <w:szCs w:val="22"/>
          <w:color w:val="auto"/>
        </w:rPr>
        <w:t>Reasons why established goals and objectives were not met, if appropriate.</w:t>
      </w:r>
    </w:p>
    <w:p>
      <w:pPr>
        <w:spacing w:after="0" w:line="3" w:lineRule="exact"/>
        <w:rPr>
          <w:rFonts w:ascii="Arial" w:cs="Arial" w:eastAsia="Arial" w:hAnsi="Arial"/>
          <w:sz w:val="22"/>
          <w:szCs w:val="22"/>
          <w:color w:val="auto"/>
        </w:rPr>
      </w:pPr>
    </w:p>
    <w:p>
      <w:pPr>
        <w:ind w:left="960" w:right="20" w:hanging="548"/>
        <w:spacing w:after="0" w:line="254" w:lineRule="auto"/>
        <w:tabs>
          <w:tab w:leader="none" w:pos="960" w:val="left"/>
        </w:tabs>
        <w:numPr>
          <w:ilvl w:val="1"/>
          <w:numId w:val="156"/>
        </w:numPr>
        <w:rPr>
          <w:rFonts w:ascii="Arial" w:cs="Arial" w:eastAsia="Arial" w:hAnsi="Arial"/>
          <w:sz w:val="21"/>
          <w:szCs w:val="21"/>
          <w:color w:val="auto"/>
        </w:rPr>
      </w:pPr>
      <w:r>
        <w:rPr>
          <w:rFonts w:ascii="Arial" w:cs="Arial" w:eastAsia="Arial" w:hAnsi="Arial"/>
          <w:sz w:val="21"/>
          <w:szCs w:val="21"/>
          <w:color w:val="auto"/>
        </w:rPr>
        <w:t>A cumulative chronological list of written publications in technical journals. Include those in press as well as manuscripts in preparation and planned for later submission. Indicate likely journals, authors and titles.</w:t>
      </w:r>
    </w:p>
    <w:p>
      <w:pPr>
        <w:spacing w:after="0" w:line="1" w:lineRule="exact"/>
        <w:rPr>
          <w:rFonts w:ascii="Arial" w:cs="Arial" w:eastAsia="Arial" w:hAnsi="Arial"/>
          <w:sz w:val="21"/>
          <w:szCs w:val="21"/>
          <w:color w:val="auto"/>
        </w:rPr>
      </w:pPr>
    </w:p>
    <w:p>
      <w:pPr>
        <w:ind w:left="960" w:hanging="536"/>
        <w:spacing w:after="0"/>
        <w:tabs>
          <w:tab w:leader="none" w:pos="96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Papers presented at meetings, conferences, seminars, etc.</w:t>
      </w:r>
    </w:p>
    <w:p>
      <w:pPr>
        <w:spacing w:after="0" w:line="3" w:lineRule="exact"/>
        <w:rPr>
          <w:rFonts w:ascii="Arial" w:cs="Arial" w:eastAsia="Arial" w:hAnsi="Arial"/>
          <w:sz w:val="22"/>
          <w:szCs w:val="22"/>
          <w:color w:val="auto"/>
        </w:rPr>
      </w:pPr>
    </w:p>
    <w:p>
      <w:pPr>
        <w:ind w:left="960" w:hanging="476"/>
        <w:spacing w:after="0" w:line="243" w:lineRule="auto"/>
        <w:tabs>
          <w:tab w:leader="none" w:pos="946" w:val="left"/>
        </w:tabs>
        <w:numPr>
          <w:ilvl w:val="0"/>
          <w:numId w:val="157"/>
        </w:numPr>
        <w:rPr>
          <w:rFonts w:ascii="Arial" w:cs="Arial" w:eastAsia="Arial" w:hAnsi="Arial"/>
          <w:sz w:val="22"/>
          <w:szCs w:val="22"/>
          <w:color w:val="auto"/>
        </w:rPr>
      </w:pPr>
      <w:r>
        <w:rPr>
          <w:rFonts w:ascii="Arial" w:cs="Arial" w:eastAsia="Arial" w:hAnsi="Arial"/>
          <w:sz w:val="22"/>
          <w:szCs w:val="22"/>
          <w:color w:val="auto"/>
        </w:rPr>
        <w:t>New discoveries, inventions or patent disclosures and specific applications stemming from the individual project provided that such disclosure shall not compromise the rights of the inventor.</w:t>
      </w:r>
    </w:p>
    <w:p>
      <w:pPr>
        <w:ind w:left="960" w:right="20" w:hanging="536"/>
        <w:spacing w:after="0" w:line="246" w:lineRule="auto"/>
        <w:tabs>
          <w:tab w:leader="none" w:pos="960" w:val="left"/>
        </w:tabs>
        <w:numPr>
          <w:ilvl w:val="1"/>
          <w:numId w:val="157"/>
        </w:numPr>
        <w:rPr>
          <w:rFonts w:ascii="Arial" w:cs="Arial" w:eastAsia="Arial" w:hAnsi="Arial"/>
          <w:sz w:val="22"/>
          <w:szCs w:val="22"/>
          <w:color w:val="auto"/>
        </w:rPr>
      </w:pPr>
      <w:r>
        <w:rPr>
          <w:rFonts w:ascii="Arial" w:cs="Arial" w:eastAsia="Arial" w:hAnsi="Arial"/>
          <w:sz w:val="22"/>
          <w:szCs w:val="22"/>
          <w:color w:val="auto"/>
        </w:rPr>
        <w:t>Reporting on Utilization of Subject Inventions should be included in the Annual Status Report per Section 10.08 of the Base Agreement.</w:t>
      </w:r>
    </w:p>
    <w:p>
      <w:pPr>
        <w:sectPr>
          <w:pgSz w:w="11900" w:h="16838" w:orient="portrait"/>
          <w:cols w:equalWidth="0" w:num="1">
            <w:col w:w="11040"/>
          </w:cols>
          <w:pgMar w:left="420" w:top="1341" w:right="439" w:bottom="1440" w:gutter="0" w:footer="0" w:header="0"/>
        </w:sectPr>
      </w:pPr>
    </w:p>
    <w:bookmarkStart w:id="217" w:name="page218"/>
    <w:bookmarkEnd w:id="217"/>
    <w:p>
      <w:pPr>
        <w:jc w:val="center"/>
        <w:ind w:right="19"/>
        <w:spacing w:after="0"/>
        <w:rPr>
          <w:sz w:val="20"/>
          <w:szCs w:val="20"/>
          <w:color w:val="auto"/>
        </w:rPr>
      </w:pPr>
      <w:r>
        <w:rPr>
          <w:rFonts w:ascii="Arial" w:cs="Arial" w:eastAsia="Arial" w:hAnsi="Arial"/>
          <w:sz w:val="36"/>
          <w:szCs w:val="36"/>
          <w:b w:val="1"/>
          <w:bCs w:val="1"/>
          <w:color w:val="auto"/>
        </w:rPr>
        <w:t>Quarterly Status Report</w:t>
      </w:r>
    </w:p>
    <w:p>
      <w:pPr>
        <w:spacing w:after="0" w:line="232"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auto"/>
        </w:rPr>
        <w:t>for</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&lt;Project Agreement Holder Name&gt;</w:t>
      </w:r>
    </w:p>
    <w:p>
      <w:pPr>
        <w:spacing w:after="0" w:line="261" w:lineRule="exact"/>
        <w:rPr>
          <w:sz w:val="20"/>
          <w:szCs w:val="20"/>
          <w:color w:val="auto"/>
        </w:rPr>
      </w:pPr>
    </w:p>
    <w:p>
      <w:pPr>
        <w:ind w:left="2800"/>
        <w:spacing w:after="0"/>
        <w:rPr>
          <w:sz w:val="20"/>
          <w:szCs w:val="20"/>
          <w:color w:val="auto"/>
        </w:rPr>
      </w:pPr>
      <w:r>
        <w:rPr>
          <w:rFonts w:ascii="Arial" w:cs="Arial" w:eastAsia="Arial" w:hAnsi="Arial"/>
          <w:sz w:val="22"/>
          <w:szCs w:val="22"/>
          <w:b w:val="1"/>
          <w:bCs w:val="1"/>
          <w:color w:val="auto"/>
        </w:rPr>
        <w:t>Project No. MCDC-XX-XX-XXX</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Reporting Period: DATE - DATE</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u w:val="single" w:color="auto"/>
          <w:color w:val="auto"/>
        </w:rPr>
        <w:t>Project Agreement Holder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&lt;Project Lead&gt;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&lt;Other Project Team Member(s)&gt;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Project Team Technical POC</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Name Company Street Address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City, State Zip Code Phone Number Email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tabs>
          <w:tab w:leader="none" w:pos="240" w:val="left"/>
        </w:tabs>
        <w:rPr>
          <w:sz w:val="20"/>
          <w:szCs w:val="20"/>
          <w:color w:val="auto"/>
        </w:rPr>
      </w:pPr>
      <w:r>
        <w:rPr>
          <w:rFonts w:ascii="Arial" w:cs="Arial" w:eastAsia="Arial" w:hAnsi="Arial"/>
          <w:sz w:val="25"/>
          <w:szCs w:val="25"/>
          <w:b w:val="1"/>
          <w:bCs w:val="1"/>
          <w:i w:val="1"/>
          <w:iCs w:val="1"/>
          <w:color w:val="auto"/>
        </w:rPr>
        <w:t>Submitted:</w:t>
      </w:r>
      <w:r>
        <w:rPr>
          <w:sz w:val="20"/>
          <w:szCs w:val="20"/>
          <w:color w:val="auto"/>
        </w:rPr>
        <w:tab/>
      </w:r>
      <w:r>
        <w:rPr>
          <w:rFonts w:ascii="Arial" w:cs="Arial" w:eastAsia="Arial" w:hAnsi="Arial"/>
          <w:sz w:val="22"/>
          <w:szCs w:val="22"/>
          <w:b w:val="1"/>
          <w:bCs w:val="1"/>
          <w:i w:val="1"/>
          <w:iCs w:val="1"/>
          <w:color w:val="auto"/>
        </w:rPr>
        <w:t>&lt;date&gt;</w:t>
      </w:r>
    </w:p>
    <w:p>
      <w:pPr>
        <w:sectPr>
          <w:pgSz w:w="11900" w:h="16838" w:orient="portrait"/>
          <w:cols w:equalWidth="0" w:num="1">
            <w:col w:w="9019"/>
          </w:cols>
          <w:pgMar w:left="1440" w:top="1410" w:right="1440" w:bottom="1440" w:gutter="0" w:footer="0" w:header="0"/>
        </w:sectPr>
      </w:pPr>
    </w:p>
    <w:bookmarkStart w:id="218" w:name="page219"/>
    <w:bookmarkEnd w:id="218"/>
    <w:p>
      <w:pPr>
        <w:ind w:left="420"/>
        <w:spacing w:after="0"/>
        <w:rPr>
          <w:sz w:val="20"/>
          <w:szCs w:val="20"/>
          <w:color w:val="auto"/>
        </w:rPr>
      </w:pPr>
      <w:r>
        <w:rPr>
          <w:rFonts w:ascii="Arial" w:cs="Arial" w:eastAsia="Arial" w:hAnsi="Arial"/>
          <w:sz w:val="22"/>
          <w:szCs w:val="22"/>
          <w:b w:val="1"/>
          <w:bCs w:val="1"/>
          <w:color w:val="auto"/>
        </w:rPr>
        <w:t>1.  Comments on Technical/Cost/Schedule Performance</w:t>
      </w:r>
    </w:p>
    <w:p>
      <w:pPr>
        <w:spacing w:after="0" w:line="253" w:lineRule="exact"/>
        <w:rPr>
          <w:sz w:val="20"/>
          <w:szCs w:val="20"/>
          <w:color w:val="auto"/>
        </w:rPr>
      </w:pPr>
    </w:p>
    <w:p>
      <w:pPr>
        <w:jc w:val="both"/>
        <w:ind w:left="420" w:right="100"/>
        <w:spacing w:after="0" w:line="248" w:lineRule="auto"/>
        <w:rPr>
          <w:sz w:val="20"/>
          <w:szCs w:val="20"/>
          <w:color w:val="auto"/>
        </w:rPr>
      </w:pPr>
      <w:r>
        <w:rPr>
          <w:rFonts w:ascii="Arial" w:cs="Arial" w:eastAsia="Arial" w:hAnsi="Arial"/>
          <w:sz w:val="22"/>
          <w:szCs w:val="22"/>
          <w:color w:val="auto"/>
        </w:rPr>
        <w:t>The purpose of this section is to bring project stakeholders up to speed on current project status. It is not intended to be a line-by-line account of the quarter’s activities; details of that nature are reserved for the latter section of this report. Rather, this section should highlight technical, cost, and schedule performance for the quarter, and report overall progress towards successful technology transition and implementation – an executive summary-like synopsis. This section should also be used to cite project-related concerns.</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22"/>
          <w:szCs w:val="22"/>
          <w:b w:val="1"/>
          <w:bCs w:val="1"/>
          <w:i w:val="1"/>
          <w:iCs w:val="1"/>
          <w:color w:val="auto"/>
        </w:rPr>
        <w:t>Properly crafted, this section is typically about one-half page in length.</w:t>
      </w:r>
    </w:p>
    <w:p>
      <w:pPr>
        <w:spacing w:after="0" w:line="227" w:lineRule="exact"/>
        <w:rPr>
          <w:sz w:val="20"/>
          <w:szCs w:val="20"/>
          <w:color w:val="auto"/>
        </w:rPr>
      </w:pPr>
    </w:p>
    <w:p>
      <w:pPr>
        <w:ind w:left="420"/>
        <w:spacing w:after="0"/>
        <w:rPr>
          <w:sz w:val="20"/>
          <w:szCs w:val="20"/>
          <w:color w:val="auto"/>
        </w:rPr>
      </w:pPr>
      <w:r>
        <w:rPr>
          <w:rFonts w:ascii="Arial" w:cs="Arial" w:eastAsia="Arial" w:hAnsi="Arial"/>
          <w:sz w:val="22"/>
          <w:szCs w:val="22"/>
          <w:b w:val="1"/>
          <w:bCs w:val="1"/>
          <w:color w:val="auto"/>
        </w:rPr>
        <w:t>2.  Project Quad Chart</w:t>
      </w:r>
    </w:p>
    <w:p>
      <w:pPr>
        <w:spacing w:after="0" w:line="27" w:lineRule="exact"/>
        <w:rPr>
          <w:sz w:val="20"/>
          <w:szCs w:val="20"/>
          <w:color w:val="auto"/>
        </w:rPr>
      </w:pPr>
    </w:p>
    <w:p>
      <w:pPr>
        <w:jc w:val="both"/>
        <w:ind w:left="420" w:right="100"/>
        <w:spacing w:after="0" w:line="245" w:lineRule="auto"/>
        <w:rPr>
          <w:sz w:val="20"/>
          <w:szCs w:val="20"/>
          <w:color w:val="auto"/>
        </w:rPr>
      </w:pPr>
      <w:r>
        <w:rPr>
          <w:rFonts w:ascii="Arial" w:cs="Arial" w:eastAsia="Arial" w:hAnsi="Arial"/>
          <w:sz w:val="22"/>
          <w:szCs w:val="22"/>
          <w:color w:val="auto"/>
        </w:rPr>
        <w:t>Quad charts are used for many purposes, including high level briefings. Therefore, it is imperative that information be current and accurate, especially in regards to the lower quadrants. The text - where populated - in the quad chart below is for sample purposes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385762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24">
                      <a:extLst>
                        <a:ext uri="{28A0092B-C50C-407E-A947-70E740481C1C}"/>
                      </a:extLst>
                    </a:blip>
                    <a:srcRect/>
                    <a:stretch>
                      <a:fillRect/>
                    </a:stretch>
                  </pic:blipFill>
                  <pic:spPr bwMode="auto">
                    <a:xfrm>
                      <a:off x="0" y="0"/>
                      <a:ext cx="7132320" cy="3857625"/>
                    </a:xfrm>
                    <a:prstGeom prst="rect">
                      <a:avLst/>
                    </a:prstGeom>
                    <a:noFill/>
                  </pic:spPr>
                </pic:pic>
              </a:graphicData>
            </a:graphic>
          </wp:anchor>
        </w:drawing>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33339A"/>
        </w:rPr>
        <w:t>&lt; Project Agreement Title&gt;</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318"/>
        </w:trPr>
        <w:tc>
          <w:tcPr>
            <w:tcW w:w="760" w:type="dxa"/>
            <w:vAlign w:val="bottom"/>
            <w:tcBorders>
              <w:top w:val="single" w:sz="8" w:color="auto"/>
              <w:bottom w:val="single" w:sz="8" w:color="auto"/>
            </w:tcBorders>
          </w:tcPr>
          <w:p>
            <w:pPr>
              <w:spacing w:after="0"/>
              <w:rPr>
                <w:sz w:val="24"/>
                <w:szCs w:val="24"/>
                <w:color w:val="auto"/>
              </w:rPr>
            </w:pPr>
          </w:p>
        </w:tc>
        <w:tc>
          <w:tcPr>
            <w:tcW w:w="4340" w:type="dxa"/>
            <w:vAlign w:val="bottom"/>
            <w:tcBorders>
              <w:top w:val="single" w:sz="8" w:color="auto"/>
              <w:bottom w:val="single" w:sz="8" w:color="auto"/>
              <w:right w:val="single" w:sz="8" w:color="auto"/>
            </w:tcBorders>
          </w:tcPr>
          <w:p>
            <w:pPr>
              <w:ind w:left="900"/>
              <w:spacing w:after="0"/>
              <w:rPr>
                <w:sz w:val="20"/>
                <w:szCs w:val="20"/>
                <w:color w:val="auto"/>
              </w:rPr>
            </w:pPr>
            <w:r>
              <w:rPr>
                <w:rFonts w:ascii="Arial" w:cs="Arial" w:eastAsia="Arial" w:hAnsi="Arial"/>
                <w:sz w:val="22"/>
                <w:szCs w:val="22"/>
                <w:b w:val="1"/>
                <w:bCs w:val="1"/>
                <w:color w:val="auto"/>
              </w:rPr>
              <w:t>Goals &amp; Objectives</w:t>
            </w:r>
          </w:p>
        </w:tc>
        <w:tc>
          <w:tcPr>
            <w:tcW w:w="6140" w:type="dxa"/>
            <w:vAlign w:val="bottom"/>
            <w:tcBorders>
              <w:top w:val="single" w:sz="8" w:color="auto"/>
              <w:bottom w:val="single" w:sz="8" w:color="auto"/>
            </w:tcBorders>
          </w:tcPr>
          <w:p>
            <w:pPr>
              <w:ind w:left="2140"/>
              <w:spacing w:after="0"/>
              <w:rPr>
                <w:sz w:val="20"/>
                <w:szCs w:val="20"/>
                <w:color w:val="auto"/>
              </w:rPr>
            </w:pPr>
            <w:r>
              <w:rPr>
                <w:rFonts w:ascii="Arial" w:cs="Arial" w:eastAsia="Arial" w:hAnsi="Arial"/>
                <w:sz w:val="22"/>
                <w:szCs w:val="22"/>
                <w:b w:val="1"/>
                <w:bCs w:val="1"/>
                <w:color w:val="auto"/>
              </w:rPr>
              <w:t>Project Information</w:t>
            </w:r>
          </w:p>
        </w:tc>
        <w:tc>
          <w:tcPr>
            <w:tcW w:w="0" w:type="dxa"/>
            <w:vAlign w:val="bottom"/>
          </w:tcPr>
          <w:p>
            <w:pPr>
              <w:spacing w:after="0"/>
              <w:rPr>
                <w:sz w:val="1"/>
                <w:szCs w:val="1"/>
                <w:color w:val="auto"/>
              </w:rPr>
            </w:pPr>
          </w:p>
        </w:tc>
      </w:tr>
      <w:tr>
        <w:trPr>
          <w:trHeight w:val="351"/>
        </w:trPr>
        <w:tc>
          <w:tcPr>
            <w:tcW w:w="510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93"/>
              </w:rPr>
              <w:t>Briefly describe the goals of the project; include the technical</w:t>
            </w:r>
          </w:p>
        </w:tc>
        <w:tc>
          <w:tcPr>
            <w:tcW w:w="6140" w:type="dxa"/>
            <w:vAlign w:val="bottom"/>
          </w:tcPr>
          <w:p>
            <w:pPr>
              <w:spacing w:after="0"/>
              <w:rPr>
                <w:sz w:val="20"/>
                <w:szCs w:val="20"/>
                <w:color w:val="auto"/>
              </w:rPr>
            </w:pPr>
            <w:r>
              <w:rPr>
                <w:rFonts w:ascii="Arial" w:cs="Arial" w:eastAsia="Arial" w:hAnsi="Arial"/>
                <w:sz w:val="20"/>
                <w:szCs w:val="20"/>
                <w:b w:val="1"/>
                <w:bCs w:val="1"/>
                <w:color w:val="auto"/>
              </w:rPr>
              <w:t>Project Lead:</w:t>
            </w:r>
          </w:p>
        </w:tc>
        <w:tc>
          <w:tcPr>
            <w:tcW w:w="0" w:type="dxa"/>
            <w:vAlign w:val="bottom"/>
          </w:tcPr>
          <w:p>
            <w:pPr>
              <w:spacing w:after="0"/>
              <w:rPr>
                <w:sz w:val="1"/>
                <w:szCs w:val="1"/>
                <w:color w:val="auto"/>
              </w:rPr>
            </w:pPr>
          </w:p>
        </w:tc>
      </w:tr>
      <w:tr>
        <w:trPr>
          <w:trHeight w:val="139"/>
        </w:trPr>
        <w:tc>
          <w:tcPr>
            <w:tcW w:w="5100" w:type="dxa"/>
            <w:vAlign w:val="bottom"/>
            <w:tcBorders>
              <w:right w:val="single" w:sz="8" w:color="auto"/>
            </w:tcBorders>
            <w:gridSpan w:val="2"/>
          </w:tcPr>
          <w:p>
            <w:pPr>
              <w:ind w:left="40"/>
              <w:spacing w:after="0" w:line="139" w:lineRule="exact"/>
              <w:rPr>
                <w:sz w:val="20"/>
                <w:szCs w:val="20"/>
                <w:color w:val="auto"/>
              </w:rPr>
            </w:pPr>
            <w:r>
              <w:rPr>
                <w:rFonts w:ascii="Arial" w:cs="Arial" w:eastAsia="Arial" w:hAnsi="Arial"/>
                <w:sz w:val="16"/>
                <w:szCs w:val="16"/>
                <w:color w:val="auto"/>
              </w:rPr>
              <w:t>objectives and the implementation targets.</w:t>
            </w:r>
          </w:p>
        </w:tc>
        <w:tc>
          <w:tcPr>
            <w:tcW w:w="6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760" w:type="dxa"/>
            <w:vAlign w:val="bottom"/>
          </w:tcPr>
          <w:p>
            <w:pPr>
              <w:spacing w:after="0"/>
              <w:rPr>
                <w:sz w:val="22"/>
                <w:szCs w:val="22"/>
                <w:color w:val="auto"/>
              </w:rPr>
            </w:pPr>
          </w:p>
        </w:tc>
        <w:tc>
          <w:tcPr>
            <w:tcW w:w="4340" w:type="dxa"/>
            <w:vAlign w:val="bottom"/>
            <w:tcBorders>
              <w:right w:val="single" w:sz="8" w:color="auto"/>
            </w:tcBorders>
          </w:tcPr>
          <w:p>
            <w:pPr>
              <w:spacing w:after="0"/>
              <w:rPr>
                <w:sz w:val="22"/>
                <w:szCs w:val="22"/>
                <w:color w:val="auto"/>
              </w:rPr>
            </w:pPr>
          </w:p>
        </w:tc>
        <w:tc>
          <w:tcPr>
            <w:tcW w:w="6140" w:type="dxa"/>
            <w:vAlign w:val="bottom"/>
          </w:tcPr>
          <w:p>
            <w:pPr>
              <w:spacing w:after="0"/>
              <w:rPr>
                <w:sz w:val="20"/>
                <w:szCs w:val="20"/>
                <w:color w:val="auto"/>
              </w:rPr>
            </w:pPr>
            <w:r>
              <w:rPr>
                <w:rFonts w:ascii="Arial" w:cs="Arial" w:eastAsia="Arial" w:hAnsi="Arial"/>
                <w:sz w:val="20"/>
                <w:szCs w:val="20"/>
                <w:b w:val="1"/>
                <w:bCs w:val="1"/>
                <w:color w:val="auto"/>
              </w:rPr>
              <w:t>Team Members:</w:t>
            </w:r>
          </w:p>
        </w:tc>
        <w:tc>
          <w:tcPr>
            <w:tcW w:w="0" w:type="dxa"/>
            <w:vAlign w:val="bottom"/>
          </w:tcPr>
          <w:p>
            <w:pPr>
              <w:spacing w:after="0"/>
              <w:rPr>
                <w:sz w:val="1"/>
                <w:szCs w:val="1"/>
                <w:color w:val="auto"/>
              </w:rPr>
            </w:pPr>
          </w:p>
        </w:tc>
      </w:tr>
      <w:tr>
        <w:trPr>
          <w:trHeight w:val="391"/>
        </w:trPr>
        <w:tc>
          <w:tcPr>
            <w:tcW w:w="760" w:type="dxa"/>
            <w:vAlign w:val="bottom"/>
          </w:tcPr>
          <w:p>
            <w:pPr>
              <w:spacing w:after="0"/>
              <w:rPr>
                <w:sz w:val="24"/>
                <w:szCs w:val="24"/>
                <w:color w:val="auto"/>
              </w:rPr>
            </w:pPr>
          </w:p>
        </w:tc>
        <w:tc>
          <w:tcPr>
            <w:tcW w:w="4340" w:type="dxa"/>
            <w:vAlign w:val="bottom"/>
            <w:tcBorders>
              <w:right w:val="single" w:sz="8" w:color="auto"/>
            </w:tcBorders>
          </w:tcPr>
          <w:p>
            <w:pPr>
              <w:spacing w:after="0"/>
              <w:rPr>
                <w:sz w:val="24"/>
                <w:szCs w:val="24"/>
                <w:color w:val="auto"/>
              </w:rPr>
            </w:pPr>
          </w:p>
        </w:tc>
        <w:tc>
          <w:tcPr>
            <w:tcW w:w="6140" w:type="dxa"/>
            <w:vAlign w:val="bottom"/>
          </w:tcPr>
          <w:p>
            <w:pPr>
              <w:spacing w:after="0"/>
              <w:rPr>
                <w:sz w:val="20"/>
                <w:szCs w:val="20"/>
                <w:color w:val="auto"/>
              </w:rPr>
            </w:pPr>
            <w:r>
              <w:rPr>
                <w:rFonts w:ascii="Arial" w:cs="Arial" w:eastAsia="Arial" w:hAnsi="Arial"/>
                <w:sz w:val="20"/>
                <w:szCs w:val="20"/>
                <w:b w:val="1"/>
                <w:bCs w:val="1"/>
                <w:color w:val="auto"/>
              </w:rPr>
              <w:t>Period of Performance</w:t>
            </w: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4340" w:type="dxa"/>
            <w:vAlign w:val="bottom"/>
            <w:tcBorders>
              <w:right w:val="single" w:sz="8" w:color="auto"/>
            </w:tcBorders>
          </w:tcPr>
          <w:p>
            <w:pPr>
              <w:spacing w:after="0"/>
              <w:rPr>
                <w:sz w:val="24"/>
                <w:szCs w:val="24"/>
                <w:color w:val="auto"/>
              </w:rPr>
            </w:pPr>
          </w:p>
        </w:tc>
        <w:tc>
          <w:tcPr>
            <w:tcW w:w="6140" w:type="dxa"/>
            <w:vAlign w:val="bottom"/>
          </w:tcPr>
          <w:p>
            <w:pPr>
              <w:spacing w:after="0"/>
              <w:rPr>
                <w:sz w:val="20"/>
                <w:szCs w:val="20"/>
                <w:color w:val="auto"/>
              </w:rPr>
            </w:pPr>
            <w:r>
              <w:rPr>
                <w:rFonts w:ascii="Arial" w:cs="Arial" w:eastAsia="Arial" w:hAnsi="Arial"/>
                <w:sz w:val="20"/>
                <w:szCs w:val="20"/>
                <w:b w:val="1"/>
                <w:bCs w:val="1"/>
                <w:color w:val="auto"/>
              </w:rPr>
              <w:t>Funding</w:t>
            </w: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3"/>
        </w:trPr>
        <w:tc>
          <w:tcPr>
            <w:tcW w:w="760" w:type="dxa"/>
            <w:vAlign w:val="bottom"/>
          </w:tcPr>
          <w:p>
            <w:pPr>
              <w:spacing w:after="0"/>
              <w:rPr>
                <w:sz w:val="24"/>
                <w:szCs w:val="24"/>
                <w:color w:val="auto"/>
              </w:rPr>
            </w:pPr>
          </w:p>
        </w:tc>
        <w:tc>
          <w:tcPr>
            <w:tcW w:w="4340" w:type="dxa"/>
            <w:vAlign w:val="bottom"/>
            <w:tcBorders>
              <w:right w:val="single" w:sz="8" w:color="auto"/>
            </w:tcBorders>
          </w:tcPr>
          <w:p>
            <w:pPr>
              <w:spacing w:after="0"/>
              <w:rPr>
                <w:sz w:val="24"/>
                <w:szCs w:val="24"/>
                <w:color w:val="auto"/>
              </w:rPr>
            </w:pPr>
          </w:p>
        </w:tc>
        <w:tc>
          <w:tcPr>
            <w:tcW w:w="6140" w:type="dxa"/>
            <w:vAlign w:val="bottom"/>
          </w:tcPr>
          <w:p>
            <w:pPr>
              <w:spacing w:after="0"/>
              <w:rPr>
                <w:sz w:val="20"/>
                <w:szCs w:val="20"/>
                <w:color w:val="auto"/>
              </w:rPr>
            </w:pPr>
            <w:r>
              <w:rPr>
                <w:rFonts w:ascii="Arial" w:cs="Arial" w:eastAsia="Arial" w:hAnsi="Arial"/>
                <w:sz w:val="20"/>
                <w:szCs w:val="20"/>
                <w:b w:val="1"/>
                <w:bCs w:val="1"/>
                <w:color w:val="auto"/>
              </w:rPr>
              <w:t>Cumulative Amt Invoiced:</w:t>
            </w:r>
          </w:p>
        </w:tc>
        <w:tc>
          <w:tcPr>
            <w:tcW w:w="0" w:type="dxa"/>
            <w:vAlign w:val="bottom"/>
          </w:tcPr>
          <w:p>
            <w:pPr>
              <w:spacing w:after="0"/>
              <w:rPr>
                <w:sz w:val="1"/>
                <w:szCs w:val="1"/>
                <w:color w:val="auto"/>
              </w:rPr>
            </w:pPr>
          </w:p>
        </w:tc>
      </w:tr>
      <w:tr>
        <w:trPr>
          <w:trHeight w:val="284"/>
        </w:trPr>
        <w:tc>
          <w:tcPr>
            <w:tcW w:w="760" w:type="dxa"/>
            <w:vAlign w:val="bottom"/>
          </w:tcPr>
          <w:p>
            <w:pPr>
              <w:spacing w:after="0"/>
              <w:rPr>
                <w:sz w:val="24"/>
                <w:szCs w:val="24"/>
                <w:color w:val="auto"/>
              </w:rPr>
            </w:pPr>
          </w:p>
        </w:tc>
        <w:tc>
          <w:tcPr>
            <w:tcW w:w="4340" w:type="dxa"/>
            <w:vAlign w:val="bottom"/>
            <w:tcBorders>
              <w:right w:val="single" w:sz="8" w:color="auto"/>
            </w:tcBorders>
          </w:tcPr>
          <w:p>
            <w:pPr>
              <w:spacing w:after="0"/>
              <w:rPr>
                <w:sz w:val="24"/>
                <w:szCs w:val="24"/>
                <w:color w:val="auto"/>
              </w:rPr>
            </w:pPr>
          </w:p>
        </w:tc>
        <w:tc>
          <w:tcPr>
            <w:tcW w:w="6140" w:type="dxa"/>
            <w:vAlign w:val="bottom"/>
          </w:tcPr>
          <w:p>
            <w:pPr>
              <w:spacing w:after="0"/>
              <w:rPr>
                <w:sz w:val="20"/>
                <w:szCs w:val="20"/>
                <w:color w:val="auto"/>
              </w:rPr>
            </w:pPr>
            <w:r>
              <w:rPr>
                <w:rFonts w:ascii="Arial" w:cs="Arial" w:eastAsia="Arial" w:hAnsi="Arial"/>
                <w:sz w:val="20"/>
                <w:szCs w:val="20"/>
                <w:b w:val="1"/>
                <w:bCs w:val="1"/>
                <w:color w:val="auto"/>
              </w:rPr>
              <w:t>Total Cost Share Reported:</w:t>
            </w:r>
          </w:p>
        </w:tc>
        <w:tc>
          <w:tcPr>
            <w:tcW w:w="0" w:type="dxa"/>
            <w:vAlign w:val="bottom"/>
          </w:tcPr>
          <w:p>
            <w:pPr>
              <w:spacing w:after="0"/>
              <w:rPr>
                <w:sz w:val="1"/>
                <w:szCs w:val="1"/>
                <w:color w:val="auto"/>
              </w:rPr>
            </w:pPr>
          </w:p>
        </w:tc>
      </w:tr>
      <w:tr>
        <w:trPr>
          <w:trHeight w:val="23"/>
        </w:trPr>
        <w:tc>
          <w:tcPr>
            <w:tcW w:w="760" w:type="dxa"/>
            <w:vAlign w:val="bottom"/>
            <w:tcBorders>
              <w:bottom w:val="single" w:sz="8" w:color="auto"/>
            </w:tcBorders>
          </w:tcPr>
          <w:p>
            <w:pPr>
              <w:spacing w:after="0"/>
              <w:rPr>
                <w:sz w:val="2"/>
                <w:szCs w:val="2"/>
                <w:color w:val="auto"/>
              </w:rPr>
            </w:pPr>
          </w:p>
        </w:tc>
        <w:tc>
          <w:tcPr>
            <w:tcW w:w="4340" w:type="dxa"/>
            <w:vAlign w:val="bottom"/>
            <w:tcBorders>
              <w:bottom w:val="single" w:sz="8" w:color="auto"/>
              <w:right w:val="single" w:sz="8" w:color="auto"/>
            </w:tcBorders>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760" w:type="dxa"/>
            <w:vAlign w:val="bottom"/>
            <w:tcBorders>
              <w:bottom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Milestones &amp; Technical Achievements</w:t>
            </w:r>
          </w:p>
        </w:tc>
        <w:tc>
          <w:tcPr>
            <w:tcW w:w="6140" w:type="dxa"/>
            <w:vAlign w:val="bottom"/>
            <w:tcBorders>
              <w:bottom w:val="single" w:sz="8" w:color="auto"/>
            </w:tcBorders>
          </w:tcPr>
          <w:p>
            <w:pPr>
              <w:ind w:left="1880"/>
              <w:spacing w:after="0"/>
              <w:rPr>
                <w:sz w:val="20"/>
                <w:szCs w:val="20"/>
                <w:color w:val="auto"/>
              </w:rPr>
            </w:pPr>
            <w:r>
              <w:rPr>
                <w:rFonts w:ascii="Arial" w:cs="Arial" w:eastAsia="Arial" w:hAnsi="Arial"/>
                <w:sz w:val="22"/>
                <w:szCs w:val="22"/>
                <w:b w:val="1"/>
                <w:bCs w:val="1"/>
                <w:color w:val="auto"/>
              </w:rPr>
              <w:t>Implementation &amp; Payoff</w:t>
            </w:r>
          </w:p>
        </w:tc>
        <w:tc>
          <w:tcPr>
            <w:tcW w:w="0" w:type="dxa"/>
            <w:vAlign w:val="bottom"/>
          </w:tcPr>
          <w:p>
            <w:pPr>
              <w:spacing w:after="0"/>
              <w:rPr>
                <w:sz w:val="1"/>
                <w:szCs w:val="1"/>
                <w:color w:val="auto"/>
              </w:rPr>
            </w:pPr>
          </w:p>
        </w:tc>
      </w:tr>
      <w:tr>
        <w:trPr>
          <w:trHeight w:val="301"/>
        </w:trPr>
        <w:tc>
          <w:tcPr>
            <w:tcW w:w="760" w:type="dxa"/>
            <w:vAlign w:val="bottom"/>
          </w:tcPr>
          <w:p>
            <w:pPr>
              <w:ind w:left="40"/>
              <w:spacing w:after="0"/>
              <w:rPr>
                <w:sz w:val="20"/>
                <w:szCs w:val="20"/>
                <w:color w:val="auto"/>
              </w:rPr>
            </w:pPr>
            <w:r>
              <w:rPr>
                <w:rFonts w:ascii="Arial" w:cs="Arial" w:eastAsia="Arial" w:hAnsi="Arial"/>
                <w:sz w:val="20"/>
                <w:szCs w:val="20"/>
                <w:color w:val="auto"/>
              </w:rPr>
              <w:t>Apr 16:</w:t>
            </w:r>
          </w:p>
        </w:tc>
        <w:tc>
          <w:tcPr>
            <w:tcW w:w="4340" w:type="dxa"/>
            <w:vAlign w:val="bottom"/>
            <w:tcBorders>
              <w:right w:val="single" w:sz="8" w:color="auto"/>
            </w:tcBorders>
          </w:tcPr>
          <w:p>
            <w:pPr>
              <w:ind w:left="340"/>
              <w:spacing w:after="0"/>
              <w:rPr>
                <w:sz w:val="20"/>
                <w:szCs w:val="20"/>
                <w:color w:val="auto"/>
              </w:rPr>
            </w:pPr>
            <w:r>
              <w:rPr>
                <w:rFonts w:ascii="Arial" w:cs="Arial" w:eastAsia="Arial" w:hAnsi="Arial"/>
                <w:sz w:val="20"/>
                <w:szCs w:val="20"/>
                <w:color w:val="auto"/>
              </w:rPr>
              <w:t>Kickoff Meeting</w:t>
            </w:r>
          </w:p>
        </w:tc>
        <w:tc>
          <w:tcPr>
            <w:tcW w:w="6140" w:type="dxa"/>
            <w:vAlign w:val="bottom"/>
          </w:tcPr>
          <w:p>
            <w:pPr>
              <w:spacing w:after="0"/>
              <w:rPr>
                <w:sz w:val="20"/>
                <w:szCs w:val="20"/>
                <w:color w:val="auto"/>
              </w:rPr>
            </w:pPr>
            <w:r>
              <w:rPr>
                <w:rFonts w:ascii="Arial" w:cs="Arial" w:eastAsia="Arial" w:hAnsi="Arial"/>
                <w:sz w:val="20"/>
                <w:szCs w:val="20"/>
                <w:b w:val="1"/>
                <w:bCs w:val="1"/>
                <w:color w:val="auto"/>
              </w:rPr>
              <w:t>Schedule: Target date for implementation.</w:t>
            </w:r>
          </w:p>
        </w:tc>
        <w:tc>
          <w:tcPr>
            <w:tcW w:w="0" w:type="dxa"/>
            <w:vAlign w:val="bottom"/>
          </w:tcPr>
          <w:p>
            <w:pPr>
              <w:spacing w:after="0"/>
              <w:rPr>
                <w:sz w:val="1"/>
                <w:szCs w:val="1"/>
                <w:color w:val="auto"/>
              </w:rPr>
            </w:pPr>
          </w:p>
        </w:tc>
      </w:tr>
      <w:tr>
        <w:trPr>
          <w:trHeight w:val="270"/>
        </w:trPr>
        <w:tc>
          <w:tcPr>
            <w:tcW w:w="760" w:type="dxa"/>
            <w:vAlign w:val="bottom"/>
          </w:tcPr>
          <w:p>
            <w:pPr>
              <w:ind w:left="40"/>
              <w:spacing w:after="0"/>
              <w:rPr>
                <w:sz w:val="20"/>
                <w:szCs w:val="20"/>
                <w:color w:val="auto"/>
              </w:rPr>
            </w:pPr>
            <w:r>
              <w:rPr>
                <w:rFonts w:ascii="Arial" w:cs="Arial" w:eastAsia="Arial" w:hAnsi="Arial"/>
                <w:sz w:val="20"/>
                <w:szCs w:val="20"/>
                <w:color w:val="auto"/>
              </w:rPr>
              <w:t>Jun 16:</w:t>
            </w:r>
          </w:p>
        </w:tc>
        <w:tc>
          <w:tcPr>
            <w:tcW w:w="4340" w:type="dxa"/>
            <w:vAlign w:val="bottom"/>
            <w:tcBorders>
              <w:right w:val="single" w:sz="8" w:color="auto"/>
            </w:tcBorders>
          </w:tcPr>
          <w:p>
            <w:pPr>
              <w:ind w:left="340"/>
              <w:spacing w:after="0"/>
              <w:rPr>
                <w:sz w:val="20"/>
                <w:szCs w:val="20"/>
                <w:color w:val="auto"/>
              </w:rPr>
            </w:pPr>
            <w:r>
              <w:rPr>
                <w:rFonts w:ascii="Arial" w:cs="Arial" w:eastAsia="Arial" w:hAnsi="Arial"/>
                <w:sz w:val="20"/>
                <w:szCs w:val="20"/>
                <w:color w:val="auto"/>
              </w:rPr>
              <w:t>Design Analysis complete</w:t>
            </w:r>
          </w:p>
        </w:tc>
        <w:tc>
          <w:tcPr>
            <w:tcW w:w="6140" w:type="dxa"/>
            <w:vAlign w:val="bottom"/>
          </w:tcPr>
          <w:p>
            <w:pPr>
              <w:ind w:left="20"/>
              <w:spacing w:after="0"/>
              <w:rPr>
                <w:sz w:val="20"/>
                <w:szCs w:val="20"/>
                <w:color w:val="auto"/>
              </w:rPr>
            </w:pPr>
            <w:r>
              <w:rPr>
                <w:rFonts w:ascii="Arial" w:cs="Arial" w:eastAsia="Arial" w:hAnsi="Arial"/>
                <w:sz w:val="20"/>
                <w:szCs w:val="20"/>
                <w:b w:val="1"/>
                <w:bCs w:val="1"/>
                <w:color w:val="auto"/>
              </w:rPr>
              <w:t>Status:   Current status towards implementation event.</w:t>
            </w:r>
          </w:p>
        </w:tc>
        <w:tc>
          <w:tcPr>
            <w:tcW w:w="0" w:type="dxa"/>
            <w:vAlign w:val="bottom"/>
          </w:tcPr>
          <w:p>
            <w:pPr>
              <w:spacing w:after="0"/>
              <w:rPr>
                <w:sz w:val="1"/>
                <w:szCs w:val="1"/>
                <w:color w:val="auto"/>
              </w:rPr>
            </w:pPr>
          </w:p>
        </w:tc>
      </w:tr>
      <w:tr>
        <w:trPr>
          <w:trHeight w:val="270"/>
        </w:trPr>
        <w:tc>
          <w:tcPr>
            <w:tcW w:w="760" w:type="dxa"/>
            <w:vAlign w:val="bottom"/>
          </w:tcPr>
          <w:p>
            <w:pPr>
              <w:ind w:left="40"/>
              <w:spacing w:after="0"/>
              <w:rPr>
                <w:sz w:val="20"/>
                <w:szCs w:val="20"/>
                <w:color w:val="auto"/>
              </w:rPr>
            </w:pPr>
            <w:r>
              <w:rPr>
                <w:rFonts w:ascii="Arial" w:cs="Arial" w:eastAsia="Arial" w:hAnsi="Arial"/>
                <w:sz w:val="20"/>
                <w:szCs w:val="20"/>
                <w:color w:val="auto"/>
              </w:rPr>
              <w:t>Jul 16:</w:t>
            </w:r>
          </w:p>
        </w:tc>
        <w:tc>
          <w:tcPr>
            <w:tcW w:w="4340" w:type="dxa"/>
            <w:vAlign w:val="bottom"/>
            <w:tcBorders>
              <w:right w:val="single" w:sz="8" w:color="auto"/>
            </w:tcBorders>
          </w:tcPr>
          <w:p>
            <w:pPr>
              <w:ind w:left="340"/>
              <w:spacing w:after="0"/>
              <w:rPr>
                <w:sz w:val="20"/>
                <w:szCs w:val="20"/>
                <w:color w:val="auto"/>
              </w:rPr>
            </w:pPr>
            <w:r>
              <w:rPr>
                <w:rFonts w:ascii="Arial" w:cs="Arial" w:eastAsia="Arial" w:hAnsi="Arial"/>
                <w:sz w:val="20"/>
                <w:szCs w:val="20"/>
                <w:color w:val="auto"/>
              </w:rPr>
              <w:t>Materials/Equipment Rec’d</w:t>
            </w:r>
          </w:p>
        </w:tc>
        <w:tc>
          <w:tcPr>
            <w:tcW w:w="6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760" w:type="dxa"/>
            <w:vAlign w:val="bottom"/>
            <w:vMerge w:val="restart"/>
          </w:tcPr>
          <w:p>
            <w:pPr>
              <w:ind w:left="40"/>
              <w:spacing w:after="0"/>
              <w:rPr>
                <w:sz w:val="20"/>
                <w:szCs w:val="20"/>
                <w:color w:val="auto"/>
              </w:rPr>
            </w:pPr>
            <w:r>
              <w:rPr>
                <w:rFonts w:ascii="Arial" w:cs="Arial" w:eastAsia="Arial" w:hAnsi="Arial"/>
                <w:sz w:val="20"/>
                <w:szCs w:val="20"/>
                <w:color w:val="auto"/>
              </w:rPr>
              <w:t>Oct 16:</w:t>
            </w:r>
          </w:p>
        </w:tc>
        <w:tc>
          <w:tcPr>
            <w:tcW w:w="4340" w:type="dxa"/>
            <w:vAlign w:val="bottom"/>
            <w:tcBorders>
              <w:right w:val="single" w:sz="8" w:color="auto"/>
            </w:tcBorders>
            <w:vMerge w:val="restart"/>
          </w:tcPr>
          <w:p>
            <w:pPr>
              <w:ind w:left="340"/>
              <w:spacing w:after="0"/>
              <w:rPr>
                <w:sz w:val="20"/>
                <w:szCs w:val="20"/>
                <w:color w:val="auto"/>
              </w:rPr>
            </w:pPr>
            <w:r>
              <w:rPr>
                <w:rFonts w:ascii="Arial" w:cs="Arial" w:eastAsia="Arial" w:hAnsi="Arial"/>
                <w:sz w:val="20"/>
                <w:szCs w:val="20"/>
                <w:color w:val="auto"/>
              </w:rPr>
              <w:t>Prototype construction complete</w:t>
            </w:r>
          </w:p>
        </w:tc>
        <w:tc>
          <w:tcPr>
            <w:tcW w:w="6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60" w:type="dxa"/>
            <w:vAlign w:val="bottom"/>
            <w:vMerge w:val="continue"/>
          </w:tcPr>
          <w:p>
            <w:pPr>
              <w:spacing w:after="0"/>
              <w:rPr>
                <w:sz w:val="20"/>
                <w:szCs w:val="20"/>
                <w:color w:val="auto"/>
              </w:rPr>
            </w:pPr>
          </w:p>
        </w:tc>
        <w:tc>
          <w:tcPr>
            <w:tcW w:w="4340" w:type="dxa"/>
            <w:vAlign w:val="bottom"/>
            <w:tcBorders>
              <w:right w:val="single" w:sz="8" w:color="auto"/>
            </w:tcBorders>
            <w:vMerge w:val="continue"/>
          </w:tcPr>
          <w:p>
            <w:pPr>
              <w:spacing w:after="0"/>
              <w:rPr>
                <w:sz w:val="20"/>
                <w:szCs w:val="20"/>
                <w:color w:val="auto"/>
              </w:rPr>
            </w:pPr>
          </w:p>
        </w:tc>
        <w:tc>
          <w:tcPr>
            <w:tcW w:w="6140" w:type="dxa"/>
            <w:vAlign w:val="bottom"/>
          </w:tcPr>
          <w:p>
            <w:pPr>
              <w:spacing w:after="0"/>
              <w:rPr>
                <w:sz w:val="20"/>
                <w:szCs w:val="20"/>
                <w:color w:val="auto"/>
              </w:rPr>
            </w:pPr>
            <w:r>
              <w:rPr>
                <w:rFonts w:ascii="Arial" w:cs="Arial" w:eastAsia="Arial" w:hAnsi="Arial"/>
                <w:sz w:val="20"/>
                <w:szCs w:val="20"/>
                <w:color w:val="auto"/>
                <w:w w:val="98"/>
              </w:rPr>
              <w:t>Briefly describe what benefits will accrue from this project’s successful</w:t>
            </w:r>
          </w:p>
        </w:tc>
        <w:tc>
          <w:tcPr>
            <w:tcW w:w="0" w:type="dxa"/>
            <w:vAlign w:val="bottom"/>
          </w:tcPr>
          <w:p>
            <w:pPr>
              <w:spacing w:after="0"/>
              <w:rPr>
                <w:sz w:val="1"/>
                <w:szCs w:val="1"/>
                <w:color w:val="auto"/>
              </w:rPr>
            </w:pPr>
          </w:p>
        </w:tc>
      </w:tr>
      <w:tr>
        <w:trPr>
          <w:trHeight w:val="233"/>
        </w:trPr>
        <w:tc>
          <w:tcPr>
            <w:tcW w:w="760" w:type="dxa"/>
            <w:vAlign w:val="bottom"/>
          </w:tcPr>
          <w:p>
            <w:pPr>
              <w:ind w:left="40"/>
              <w:spacing w:after="0"/>
              <w:rPr>
                <w:sz w:val="20"/>
                <w:szCs w:val="20"/>
                <w:color w:val="auto"/>
              </w:rPr>
            </w:pPr>
            <w:r>
              <w:rPr>
                <w:rFonts w:ascii="Arial" w:cs="Arial" w:eastAsia="Arial" w:hAnsi="Arial"/>
                <w:sz w:val="20"/>
                <w:szCs w:val="20"/>
                <w:color w:val="auto"/>
                <w:w w:val="98"/>
              </w:rPr>
              <w:t>May 17:</w:t>
            </w:r>
          </w:p>
        </w:tc>
        <w:tc>
          <w:tcPr>
            <w:tcW w:w="4340" w:type="dxa"/>
            <w:vAlign w:val="bottom"/>
            <w:tcBorders>
              <w:right w:val="single" w:sz="8" w:color="auto"/>
            </w:tcBorders>
          </w:tcPr>
          <w:p>
            <w:pPr>
              <w:ind w:left="340"/>
              <w:spacing w:after="0"/>
              <w:rPr>
                <w:sz w:val="20"/>
                <w:szCs w:val="20"/>
                <w:color w:val="auto"/>
              </w:rPr>
            </w:pPr>
            <w:r>
              <w:rPr>
                <w:rFonts w:ascii="Arial" w:cs="Arial" w:eastAsia="Arial" w:hAnsi="Arial"/>
                <w:sz w:val="20"/>
                <w:szCs w:val="20"/>
                <w:color w:val="auto"/>
              </w:rPr>
              <w:t>Initial testing complete</w:t>
            </w:r>
          </w:p>
        </w:tc>
        <w:tc>
          <w:tcPr>
            <w:tcW w:w="6140" w:type="dxa"/>
            <w:vAlign w:val="bottom"/>
          </w:tcPr>
          <w:p>
            <w:pPr>
              <w:spacing w:after="0"/>
              <w:rPr>
                <w:sz w:val="20"/>
                <w:szCs w:val="20"/>
                <w:color w:val="auto"/>
              </w:rPr>
            </w:pPr>
            <w:r>
              <w:rPr>
                <w:rFonts w:ascii="Arial" w:cs="Arial" w:eastAsia="Arial" w:hAnsi="Arial"/>
                <w:sz w:val="20"/>
                <w:szCs w:val="20"/>
                <w:color w:val="auto"/>
                <w:w w:val="99"/>
              </w:rPr>
              <w:t>completion and implementation. Be quantitative to the greatest extent</w:t>
            </w:r>
          </w:p>
        </w:tc>
        <w:tc>
          <w:tcPr>
            <w:tcW w:w="0" w:type="dxa"/>
            <w:vAlign w:val="bottom"/>
          </w:tcPr>
          <w:p>
            <w:pPr>
              <w:spacing w:after="0"/>
              <w:rPr>
                <w:sz w:val="1"/>
                <w:szCs w:val="1"/>
                <w:color w:val="auto"/>
              </w:rPr>
            </w:pPr>
          </w:p>
        </w:tc>
      </w:tr>
      <w:tr>
        <w:trPr>
          <w:trHeight w:val="250"/>
        </w:trPr>
        <w:tc>
          <w:tcPr>
            <w:tcW w:w="760" w:type="dxa"/>
            <w:vAlign w:val="bottom"/>
            <w:vMerge w:val="restart"/>
          </w:tcPr>
          <w:p>
            <w:pPr>
              <w:ind w:left="40"/>
              <w:spacing w:after="0"/>
              <w:rPr>
                <w:sz w:val="20"/>
                <w:szCs w:val="20"/>
                <w:color w:val="auto"/>
              </w:rPr>
            </w:pPr>
            <w:r>
              <w:rPr>
                <w:rFonts w:ascii="Arial" w:cs="Arial" w:eastAsia="Arial" w:hAnsi="Arial"/>
                <w:sz w:val="20"/>
                <w:szCs w:val="20"/>
                <w:color w:val="auto"/>
              </w:rPr>
              <w:t>Oct 17:</w:t>
            </w:r>
          </w:p>
        </w:tc>
        <w:tc>
          <w:tcPr>
            <w:tcW w:w="4340" w:type="dxa"/>
            <w:vAlign w:val="bottom"/>
            <w:tcBorders>
              <w:right w:val="single" w:sz="8" w:color="auto"/>
            </w:tcBorders>
            <w:vMerge w:val="restart"/>
          </w:tcPr>
          <w:p>
            <w:pPr>
              <w:ind w:left="340"/>
              <w:spacing w:after="0"/>
              <w:rPr>
                <w:sz w:val="20"/>
                <w:szCs w:val="20"/>
                <w:color w:val="auto"/>
              </w:rPr>
            </w:pPr>
            <w:r>
              <w:rPr>
                <w:rFonts w:ascii="Arial" w:cs="Arial" w:eastAsia="Arial" w:hAnsi="Arial"/>
                <w:sz w:val="20"/>
                <w:szCs w:val="20"/>
                <w:color w:val="auto"/>
              </w:rPr>
              <w:t>Production units implemented in shipyard</w:t>
            </w:r>
          </w:p>
        </w:tc>
        <w:tc>
          <w:tcPr>
            <w:tcW w:w="6140" w:type="dxa"/>
            <w:vAlign w:val="bottom"/>
          </w:tcPr>
          <w:p>
            <w:pPr>
              <w:spacing w:after="0"/>
              <w:rPr>
                <w:sz w:val="20"/>
                <w:szCs w:val="20"/>
                <w:color w:val="auto"/>
              </w:rPr>
            </w:pPr>
            <w:r>
              <w:rPr>
                <w:rFonts w:ascii="Arial" w:cs="Arial" w:eastAsia="Arial" w:hAnsi="Arial"/>
                <w:sz w:val="20"/>
                <w:szCs w:val="20"/>
                <w:color w:val="auto"/>
              </w:rPr>
              <w:t>possible.</w:t>
            </w:r>
          </w:p>
        </w:tc>
        <w:tc>
          <w:tcPr>
            <w:tcW w:w="0" w:type="dxa"/>
            <w:vAlign w:val="bottom"/>
          </w:tcPr>
          <w:p>
            <w:pPr>
              <w:spacing w:after="0"/>
              <w:rPr>
                <w:sz w:val="1"/>
                <w:szCs w:val="1"/>
                <w:color w:val="auto"/>
              </w:rPr>
            </w:pPr>
          </w:p>
        </w:tc>
      </w:tr>
      <w:tr>
        <w:trPr>
          <w:trHeight w:val="70"/>
        </w:trPr>
        <w:tc>
          <w:tcPr>
            <w:tcW w:w="760" w:type="dxa"/>
            <w:vAlign w:val="bottom"/>
            <w:vMerge w:val="continue"/>
          </w:tcPr>
          <w:p>
            <w:pPr>
              <w:spacing w:after="0"/>
              <w:rPr>
                <w:sz w:val="6"/>
                <w:szCs w:val="6"/>
                <w:color w:val="auto"/>
              </w:rPr>
            </w:pPr>
          </w:p>
        </w:tc>
        <w:tc>
          <w:tcPr>
            <w:tcW w:w="4340" w:type="dxa"/>
            <w:vAlign w:val="bottom"/>
            <w:tcBorders>
              <w:right w:val="single" w:sz="8" w:color="auto"/>
            </w:tcBorders>
            <w:vMerge w:val="continue"/>
          </w:tcPr>
          <w:p>
            <w:pPr>
              <w:spacing w:after="0"/>
              <w:rPr>
                <w:sz w:val="6"/>
                <w:szCs w:val="6"/>
                <w:color w:val="auto"/>
              </w:rPr>
            </w:pPr>
          </w:p>
        </w:tc>
        <w:tc>
          <w:tcPr>
            <w:tcW w:w="6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340" w:type="dxa"/>
            <w:vAlign w:val="bottom"/>
            <w:tcBorders>
              <w:right w:val="single" w:sz="8" w:color="auto"/>
            </w:tcBorders>
          </w:tcPr>
          <w:p>
            <w:pPr>
              <w:ind w:left="340"/>
              <w:spacing w:after="0"/>
              <w:rPr>
                <w:sz w:val="20"/>
                <w:szCs w:val="20"/>
                <w:color w:val="auto"/>
              </w:rPr>
            </w:pPr>
            <w:r>
              <w:rPr>
                <w:rFonts w:ascii="Arial" w:cs="Arial" w:eastAsia="Arial" w:hAnsi="Arial"/>
                <w:sz w:val="20"/>
                <w:szCs w:val="20"/>
                <w:color w:val="auto"/>
              </w:rPr>
              <w:t>processes</w:t>
            </w:r>
          </w:p>
        </w:tc>
        <w:tc>
          <w:tcPr>
            <w:tcW w:w="6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760" w:type="dxa"/>
            <w:vAlign w:val="bottom"/>
            <w:tcBorders>
              <w:bottom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40"/>
        <w:spacing w:after="0"/>
        <w:rPr>
          <w:sz w:val="20"/>
          <w:szCs w:val="20"/>
          <w:color w:val="auto"/>
        </w:rPr>
      </w:pPr>
      <w:r>
        <w:rPr>
          <w:rFonts w:ascii="Arial" w:cs="Arial" w:eastAsia="Arial" w:hAnsi="Arial"/>
          <w:sz w:val="20"/>
          <w:szCs w:val="20"/>
          <w:color w:val="auto"/>
        </w:rPr>
        <w:t xml:space="preserve">Current Status: Technical = </w:t>
      </w:r>
      <w:r>
        <w:rPr>
          <w:rFonts w:ascii="Arial" w:cs="Arial" w:eastAsia="Arial" w:hAnsi="Arial"/>
          <w:sz w:val="20"/>
          <w:szCs w:val="20"/>
          <w:color w:val="auto"/>
          <w:highlight w:val="green"/>
        </w:rPr>
        <w:t>Green/Yellow/Red</w:t>
      </w:r>
      <w:r>
        <w:rPr>
          <w:rFonts w:ascii="Arial" w:cs="Arial" w:eastAsia="Arial" w:hAnsi="Arial"/>
          <w:sz w:val="20"/>
          <w:szCs w:val="20"/>
          <w:color w:val="auto"/>
        </w:rPr>
        <w:t xml:space="preserve"> (delta) Schedule = </w:t>
      </w:r>
      <w:r>
        <w:rPr>
          <w:rFonts w:ascii="Arial" w:cs="Arial" w:eastAsia="Arial" w:hAnsi="Arial"/>
          <w:sz w:val="20"/>
          <w:szCs w:val="20"/>
          <w:color w:val="auto"/>
          <w:highlight w:val="green"/>
        </w:rPr>
        <w:t>Green/Yellow/Red</w:t>
      </w:r>
      <w:r>
        <w:rPr>
          <w:rFonts w:ascii="Arial" w:cs="Arial" w:eastAsia="Arial" w:hAnsi="Arial"/>
          <w:sz w:val="20"/>
          <w:szCs w:val="20"/>
          <w:color w:val="auto"/>
        </w:rPr>
        <w:t xml:space="preserve"> (delta) Cost = </w:t>
      </w:r>
      <w:r>
        <w:rPr>
          <w:rFonts w:ascii="Arial" w:cs="Arial" w:eastAsia="Arial" w:hAnsi="Arial"/>
          <w:sz w:val="20"/>
          <w:szCs w:val="20"/>
          <w:color w:val="auto"/>
          <w:highlight w:val="green"/>
        </w:rPr>
        <w:t>Green/Yellow/Red</w:t>
      </w:r>
      <w:r>
        <w:rPr>
          <w:rFonts w:ascii="Arial" w:cs="Arial" w:eastAsia="Arial" w:hAnsi="Arial"/>
          <w:sz w:val="20"/>
          <w:szCs w:val="20"/>
          <w:color w:val="auto"/>
        </w:rPr>
        <w:t xml:space="preserve"> (delta)</w:t>
      </w:r>
    </w:p>
    <w:p>
      <w:pPr>
        <w:spacing w:after="0" w:line="223" w:lineRule="exact"/>
        <w:rPr>
          <w:sz w:val="20"/>
          <w:szCs w:val="20"/>
          <w:color w:val="auto"/>
        </w:rPr>
      </w:pPr>
    </w:p>
    <w:p>
      <w:pPr>
        <w:ind w:left="1640" w:right="1440" w:hanging="1619"/>
        <w:spacing w:after="0" w:line="273" w:lineRule="auto"/>
        <w:tabs>
          <w:tab w:leader="none" w:pos="1620" w:val="left"/>
        </w:tabs>
        <w:rPr>
          <w:sz w:val="20"/>
          <w:szCs w:val="20"/>
          <w:color w:val="auto"/>
        </w:rPr>
      </w:pPr>
      <w:r>
        <w:rPr>
          <w:rFonts w:ascii="Arial" w:cs="Arial" w:eastAsia="Arial" w:hAnsi="Arial"/>
          <w:sz w:val="14"/>
          <w:szCs w:val="14"/>
          <w:b w:val="1"/>
          <w:bCs w:val="1"/>
          <w:i w:val="1"/>
          <w:iCs w:val="1"/>
          <w:u w:val="single" w:color="auto"/>
          <w:color w:val="auto"/>
        </w:rPr>
        <w:t>Current Status Legend</w:t>
      </w:r>
      <w:r>
        <w:rPr>
          <w:rFonts w:ascii="Arial" w:cs="Arial" w:eastAsia="Arial" w:hAnsi="Arial"/>
          <w:sz w:val="14"/>
          <w:szCs w:val="14"/>
          <w:b w:val="1"/>
          <w:bCs w:val="1"/>
          <w:u w:val="single" w:color="auto"/>
          <w:color w:val="auto"/>
        </w:rPr>
        <w:t>:</w:t>
      </w:r>
      <w:r>
        <w:rPr>
          <w:sz w:val="20"/>
          <w:szCs w:val="20"/>
          <w:color w:val="auto"/>
        </w:rPr>
        <w:tab/>
      </w:r>
      <w:r>
        <w:rPr>
          <w:rFonts w:ascii="Arial" w:cs="Arial" w:eastAsia="Arial" w:hAnsi="Arial"/>
          <w:sz w:val="14"/>
          <w:szCs w:val="14"/>
          <w:color w:val="auto"/>
        </w:rPr>
        <w:t>Green = Good/On Budget Yellow = Minor Weakness/Known Risk Red = Major Weakness/Critical Delta: = upgrade from last assessment; = downgrade from last assessment; = no change</w:t>
      </w:r>
    </w:p>
    <w:p>
      <w:pPr>
        <w:sectPr>
          <w:pgSz w:w="11900" w:h="16838" w:orient="portrait"/>
          <w:cols w:equalWidth="0" w:num="1">
            <w:col w:w="11240"/>
          </w:cols>
          <w:pgMar w:left="320" w:top="1341" w:right="339" w:bottom="1440" w:gutter="0" w:footer="0" w:header="0"/>
        </w:sectPr>
      </w:pPr>
    </w:p>
    <w:bookmarkStart w:id="219" w:name="page220"/>
    <w:bookmarkEnd w:id="219"/>
    <w:p>
      <w:pPr>
        <w:ind w:left="440"/>
        <w:spacing w:after="0"/>
        <w:rPr>
          <w:sz w:val="20"/>
          <w:szCs w:val="20"/>
          <w:color w:val="auto"/>
        </w:rPr>
      </w:pPr>
      <w:r>
        <w:rPr>
          <w:rFonts w:ascii="Arial" w:cs="Arial" w:eastAsia="Arial" w:hAnsi="Arial"/>
          <w:sz w:val="22"/>
          <w:szCs w:val="22"/>
          <w:b w:val="1"/>
          <w:bCs w:val="1"/>
          <w:color w:val="auto"/>
        </w:rPr>
        <w:t>3. Supplemental Information</w:t>
      </w:r>
    </w:p>
    <w:p>
      <w:pPr>
        <w:spacing w:after="0" w:line="27" w:lineRule="exact"/>
        <w:rPr>
          <w:sz w:val="20"/>
          <w:szCs w:val="20"/>
          <w:color w:val="auto"/>
        </w:rPr>
      </w:pPr>
    </w:p>
    <w:p>
      <w:pPr>
        <w:ind w:left="440"/>
        <w:spacing w:after="0" w:line="246" w:lineRule="auto"/>
        <w:rPr>
          <w:sz w:val="20"/>
          <w:szCs w:val="20"/>
          <w:color w:val="auto"/>
        </w:rPr>
      </w:pPr>
      <w:r>
        <w:rPr>
          <w:rFonts w:ascii="Arial" w:cs="Arial" w:eastAsia="Arial" w:hAnsi="Arial"/>
          <w:sz w:val="22"/>
          <w:szCs w:val="22"/>
          <w:color w:val="auto"/>
        </w:rPr>
        <w:t>In order to improve the usefulness of the quad charts and provide sufficient project information, the Quarterly Status Report must be supplemented with data described below.</w:t>
      </w: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1040" w:type="dxa"/>
            <w:vAlign w:val="bottom"/>
          </w:tcPr>
          <w:p>
            <w:pPr>
              <w:jc w:val="right"/>
              <w:spacing w:after="0"/>
              <w:rPr>
                <w:sz w:val="20"/>
                <w:szCs w:val="20"/>
                <w:color w:val="auto"/>
              </w:rPr>
            </w:pPr>
            <w:r>
              <w:rPr>
                <w:rFonts w:ascii="Arial" w:cs="Arial" w:eastAsia="Arial" w:hAnsi="Arial"/>
                <w:sz w:val="22"/>
                <w:szCs w:val="22"/>
                <w:b w:val="1"/>
                <w:bCs w:val="1"/>
                <w:color w:val="auto"/>
              </w:rPr>
              <w:t>3.1</w:t>
            </w:r>
          </w:p>
        </w:tc>
        <w:tc>
          <w:tcPr>
            <w:tcW w:w="3080" w:type="dxa"/>
            <w:vAlign w:val="bottom"/>
            <w:gridSpan w:val="2"/>
          </w:tcPr>
          <w:p>
            <w:pPr>
              <w:ind w:left="40"/>
              <w:spacing w:after="0"/>
              <w:rPr>
                <w:sz w:val="20"/>
                <w:szCs w:val="20"/>
                <w:color w:val="auto"/>
              </w:rPr>
            </w:pPr>
            <w:r>
              <w:rPr>
                <w:rFonts w:ascii="Arial" w:cs="Arial" w:eastAsia="Arial" w:hAnsi="Arial"/>
                <w:sz w:val="22"/>
                <w:szCs w:val="22"/>
                <w:b w:val="1"/>
                <w:bCs w:val="1"/>
                <w:color w:val="auto"/>
              </w:rPr>
              <w:t>Milestone Status:</w:t>
            </w:r>
          </w:p>
        </w:tc>
        <w:tc>
          <w:tcPr>
            <w:tcW w:w="16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60"/>
        </w:trPr>
        <w:tc>
          <w:tcPr>
            <w:tcW w:w="10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9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c>
          <w:tcPr>
            <w:tcW w:w="26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r>
      <w:tr>
        <w:trPr>
          <w:trHeight w:val="263"/>
        </w:trPr>
        <w:tc>
          <w:tcPr>
            <w:tcW w:w="1040" w:type="dxa"/>
            <w:vAlign w:val="bottom"/>
            <w:tcBorders>
              <w:left w:val="single" w:sz="8" w:color="auto"/>
            </w:tcBorders>
          </w:tcPr>
          <w:p>
            <w:pPr>
              <w:jc w:val="right"/>
              <w:ind w:right="572"/>
              <w:spacing w:after="0"/>
              <w:rPr>
                <w:sz w:val="20"/>
                <w:szCs w:val="20"/>
                <w:color w:val="auto"/>
              </w:rPr>
            </w:pPr>
            <w:r>
              <w:rPr>
                <w:rFonts w:ascii="Arial" w:cs="Arial" w:eastAsia="Arial" w:hAnsi="Arial"/>
                <w:sz w:val="22"/>
                <w:szCs w:val="22"/>
                <w:b w:val="1"/>
                <w:bCs w:val="1"/>
                <w:color w:val="auto"/>
                <w:w w:val="95"/>
              </w:rPr>
              <w:t>No.</w:t>
            </w:r>
          </w:p>
        </w:tc>
        <w:tc>
          <w:tcPr>
            <w:tcW w:w="140" w:type="dxa"/>
            <w:vAlign w:val="bottom"/>
            <w:tcBorders>
              <w:right w:val="single" w:sz="8" w:color="auto"/>
            </w:tcBorders>
          </w:tcPr>
          <w:p>
            <w:pPr>
              <w:spacing w:after="0"/>
              <w:rPr>
                <w:sz w:val="22"/>
                <w:szCs w:val="22"/>
                <w:color w:val="auto"/>
              </w:rPr>
            </w:pPr>
          </w:p>
        </w:tc>
        <w:tc>
          <w:tcPr>
            <w:tcW w:w="2940" w:type="dxa"/>
            <w:vAlign w:val="bottom"/>
            <w:tcBorders>
              <w:right w:val="single" w:sz="8" w:color="auto"/>
            </w:tcBorders>
          </w:tcPr>
          <w:p>
            <w:pPr>
              <w:ind w:left="20"/>
              <w:spacing w:after="0"/>
              <w:rPr>
                <w:sz w:val="20"/>
                <w:szCs w:val="20"/>
                <w:color w:val="auto"/>
              </w:rPr>
            </w:pPr>
            <w:r>
              <w:rPr>
                <w:rFonts w:ascii="Arial" w:cs="Arial" w:eastAsia="Arial" w:hAnsi="Arial"/>
                <w:sz w:val="22"/>
                <w:szCs w:val="22"/>
                <w:b w:val="1"/>
                <w:bCs w:val="1"/>
                <w:color w:val="auto"/>
              </w:rPr>
              <w:t>Milestone</w:t>
            </w:r>
          </w:p>
        </w:tc>
        <w:tc>
          <w:tcPr>
            <w:tcW w:w="1680" w:type="dxa"/>
            <w:vAlign w:val="bottom"/>
            <w:tcBorders>
              <w:right w:val="single" w:sz="8" w:color="auto"/>
            </w:tcBorders>
          </w:tcPr>
          <w:p>
            <w:pPr>
              <w:ind w:left="20"/>
              <w:spacing w:after="0"/>
              <w:rPr>
                <w:sz w:val="20"/>
                <w:szCs w:val="20"/>
                <w:color w:val="auto"/>
              </w:rPr>
            </w:pPr>
            <w:r>
              <w:rPr>
                <w:rFonts w:ascii="Arial" w:cs="Arial" w:eastAsia="Arial" w:hAnsi="Arial"/>
                <w:sz w:val="22"/>
                <w:szCs w:val="22"/>
                <w:b w:val="1"/>
                <w:bCs w:val="1"/>
                <w:color w:val="auto"/>
              </w:rPr>
              <w:t>Due Date</w:t>
            </w:r>
          </w:p>
        </w:tc>
        <w:tc>
          <w:tcPr>
            <w:tcW w:w="2660" w:type="dxa"/>
            <w:vAlign w:val="bottom"/>
            <w:tcBorders>
              <w:right w:val="single" w:sz="8" w:color="auto"/>
            </w:tcBorders>
          </w:tcPr>
          <w:p>
            <w:pPr>
              <w:spacing w:after="0"/>
              <w:rPr>
                <w:sz w:val="20"/>
                <w:szCs w:val="20"/>
                <w:color w:val="auto"/>
              </w:rPr>
            </w:pPr>
            <w:r>
              <w:rPr>
                <w:rFonts w:ascii="Arial" w:cs="Arial" w:eastAsia="Arial" w:hAnsi="Arial"/>
                <w:sz w:val="22"/>
                <w:szCs w:val="22"/>
                <w:b w:val="1"/>
                <w:bCs w:val="1"/>
                <w:color w:val="auto"/>
              </w:rPr>
              <w:t>Percent Complete This</w:t>
            </w:r>
          </w:p>
        </w:tc>
        <w:tc>
          <w:tcPr>
            <w:tcW w:w="1560" w:type="dxa"/>
            <w:vAlign w:val="bottom"/>
            <w:tcBorders>
              <w:right w:val="single" w:sz="8" w:color="auto"/>
            </w:tcBorders>
          </w:tcPr>
          <w:p>
            <w:pPr>
              <w:spacing w:after="0"/>
              <w:rPr>
                <w:sz w:val="20"/>
                <w:szCs w:val="20"/>
                <w:color w:val="auto"/>
              </w:rPr>
            </w:pPr>
            <w:r>
              <w:rPr>
                <w:rFonts w:ascii="Arial" w:cs="Arial" w:eastAsia="Arial" w:hAnsi="Arial"/>
                <w:sz w:val="22"/>
                <w:szCs w:val="22"/>
                <w:b w:val="1"/>
                <w:bCs w:val="1"/>
                <w:color w:val="auto"/>
              </w:rPr>
              <w:t>Cumulative</w:t>
            </w:r>
          </w:p>
        </w:tc>
      </w:tr>
      <w:tr>
        <w:trPr>
          <w:trHeight w:val="257"/>
        </w:trPr>
        <w:tc>
          <w:tcPr>
            <w:tcW w:w="1040" w:type="dxa"/>
            <w:vAlign w:val="bottom"/>
            <w:tcBorders>
              <w:left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2940" w:type="dxa"/>
            <w:vAlign w:val="bottom"/>
            <w:tcBorders>
              <w:right w:val="single" w:sz="8" w:color="auto"/>
            </w:tcBorders>
          </w:tcPr>
          <w:p>
            <w:pPr>
              <w:spacing w:after="0"/>
              <w:rPr>
                <w:sz w:val="22"/>
                <w:szCs w:val="22"/>
                <w:color w:val="auto"/>
              </w:rPr>
            </w:pPr>
          </w:p>
        </w:tc>
        <w:tc>
          <w:tcPr>
            <w:tcW w:w="1680" w:type="dxa"/>
            <w:vAlign w:val="bottom"/>
            <w:tcBorders>
              <w:right w:val="single" w:sz="8" w:color="auto"/>
            </w:tcBorders>
          </w:tcPr>
          <w:p>
            <w:pPr>
              <w:spacing w:after="0"/>
              <w:rPr>
                <w:sz w:val="22"/>
                <w:szCs w:val="22"/>
                <w:color w:val="auto"/>
              </w:rPr>
            </w:pPr>
          </w:p>
        </w:tc>
        <w:tc>
          <w:tcPr>
            <w:tcW w:w="2660" w:type="dxa"/>
            <w:vAlign w:val="bottom"/>
            <w:tcBorders>
              <w:right w:val="single" w:sz="8" w:color="auto"/>
            </w:tcBorders>
          </w:tcPr>
          <w:p>
            <w:pPr>
              <w:spacing w:after="0"/>
              <w:rPr>
                <w:sz w:val="20"/>
                <w:szCs w:val="20"/>
                <w:color w:val="auto"/>
              </w:rPr>
            </w:pPr>
            <w:r>
              <w:rPr>
                <w:rFonts w:ascii="Arial" w:cs="Arial" w:eastAsia="Arial" w:hAnsi="Arial"/>
                <w:sz w:val="22"/>
                <w:szCs w:val="22"/>
                <w:b w:val="1"/>
                <w:bCs w:val="1"/>
                <w:color w:val="auto"/>
              </w:rPr>
              <w:t>Period</w:t>
            </w:r>
          </w:p>
        </w:tc>
        <w:tc>
          <w:tcPr>
            <w:tcW w:w="1560" w:type="dxa"/>
            <w:vAlign w:val="bottom"/>
            <w:tcBorders>
              <w:right w:val="single" w:sz="8" w:color="auto"/>
            </w:tcBorders>
          </w:tcPr>
          <w:p>
            <w:pPr>
              <w:spacing w:after="0"/>
              <w:rPr>
                <w:sz w:val="20"/>
                <w:szCs w:val="20"/>
                <w:color w:val="auto"/>
              </w:rPr>
            </w:pPr>
            <w:r>
              <w:rPr>
                <w:rFonts w:ascii="Arial" w:cs="Arial" w:eastAsia="Arial" w:hAnsi="Arial"/>
                <w:sz w:val="22"/>
                <w:szCs w:val="22"/>
                <w:b w:val="1"/>
                <w:bCs w:val="1"/>
                <w:color w:val="auto"/>
              </w:rPr>
              <w:t>Percent</w:t>
            </w:r>
          </w:p>
        </w:tc>
      </w:tr>
      <w:tr>
        <w:trPr>
          <w:trHeight w:val="291"/>
        </w:trPr>
        <w:tc>
          <w:tcPr>
            <w:tcW w:w="104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9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b w:val="1"/>
                <w:bCs w:val="1"/>
                <w:color w:val="auto"/>
              </w:rPr>
              <w:t>Complete</w:t>
            </w:r>
          </w:p>
        </w:tc>
      </w:tr>
      <w:tr>
        <w:trPr>
          <w:trHeight w:val="304"/>
        </w:trPr>
        <w:tc>
          <w:tcPr>
            <w:tcW w:w="104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w w:val="81"/>
              </w:rPr>
              <w:t>1</w:t>
            </w:r>
          </w:p>
        </w:tc>
        <w:tc>
          <w:tcPr>
            <w:tcW w:w="29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r>
      <w:tr>
        <w:trPr>
          <w:trHeight w:val="304"/>
        </w:trPr>
        <w:tc>
          <w:tcPr>
            <w:tcW w:w="104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w w:val="81"/>
              </w:rPr>
              <w:t>2</w:t>
            </w:r>
          </w:p>
        </w:tc>
        <w:tc>
          <w:tcPr>
            <w:tcW w:w="29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r>
      <w:tr>
        <w:trPr>
          <w:trHeight w:val="304"/>
        </w:trPr>
        <w:tc>
          <w:tcPr>
            <w:tcW w:w="104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w w:val="81"/>
              </w:rPr>
              <w:t>3</w:t>
            </w:r>
          </w:p>
        </w:tc>
        <w:tc>
          <w:tcPr>
            <w:tcW w:w="29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r>
      <w:tr>
        <w:trPr>
          <w:trHeight w:val="618"/>
        </w:trPr>
        <w:tc>
          <w:tcPr>
            <w:tcW w:w="1040" w:type="dxa"/>
            <w:vAlign w:val="bottom"/>
          </w:tcPr>
          <w:p>
            <w:pPr>
              <w:jc w:val="right"/>
              <w:spacing w:after="0"/>
              <w:rPr>
                <w:sz w:val="20"/>
                <w:szCs w:val="20"/>
                <w:color w:val="auto"/>
              </w:rPr>
            </w:pPr>
            <w:r>
              <w:rPr>
                <w:rFonts w:ascii="Arial" w:cs="Arial" w:eastAsia="Arial" w:hAnsi="Arial"/>
                <w:sz w:val="22"/>
                <w:szCs w:val="22"/>
                <w:b w:val="1"/>
                <w:bCs w:val="1"/>
                <w:color w:val="auto"/>
              </w:rPr>
              <w:t>3.2</w:t>
            </w:r>
          </w:p>
        </w:tc>
        <w:tc>
          <w:tcPr>
            <w:tcW w:w="4760" w:type="dxa"/>
            <w:vAlign w:val="bottom"/>
            <w:gridSpan w:val="3"/>
          </w:tcPr>
          <w:p>
            <w:pPr>
              <w:ind w:left="40"/>
              <w:spacing w:after="0"/>
              <w:rPr>
                <w:sz w:val="20"/>
                <w:szCs w:val="20"/>
                <w:color w:val="auto"/>
              </w:rPr>
            </w:pPr>
            <w:r>
              <w:rPr>
                <w:rFonts w:ascii="Arial" w:cs="Arial" w:eastAsia="Arial" w:hAnsi="Arial"/>
                <w:sz w:val="22"/>
                <w:szCs w:val="22"/>
                <w:b w:val="1"/>
                <w:bCs w:val="1"/>
                <w:color w:val="auto"/>
                <w:w w:val="91"/>
              </w:rPr>
              <w:t>Non-Traditional Defense Contractor Participation</w:t>
            </w:r>
          </w:p>
        </w:tc>
        <w:tc>
          <w:tcPr>
            <w:tcW w:w="266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6351905" cy="10287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25">
                      <a:extLst>
                        <a:ext uri="{28A0092B-C50C-407E-A947-70E740481C1C}"/>
                      </a:extLst>
                    </a:blip>
                    <a:srcRect/>
                    <a:stretch>
                      <a:fillRect/>
                    </a:stretch>
                  </pic:blipFill>
                  <pic:spPr bwMode="auto">
                    <a:xfrm>
                      <a:off x="0" y="0"/>
                      <a:ext cx="6351905" cy="1028700"/>
                    </a:xfrm>
                    <a:prstGeom prst="rect">
                      <a:avLst/>
                    </a:prstGeom>
                    <a:noFill/>
                  </pic:spPr>
                </pic:pic>
              </a:graphicData>
            </a:graphic>
          </wp:anchor>
        </w:drawing>
      </w:r>
    </w:p>
    <w:p>
      <w:pPr>
        <w:sectPr>
          <w:pgSz w:w="11900" w:h="16838" w:orient="portrait"/>
          <w:cols w:equalWidth="0" w:num="1">
            <w:col w:w="11140"/>
          </w:cols>
          <w:pgMar w:left="320" w:top="1408" w:right="439" w:bottom="1440" w:gutter="0" w:footer="0" w:header="0"/>
        </w:sect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Name of Nontraditional*</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3"/>
        </w:trPr>
        <w:tc>
          <w:tcPr>
            <w:tcW w:w="1200" w:type="dxa"/>
            <w:vAlign w:val="bottom"/>
            <w:tcBorders>
              <w:right w:val="single" w:sz="8" w:color="auto"/>
            </w:tcBorders>
          </w:tcPr>
          <w:p>
            <w:pPr>
              <w:spacing w:after="0"/>
              <w:rPr>
                <w:sz w:val="20"/>
                <w:szCs w:val="20"/>
                <w:color w:val="auto"/>
              </w:rPr>
            </w:pPr>
            <w:r>
              <w:rPr>
                <w:rFonts w:ascii="Arial" w:cs="Arial" w:eastAsia="Arial" w:hAnsi="Arial"/>
                <w:sz w:val="22"/>
                <w:szCs w:val="22"/>
                <w:b w:val="1"/>
                <w:bCs w:val="1"/>
                <w:color w:val="auto"/>
              </w:rPr>
              <w:t>Planned</w:t>
            </w:r>
          </w:p>
        </w:tc>
        <w:tc>
          <w:tcPr>
            <w:tcW w:w="1200" w:type="dxa"/>
            <w:vAlign w:val="bottom"/>
            <w:tcBorders>
              <w:right w:val="single" w:sz="8" w:color="auto"/>
            </w:tcBorders>
          </w:tcPr>
          <w:p>
            <w:pPr>
              <w:spacing w:after="0"/>
              <w:rPr>
                <w:sz w:val="20"/>
                <w:szCs w:val="20"/>
                <w:color w:val="auto"/>
              </w:rPr>
            </w:pPr>
            <w:r>
              <w:rPr>
                <w:rFonts w:ascii="Arial" w:cs="Arial" w:eastAsia="Arial" w:hAnsi="Arial"/>
                <w:sz w:val="22"/>
                <w:szCs w:val="22"/>
                <w:b w:val="1"/>
                <w:bCs w:val="1"/>
                <w:color w:val="auto"/>
                <w:w w:val="93"/>
              </w:rPr>
              <w:t>Actual Start</w:t>
            </w:r>
          </w:p>
        </w:tc>
        <w:tc>
          <w:tcPr>
            <w:tcW w:w="2920" w:type="dxa"/>
            <w:vAlign w:val="bottom"/>
          </w:tcPr>
          <w:p>
            <w:pPr>
              <w:spacing w:after="0"/>
              <w:rPr>
                <w:sz w:val="20"/>
                <w:szCs w:val="20"/>
                <w:color w:val="auto"/>
              </w:rPr>
            </w:pPr>
            <w:r>
              <w:rPr>
                <w:rFonts w:ascii="Arial" w:cs="Arial" w:eastAsia="Arial" w:hAnsi="Arial"/>
                <w:sz w:val="22"/>
                <w:szCs w:val="22"/>
                <w:b w:val="1"/>
                <w:bCs w:val="1"/>
                <w:color w:val="auto"/>
                <w:w w:val="88"/>
              </w:rPr>
              <w:t>Reason for Deviation from Plan</w:t>
            </w:r>
          </w:p>
        </w:tc>
      </w:tr>
      <w:tr>
        <w:trPr>
          <w:trHeight w:val="280"/>
        </w:trPr>
        <w:tc>
          <w:tcPr>
            <w:tcW w:w="1200" w:type="dxa"/>
            <w:vAlign w:val="bottom"/>
            <w:tcBorders>
              <w:right w:val="single" w:sz="8" w:color="auto"/>
            </w:tcBorders>
          </w:tcPr>
          <w:p>
            <w:pPr>
              <w:spacing w:after="0"/>
              <w:rPr>
                <w:sz w:val="20"/>
                <w:szCs w:val="20"/>
                <w:color w:val="auto"/>
              </w:rPr>
            </w:pPr>
            <w:r>
              <w:rPr>
                <w:rFonts w:ascii="Arial" w:cs="Arial" w:eastAsia="Arial" w:hAnsi="Arial"/>
                <w:sz w:val="22"/>
                <w:szCs w:val="22"/>
                <w:b w:val="1"/>
                <w:bCs w:val="1"/>
                <w:color w:val="auto"/>
              </w:rPr>
              <w:t>Start Date</w:t>
            </w:r>
          </w:p>
        </w:tc>
        <w:tc>
          <w:tcPr>
            <w:tcW w:w="1200" w:type="dxa"/>
            <w:vAlign w:val="bottom"/>
            <w:tcBorders>
              <w:right w:val="single" w:sz="8" w:color="auto"/>
            </w:tcBorders>
          </w:tcPr>
          <w:p>
            <w:pPr>
              <w:spacing w:after="0"/>
              <w:rPr>
                <w:sz w:val="20"/>
                <w:szCs w:val="20"/>
                <w:color w:val="auto"/>
              </w:rPr>
            </w:pPr>
            <w:r>
              <w:rPr>
                <w:rFonts w:ascii="Arial" w:cs="Arial" w:eastAsia="Arial" w:hAnsi="Arial"/>
                <w:sz w:val="22"/>
                <w:szCs w:val="22"/>
                <w:b w:val="1"/>
                <w:bCs w:val="1"/>
                <w:color w:val="auto"/>
              </w:rPr>
              <w:t>Date</w:t>
            </w:r>
          </w:p>
        </w:tc>
        <w:tc>
          <w:tcPr>
            <w:tcW w:w="2920" w:type="dxa"/>
            <w:vAlign w:val="bottom"/>
          </w:tcPr>
          <w:p>
            <w:pPr>
              <w:spacing w:after="0"/>
              <w:rPr>
                <w:sz w:val="24"/>
                <w:szCs w:val="24"/>
                <w:color w:val="auto"/>
              </w:rPr>
            </w:pPr>
          </w:p>
        </w:tc>
      </w:tr>
      <w:tr>
        <w:trPr>
          <w:trHeight w:val="1056"/>
        </w:trPr>
        <w:tc>
          <w:tcPr>
            <w:tcW w:w="120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29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2">
            <w:col w:w="3720" w:space="720"/>
            <w:col w:w="6700"/>
          </w:cols>
          <w:pgMar w:left="320" w:top="1408" w:right="439" w:bottom="1440" w:gutter="0" w:footer="0" w:header="0"/>
          <w:type w:val="continuous"/>
        </w:sectPr>
      </w:pPr>
    </w:p>
    <w:p>
      <w:pPr>
        <w:spacing w:after="0" w:line="12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3.3 Plans for Next Quarter</w:t>
      </w:r>
    </w:p>
    <w:p>
      <w:pPr>
        <w:spacing w:after="0" w:line="14" w:lineRule="exact"/>
        <w:rPr>
          <w:sz w:val="20"/>
          <w:szCs w:val="20"/>
          <w:color w:val="auto"/>
        </w:rPr>
      </w:pPr>
    </w:p>
    <w:p>
      <w:pPr>
        <w:ind w:left="1560" w:hanging="310"/>
        <w:spacing w:after="0"/>
        <w:tabs>
          <w:tab w:leader="none" w:pos="1560" w:val="left"/>
        </w:tabs>
        <w:numPr>
          <w:ilvl w:val="0"/>
          <w:numId w:val="158"/>
        </w:numPr>
        <w:rPr>
          <w:rFonts w:ascii="Arial" w:cs="Arial" w:eastAsia="Arial" w:hAnsi="Arial"/>
          <w:sz w:val="16"/>
          <w:szCs w:val="16"/>
          <w:color w:val="auto"/>
        </w:rPr>
      </w:pPr>
      <w:r>
        <w:rPr>
          <w:rFonts w:ascii="Arial" w:cs="Arial" w:eastAsia="Arial" w:hAnsi="Arial"/>
          <w:sz w:val="19"/>
          <w:szCs w:val="19"/>
          <w:color w:val="auto"/>
        </w:rPr>
        <w:t>Major achievements planned for the next quarter</w:t>
      </w:r>
    </w:p>
    <w:p>
      <w:pPr>
        <w:sectPr>
          <w:pgSz w:w="11900" w:h="16838" w:orient="portrait"/>
          <w:cols w:equalWidth="0" w:num="1">
            <w:col w:w="11140"/>
          </w:cols>
          <w:pgMar w:left="320" w:top="1408" w:right="439" w:bottom="1440" w:gutter="0" w:footer="0" w:header="0"/>
          <w:type w:val="continuous"/>
        </w:sectPr>
      </w:pPr>
    </w:p>
    <w:bookmarkStart w:id="220" w:name="page221"/>
    <w:bookmarkEnd w:id="220"/>
    <w:p>
      <w:pPr>
        <w:ind w:left="200"/>
        <w:spacing w:after="0"/>
        <w:rPr>
          <w:sz w:val="20"/>
          <w:szCs w:val="20"/>
          <w:color w:val="auto"/>
        </w:rPr>
      </w:pPr>
      <w:r>
        <w:rPr>
          <w:rFonts w:ascii="Arial" w:cs="Arial" w:eastAsia="Arial" w:hAnsi="Arial"/>
          <w:sz w:val="22"/>
          <w:szCs w:val="22"/>
          <w:b w:val="1"/>
          <w:bCs w:val="1"/>
          <w:color w:val="auto"/>
        </w:rPr>
        <w:t>MEMORANDUM: Agreements Officer Representative Sign-Off</w:t>
      </w:r>
    </w:p>
    <w:p>
      <w:pPr>
        <w:spacing w:after="0" w:line="374"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22"/>
          <w:szCs w:val="22"/>
          <w:color w:val="auto"/>
        </w:rPr>
        <w:t>To:</w:t>
      </w:r>
      <w:r>
        <w:rPr>
          <w:sz w:val="20"/>
          <w:szCs w:val="20"/>
          <w:color w:val="auto"/>
        </w:rPr>
        <w:tab/>
      </w:r>
      <w:r>
        <w:rPr>
          <w:rFonts w:ascii="Arial" w:cs="Arial" w:eastAsia="Arial" w:hAnsi="Arial"/>
          <w:sz w:val="19"/>
          <w:szCs w:val="19"/>
          <w:color w:val="auto"/>
        </w:rPr>
        <w:t>Agreements Officer Representative (AOR)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3246120</wp:posOffset>
            </wp:positionH>
            <wp:positionV relativeFrom="paragraph">
              <wp:posOffset>-17780</wp:posOffset>
            </wp:positionV>
            <wp:extent cx="17145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26">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-17780</wp:posOffset>
            </wp:positionV>
            <wp:extent cx="17145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27">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38" w:lineRule="exact"/>
        <w:rPr>
          <w:sz w:val="20"/>
          <w:szCs w:val="20"/>
          <w:color w:val="auto"/>
        </w:rPr>
      </w:pPr>
    </w:p>
    <w:p>
      <w:pPr>
        <w:ind w:left="120"/>
        <w:spacing w:after="0"/>
        <w:tabs>
          <w:tab w:leader="none" w:pos="1240" w:val="left"/>
        </w:tabs>
        <w:rPr>
          <w:sz w:val="20"/>
          <w:szCs w:val="20"/>
          <w:color w:val="auto"/>
        </w:rPr>
      </w:pPr>
      <w:r>
        <w:rPr>
          <w:rFonts w:ascii="Arial" w:cs="Arial" w:eastAsia="Arial" w:hAnsi="Arial"/>
          <w:sz w:val="22"/>
          <w:szCs w:val="22"/>
          <w:color w:val="auto"/>
        </w:rPr>
        <w:t>Reference:</w:t>
      </w:r>
      <w:r>
        <w:rPr>
          <w:sz w:val="20"/>
          <w:szCs w:val="20"/>
          <w:color w:val="auto"/>
        </w:rPr>
        <w:tab/>
      </w:r>
      <w:r>
        <w:rPr>
          <w:rFonts w:ascii="Arial" w:cs="Arial" w:eastAsia="Arial" w:hAnsi="Arial"/>
          <w:sz w:val="19"/>
          <w:szCs w:val="19"/>
          <w:color w:val="auto"/>
        </w:rPr>
        <w:t>(a) MCDC Base Agreement between ATI and</w:t>
      </w:r>
    </w:p>
    <w:p>
      <w:pPr>
        <w:spacing w:after="0" w:line="5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Agreement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-17780</wp:posOffset>
            </wp:positionV>
            <wp:extent cx="1371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1220470</wp:posOffset>
            </wp:positionH>
            <wp:positionV relativeFrom="paragraph">
              <wp:posOffset>-17780</wp:posOffset>
            </wp:positionV>
            <wp:extent cx="13716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2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65" w:lineRule="exact"/>
        <w:rPr>
          <w:sz w:val="20"/>
          <w:szCs w:val="20"/>
          <w:color w:val="auto"/>
        </w:rPr>
      </w:pPr>
    </w:p>
    <w:p>
      <w:pPr>
        <w:ind w:left="1720" w:hanging="308"/>
        <w:spacing w:after="0"/>
        <w:tabs>
          <w:tab w:leader="none" w:pos="172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Project Agreement No.</w:t>
      </w:r>
    </w:p>
    <w:p>
      <w:pPr>
        <w:spacing w:after="0" w:line="84" w:lineRule="exact"/>
        <w:rPr>
          <w:rFonts w:ascii="Arial" w:cs="Arial" w:eastAsia="Arial" w:hAnsi="Arial"/>
          <w:sz w:val="22"/>
          <w:szCs w:val="22"/>
          <w:color w:val="auto"/>
        </w:rPr>
      </w:pPr>
    </w:p>
    <w:p>
      <w:pPr>
        <w:ind w:left="120"/>
        <w:spacing w:after="0"/>
        <w:rPr>
          <w:rFonts w:ascii="Arial" w:cs="Arial" w:eastAsia="Arial" w:hAnsi="Arial"/>
          <w:sz w:val="22"/>
          <w:szCs w:val="22"/>
          <w:color w:val="auto"/>
        </w:rPr>
      </w:pPr>
      <w:r>
        <w:rPr>
          <w:rFonts w:ascii="Arial" w:cs="Arial" w:eastAsia="Arial" w:hAnsi="Arial"/>
          <w:sz w:val="22"/>
          <w:szCs w:val="22"/>
          <w:color w:val="auto"/>
        </w:rPr>
        <w:t>Subject:  Milestone Approval</w:t>
      </w:r>
    </w:p>
    <w:p>
      <w:pPr>
        <w:spacing w:after="0" w:line="138" w:lineRule="exact"/>
        <w:rPr>
          <w:rFonts w:ascii="Arial" w:cs="Arial" w:eastAsia="Arial" w:hAnsi="Arial"/>
          <w:sz w:val="22"/>
          <w:szCs w:val="22"/>
          <w:color w:val="auto"/>
        </w:rPr>
      </w:pPr>
    </w:p>
    <w:p>
      <w:pPr>
        <w:ind w:left="120"/>
        <w:spacing w:after="0"/>
        <w:rPr>
          <w:rFonts w:ascii="Arial" w:cs="Arial" w:eastAsia="Arial" w:hAnsi="Arial"/>
          <w:sz w:val="22"/>
          <w:szCs w:val="22"/>
          <w:color w:val="auto"/>
        </w:rPr>
      </w:pPr>
      <w:r>
        <w:rPr>
          <w:rFonts w:ascii="Arial" w:cs="Arial" w:eastAsia="Arial" w:hAnsi="Arial"/>
          <w:sz w:val="22"/>
          <w:szCs w:val="22"/>
          <w:color w:val="auto"/>
        </w:rPr>
        <w:t>The following deliverable(s) associated with the Milestone(s) listed below have been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-480695</wp:posOffset>
            </wp:positionV>
            <wp:extent cx="17145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30">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34" w:lineRule="exact"/>
        <w:rPr>
          <w:sz w:val="20"/>
          <w:szCs w:val="20"/>
          <w:color w:val="auto"/>
        </w:rPr>
      </w:pPr>
    </w:p>
    <w:p>
      <w:pPr>
        <w:ind w:left="960"/>
        <w:spacing w:after="0"/>
        <w:tabs>
          <w:tab w:leader="none" w:pos="1600" w:val="left"/>
        </w:tabs>
        <w:rPr>
          <w:sz w:val="20"/>
          <w:szCs w:val="20"/>
          <w:color w:val="auto"/>
        </w:rPr>
      </w:pPr>
      <w:r>
        <w:rPr>
          <w:rFonts w:ascii="Arial" w:cs="Arial" w:eastAsia="Arial" w:hAnsi="Arial"/>
          <w:sz w:val="22"/>
          <w:szCs w:val="22"/>
          <w:b w:val="1"/>
          <w:bCs w:val="1"/>
          <w:u w:val="single" w:color="auto"/>
          <w:color w:val="auto"/>
        </w:rPr>
        <w:t>MS#</w:t>
      </w:r>
      <w:r>
        <w:rPr>
          <w:sz w:val="20"/>
          <w:szCs w:val="20"/>
          <w:color w:val="auto"/>
        </w:rPr>
        <w:tab/>
      </w:r>
      <w:r>
        <w:rPr>
          <w:rFonts w:ascii="Arial" w:cs="Arial" w:eastAsia="Arial" w:hAnsi="Arial"/>
          <w:sz w:val="19"/>
          <w:szCs w:val="19"/>
          <w:b w:val="1"/>
          <w:bCs w:val="1"/>
          <w:u w:val="single" w:color="auto"/>
          <w:color w:val="auto"/>
        </w:rPr>
        <w:t>Deliverable</w:t>
      </w:r>
    </w:p>
    <w:p>
      <w:pPr>
        <w:spacing w:after="0" w:line="77"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987425</wp:posOffset>
            </wp:positionH>
            <wp:positionV relativeFrom="paragraph">
              <wp:posOffset>-17780</wp:posOffset>
            </wp:positionV>
            <wp:extent cx="17145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31">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19"/>
          <w:szCs w:val="19"/>
          <w:color w:val="auto"/>
        </w:rPr>
        <w:t>It is requested that verification of these accomplishments be provided to the MCDC Consortium Management Firm.</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_____________________________________________________________________________________</w:t>
      </w:r>
    </w:p>
    <w:p>
      <w:pPr>
        <w:spacing w:after="0" w:line="10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To: MCDC Consortium Management Firm</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CERTIFICATION BY AGREEMENTS OFFICER REPRESENTATIVE:</w:t>
      </w:r>
    </w:p>
    <w:p>
      <w:pPr>
        <w:spacing w:after="0" w:line="247" w:lineRule="exact"/>
        <w:rPr>
          <w:sz w:val="20"/>
          <w:szCs w:val="20"/>
          <w:color w:val="auto"/>
        </w:rPr>
      </w:pPr>
    </w:p>
    <w:p>
      <w:pPr>
        <w:ind w:left="120"/>
        <w:spacing w:after="0" w:line="253" w:lineRule="auto"/>
        <w:rPr>
          <w:sz w:val="20"/>
          <w:szCs w:val="20"/>
          <w:color w:val="auto"/>
        </w:rPr>
      </w:pPr>
      <w:r>
        <w:rPr>
          <w:rFonts w:ascii="Arial" w:cs="Arial" w:eastAsia="Arial" w:hAnsi="Arial"/>
          <w:sz w:val="22"/>
          <w:szCs w:val="22"/>
          <w:color w:val="auto"/>
        </w:rPr>
        <w:t>The Project Agreement Holder has made satisfactory progress and provided the required deliverables associated with this milestone. I certify the work performed is in accordance with the approved Statement of Work (SOW) included in the agreement.</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ED1C24"/>
        </w:rPr>
        <w:t>Other comments or concerns regarding this or future milestones:</w:t>
      </w:r>
    </w:p>
    <w:p>
      <w:pPr>
        <w:spacing w:after="0" w:line="193" w:lineRule="exact"/>
        <w:rPr>
          <w:sz w:val="20"/>
          <w:szCs w:val="20"/>
          <w:color w:val="auto"/>
        </w:rPr>
      </w:pPr>
    </w:p>
    <w:p>
      <w:pPr>
        <w:ind w:left="120" w:right="1060"/>
        <w:spacing w:after="0" w:line="287" w:lineRule="auto"/>
        <w:rPr>
          <w:sz w:val="20"/>
          <w:szCs w:val="20"/>
          <w:color w:val="auto"/>
        </w:rPr>
      </w:pPr>
      <w:r>
        <w:rPr>
          <w:rFonts w:ascii="Arial" w:cs="Arial" w:eastAsia="Arial" w:hAnsi="Arial"/>
          <w:sz w:val="21"/>
          <w:szCs w:val="21"/>
          <w:color w:val="auto"/>
        </w:rPr>
        <w:t>[Note: For any non-satisfactory areas include a discussion of what was not acceptable, references to previous correspondence on the issue, and what corrective actions are needed to effect payment.]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 _________________</w:t>
      </w:r>
    </w:p>
    <w:p>
      <w:pPr>
        <w:spacing w:after="0" w:line="31" w:lineRule="exact"/>
        <w:rPr>
          <w:sz w:val="20"/>
          <w:szCs w:val="20"/>
          <w:color w:val="auto"/>
        </w:rPr>
      </w:pPr>
    </w:p>
    <w:p>
      <w:pPr>
        <w:ind w:left="540"/>
        <w:spacing w:after="0"/>
        <w:tabs>
          <w:tab w:leader="none" w:pos="3800" w:val="left"/>
        </w:tabs>
        <w:rPr>
          <w:sz w:val="20"/>
          <w:szCs w:val="20"/>
          <w:color w:val="auto"/>
        </w:rPr>
      </w:pPr>
      <w:r>
        <w:rPr>
          <w:rFonts w:ascii="Arial" w:cs="Arial" w:eastAsia="Arial" w:hAnsi="Arial"/>
          <w:sz w:val="22"/>
          <w:szCs w:val="22"/>
          <w:color w:val="auto"/>
        </w:rPr>
        <w:t>Agreements Officer Representative</w:t>
      </w:r>
      <w:r>
        <w:rPr>
          <w:sz w:val="20"/>
          <w:szCs w:val="20"/>
          <w:color w:val="auto"/>
        </w:rPr>
        <w:tab/>
      </w:r>
      <w:r>
        <w:rPr>
          <w:rFonts w:ascii="Arial" w:cs="Arial" w:eastAsia="Arial" w:hAnsi="Arial"/>
          <w:sz w:val="19"/>
          <w:szCs w:val="19"/>
          <w:color w:val="auto"/>
        </w:rPr>
        <w:t>Date:</w:t>
      </w:r>
    </w:p>
    <w:p>
      <w:pPr>
        <w:sectPr>
          <w:pgSz w:w="11900" w:h="16838" w:orient="portrait"/>
          <w:cols w:equalWidth="0" w:num="1">
            <w:col w:w="10600"/>
          </w:cols>
          <w:pgMar w:left="320" w:top="1422" w:right="979" w:bottom="1440" w:gutter="0" w:footer="0" w:header="0"/>
        </w:sectPr>
      </w:pPr>
    </w:p>
    <w:bookmarkStart w:id="221" w:name="page222"/>
    <w:bookmarkEnd w:id="221"/>
    <w:p>
      <w:pPr>
        <w:jc w:val="center"/>
        <w:spacing w:after="0"/>
        <w:rPr>
          <w:sz w:val="20"/>
          <w:szCs w:val="20"/>
          <w:color w:val="auto"/>
        </w:rPr>
      </w:pPr>
      <w:r>
        <w:rPr>
          <w:rFonts w:ascii="Arial" w:cs="Arial" w:eastAsia="Arial" w:hAnsi="Arial"/>
          <w:sz w:val="22"/>
          <w:szCs w:val="22"/>
          <w:b w:val="1"/>
          <w:bCs w:val="1"/>
          <w:color w:val="auto"/>
        </w:rPr>
        <w:t>Attachment 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Technical Direction Letter (TDL) RPP-20-08 Regeneron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page intentionally left blank. See separate document for Attachment C.</w:t>
      </w:r>
    </w:p>
    <w:p>
      <w:pPr>
        <w:sectPr>
          <w:pgSz w:w="11900" w:h="16838" w:orient="portrait"/>
          <w:cols w:equalWidth="0" w:num="1">
            <w:col w:w="9019"/>
          </w:cols>
          <w:pgMar w:left="1440" w:top="1368" w:right="1440" w:bottom="1440" w:gutter="0" w:footer="0" w:header="0"/>
        </w:sectPr>
      </w:pPr>
    </w:p>
    <w:bookmarkStart w:id="222" w:name="page223"/>
    <w:bookmarkEnd w:id="2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328295</wp:posOffset>
            </wp:positionH>
            <wp:positionV relativeFrom="page">
              <wp:posOffset>886460</wp:posOffset>
            </wp:positionV>
            <wp:extent cx="822960" cy="8401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32">
                      <a:clrChange>
                        <a:clrFrom>
                          <a:srgbClr val="FFFFFF"/>
                        </a:clrFrom>
                        <a:clrTo>
                          <a:srgbClr val="FFFFFF">
                            <a:alpha val="0"/>
                          </a:srgbClr>
                        </a:clrTo>
                      </a:clrChange>
                      <a:extLst>
                        <a:ext uri="{28A0092B-C50C-407E-A947-70E740481C1C}"/>
                      </a:extLst>
                    </a:blip>
                    <a:srcRect/>
                    <a:stretch>
                      <a:fillRect/>
                    </a:stretch>
                  </pic:blipFill>
                  <pic:spPr bwMode="auto">
                    <a:xfrm>
                      <a:off x="0" y="0"/>
                      <a:ext cx="82296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420"/>
        <w:spacing w:after="0"/>
        <w:rPr>
          <w:sz w:val="20"/>
          <w:szCs w:val="20"/>
          <w:color w:val="auto"/>
        </w:rPr>
      </w:pPr>
      <w:r>
        <w:rPr>
          <w:rFonts w:ascii="Arial" w:cs="Arial" w:eastAsia="Arial" w:hAnsi="Arial"/>
          <w:sz w:val="22"/>
          <w:szCs w:val="22"/>
          <w:b w:val="1"/>
          <w:bCs w:val="1"/>
          <w:color w:val="auto"/>
        </w:rPr>
        <w:t>DEPARTMENT OF THE ARMY</w:t>
      </w:r>
    </w:p>
    <w:p>
      <w:pPr>
        <w:spacing w:after="0" w:line="27" w:lineRule="exact"/>
        <w:rPr>
          <w:sz w:val="20"/>
          <w:szCs w:val="20"/>
          <w:color w:val="auto"/>
        </w:rPr>
      </w:pPr>
    </w:p>
    <w:p>
      <w:pPr>
        <w:ind w:left="1400"/>
        <w:spacing w:after="0"/>
        <w:rPr>
          <w:sz w:val="20"/>
          <w:szCs w:val="20"/>
          <w:color w:val="auto"/>
        </w:rPr>
      </w:pPr>
      <w:r>
        <w:rPr>
          <w:rFonts w:ascii="Arial" w:cs="Arial" w:eastAsia="Arial" w:hAnsi="Arial"/>
          <w:sz w:val="22"/>
          <w:szCs w:val="22"/>
          <w:b w:val="1"/>
          <w:bCs w:val="1"/>
          <w:color w:val="auto"/>
        </w:rPr>
        <w:t>U.S. ARMY CONTRACTING COMMAND – NEW JERSEY PICATINNY</w:t>
      </w:r>
    </w:p>
    <w:p>
      <w:pPr>
        <w:spacing w:after="0" w:line="4" w:lineRule="exact"/>
        <w:rPr>
          <w:sz w:val="20"/>
          <w:szCs w:val="20"/>
          <w:color w:val="auto"/>
        </w:rPr>
      </w:pPr>
    </w:p>
    <w:p>
      <w:pPr>
        <w:ind w:left="1780"/>
        <w:spacing w:after="0"/>
        <w:rPr>
          <w:sz w:val="20"/>
          <w:szCs w:val="20"/>
          <w:color w:val="auto"/>
        </w:rPr>
      </w:pPr>
      <w:r>
        <w:rPr>
          <w:rFonts w:ascii="Arial" w:cs="Arial" w:eastAsia="Arial" w:hAnsi="Arial"/>
          <w:sz w:val="22"/>
          <w:szCs w:val="22"/>
          <w:b w:val="1"/>
          <w:bCs w:val="1"/>
          <w:color w:val="auto"/>
        </w:rPr>
        <w:t>ARSENAL, NEW JERSEY 07806-5000</w:t>
      </w:r>
    </w:p>
    <w:p>
      <w:pPr>
        <w:spacing w:after="0" w:line="175"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REPLY TO ATTENTION OF</w:t>
      </w:r>
    </w:p>
    <w:p>
      <w:pPr>
        <w:spacing w:after="0" w:line="21" w:lineRule="exact"/>
        <w:rPr>
          <w:sz w:val="20"/>
          <w:szCs w:val="20"/>
          <w:color w:val="auto"/>
        </w:rPr>
      </w:pPr>
    </w:p>
    <w:p>
      <w:pPr>
        <w:ind w:left="9500"/>
        <w:spacing w:after="0"/>
        <w:rPr>
          <w:sz w:val="20"/>
          <w:szCs w:val="20"/>
          <w:color w:val="auto"/>
        </w:rPr>
      </w:pPr>
      <w:r>
        <w:rPr>
          <w:rFonts w:ascii="Arial" w:cs="Arial" w:eastAsia="Arial" w:hAnsi="Arial"/>
          <w:sz w:val="19"/>
          <w:szCs w:val="19"/>
          <w:color w:val="auto"/>
        </w:rPr>
        <w:t>06 July 2020</w:t>
      </w:r>
    </w:p>
    <w:p>
      <w:pPr>
        <w:spacing w:after="0" w:line="344" w:lineRule="exact"/>
        <w:rPr>
          <w:sz w:val="20"/>
          <w:szCs w:val="20"/>
          <w:color w:val="auto"/>
        </w:rPr>
      </w:pPr>
    </w:p>
    <w:p>
      <w:pPr>
        <w:ind w:right="5020"/>
        <w:spacing w:after="0" w:line="263" w:lineRule="auto"/>
        <w:rPr>
          <w:sz w:val="20"/>
          <w:szCs w:val="20"/>
          <w:color w:val="auto"/>
        </w:rPr>
      </w:pPr>
      <w:r>
        <w:rPr>
          <w:rFonts w:ascii="Arial" w:cs="Arial" w:eastAsia="Arial" w:hAnsi="Arial"/>
          <w:sz w:val="22"/>
          <w:szCs w:val="22"/>
          <w:color w:val="auto"/>
        </w:rPr>
        <w:t>Army Contracting Command – New Jersey ACC-NJ, Building 9 Picatinny Arsenal, NJ 07806</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SUBJECT: </w:t>
      </w:r>
      <w:r>
        <w:rPr>
          <w:rFonts w:ascii="Arial" w:cs="Arial" w:eastAsia="Arial" w:hAnsi="Arial"/>
          <w:sz w:val="22"/>
          <w:szCs w:val="22"/>
          <w:color w:val="auto"/>
        </w:rPr>
        <w:t>Technical Direction Letter for Medical CRBN Defense Consortium (MCDC), Request for Prototype</w:t>
      </w:r>
      <w:r>
        <w:rPr>
          <w:rFonts w:ascii="Arial" w:cs="Arial" w:eastAsia="Arial" w:hAnsi="Arial"/>
          <w:sz w:val="22"/>
          <w:szCs w:val="22"/>
          <w:b w:val="1"/>
          <w:bCs w:val="1"/>
          <w:color w:val="auto"/>
        </w:rPr>
        <w:t xml:space="preserve"> </w:t>
      </w:r>
      <w:r>
        <w:rPr>
          <w:rFonts w:ascii="Arial" w:cs="Arial" w:eastAsia="Arial" w:hAnsi="Arial"/>
          <w:sz w:val="22"/>
          <w:szCs w:val="22"/>
          <w:color w:val="auto"/>
        </w:rPr>
        <w:t>Proposals (RPP) 20-08, Objective TRE-PRE-20-08 for “Large-Scale Manufacturing of Antibodies Directed to SARS-CoV-2” (Regeneron Pharmaceuticals, Inc.)</w:t>
      </w:r>
    </w:p>
    <w:p>
      <w:pPr>
        <w:spacing w:after="0" w:line="163"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b w:val="1"/>
          <w:bCs w:val="1"/>
          <w:color w:val="auto"/>
        </w:rPr>
        <w:t xml:space="preserve">REF: </w:t>
      </w:r>
      <w:r>
        <w:rPr>
          <w:rFonts w:ascii="Arial" w:cs="Arial" w:eastAsia="Arial" w:hAnsi="Arial"/>
          <w:sz w:val="22"/>
          <w:szCs w:val="22"/>
          <w:color w:val="auto"/>
        </w:rPr>
        <w:t>Regeneron Request for Technical Direction Letter, RPP 20-08 under OTA W15QKN-16-9- 1002 for Objective</w:t>
      </w:r>
      <w:r>
        <w:rPr>
          <w:rFonts w:ascii="Arial" w:cs="Arial" w:eastAsia="Arial" w:hAnsi="Arial"/>
          <w:sz w:val="22"/>
          <w:szCs w:val="22"/>
          <w:b w:val="1"/>
          <w:bCs w:val="1"/>
          <w:color w:val="auto"/>
        </w:rPr>
        <w:t xml:space="preserve"> </w:t>
      </w:r>
      <w:r>
        <w:rPr>
          <w:rFonts w:ascii="Arial" w:cs="Arial" w:eastAsia="Arial" w:hAnsi="Arial"/>
          <w:sz w:val="22"/>
          <w:szCs w:val="22"/>
          <w:color w:val="auto"/>
        </w:rPr>
        <w:t>TRE-PRE-20-08, dated 30 June 2020</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Advanced Technology International ATTN: Sr. Contracts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Manager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315 Sigma Drive</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Summerville, SC 29486 Dear ,</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The Army Contracting Command – New Jersey (ACC-NJ), in supporting the Joint Project Manager</w:t>
      </w:r>
    </w:p>
    <w:p>
      <w:pPr>
        <w:spacing w:after="0" w:line="21"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 Medical Countermeasure Systems (JPM-MCS), issued MCDC RPP 20-08 on 17 May 2020. Members of the MCDC submitted proposals in accordance with this RPP. The Government received and evaluated all proposal(s) submitted and a Basis of Selection has been executed, selecting Regeneron as the awardee. The Government requests that a Firm-Fixed-Price Project Agreement be issued to Regeneron to award this proposal under Other Transaction Agreement W15QKN-16-9- 1002, to be performed in accordance with the attached Government Statement of Work (SOW).</w:t>
      </w:r>
    </w:p>
    <w:p>
      <w:pPr>
        <w:spacing w:after="0" w:line="192"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Based upon the acceptable update of Regeneron’s proposal for “Large-Scale Manufacturing of Antibodies Directed to SARS-CoV-2” and 1) The Project Agreement Recipient’s concurrence with the requirements included in the Government SOW; 2) An acceptable milestone schedule that meets SOW requirements, and; 3) The cost proposal that has been analyzed and negotiated by the Government, you are hereby directed to issue a Project Agreement to Regeneron for the subject project. The total project value has been determined fair and reasonable and Regeneron’s proposal has been selected IAW the above referenced Basis of Selection.</w:t>
      </w:r>
    </w:p>
    <w:p>
      <w:pPr>
        <w:sectPr>
          <w:pgSz w:w="11900" w:h="16838" w:orient="portrait"/>
          <w:cols w:equalWidth="0" w:num="1">
            <w:col w:w="10620"/>
          </w:cols>
          <w:pgMar w:left="840" w:top="1440" w:right="439" w:bottom="1440" w:gutter="0" w:footer="0" w:header="0"/>
        </w:sectPr>
      </w:pPr>
    </w:p>
    <w:bookmarkStart w:id="223" w:name="page224"/>
    <w:bookmarkEnd w:id="223"/>
    <w:p>
      <w:pPr>
        <w:jc w:val="both"/>
        <w:spacing w:after="0" w:line="259" w:lineRule="auto"/>
        <w:rPr>
          <w:sz w:val="20"/>
          <w:szCs w:val="20"/>
          <w:color w:val="auto"/>
        </w:rPr>
      </w:pPr>
      <w:r>
        <w:rPr>
          <w:rFonts w:ascii="Arial" w:cs="Arial" w:eastAsia="Arial" w:hAnsi="Arial"/>
          <w:sz w:val="21"/>
          <w:szCs w:val="21"/>
          <w:color w:val="auto"/>
        </w:rPr>
        <w:t>The total approved cost to the Government for this effort is not to exceed $450,392,000.00. The break-out of the costs is as follows: $450,262,000.00 to perform project efforts included in the SOW and $130,000.00 for the Consortium Management Firm (CMF) Administrative Cost. The CMF Administrative Cost and Fee was approved as a "Special Allocation" for Operation Warp Speed (OWS) Prototype Projects executed under the MCDC OTA. The effort currently has $450,392,000.00 of available funding, comprised of $450,262,000.00 for the Project Agreement and $130,000.00 for the CMF. PAH COVID-19 work shall be tracked separately using the funding obligated via modification P00074. In alignment with the special allocation conditions, it is noted that this project has a period of performance of twelve (12) months, with a projected completion date of 30 June 2021. A customized clause for the special allocation, will be incorporated into the funding modification for this prototype project.</w:t>
      </w:r>
    </w:p>
    <w:p>
      <w:pPr>
        <w:spacing w:after="0" w:line="368" w:lineRule="exact"/>
        <w:rPr>
          <w:sz w:val="20"/>
          <w:szCs w:val="20"/>
          <w:color w:val="auto"/>
        </w:rPr>
      </w:pPr>
    </w:p>
    <w:p>
      <w:pPr>
        <w:jc w:val="both"/>
        <w:ind w:right="100"/>
        <w:spacing w:after="0" w:line="263" w:lineRule="auto"/>
        <w:rPr>
          <w:sz w:val="20"/>
          <w:szCs w:val="20"/>
          <w:color w:val="auto"/>
        </w:rPr>
      </w:pPr>
      <w:r>
        <w:rPr>
          <w:rFonts w:ascii="Arial" w:cs="Arial" w:eastAsia="Arial" w:hAnsi="Arial"/>
          <w:sz w:val="21"/>
          <w:szCs w:val="21"/>
          <w:color w:val="auto"/>
        </w:rPr>
        <w:t>The PAH is considered a small business, nontraditional defense contractor, or nonprofit research institution and determined to be providing a significant contribution. The affirmation of business status certifications submitted as part of the proposal are hereby incorporated into the agreement. The contractor shall notify the MCDC CMF of any deviation from the final proposed affirmation of business status certifications that would affect the contributions of the small business, nontraditional defense contractor, or nonprofit research institution as proposed.</w:t>
      </w:r>
    </w:p>
    <w:p>
      <w:pPr>
        <w:spacing w:after="0" w:line="202" w:lineRule="exact"/>
        <w:rPr>
          <w:sz w:val="20"/>
          <w:szCs w:val="20"/>
          <w:color w:val="auto"/>
        </w:rPr>
      </w:pPr>
    </w:p>
    <w:p>
      <w:pPr>
        <w:jc w:val="both"/>
        <w:ind w:right="100"/>
        <w:spacing w:after="0" w:line="253" w:lineRule="auto"/>
        <w:rPr>
          <w:sz w:val="20"/>
          <w:szCs w:val="20"/>
          <w:color w:val="auto"/>
        </w:rPr>
      </w:pPr>
      <w:r>
        <w:rPr>
          <w:rFonts w:ascii="Arial" w:cs="Arial" w:eastAsia="Arial" w:hAnsi="Arial"/>
          <w:sz w:val="22"/>
          <w:szCs w:val="22"/>
          <w:color w:val="auto"/>
        </w:rPr>
        <w:t>In accordance with 10.U.S.C. 2371b(f), and upon a determination that the prototype project for this transaction has been successfully completed, this competitively awarded prototype OTA may result in the award of a follow-on production contract or transaction without the use of competitive procedures.</w:t>
      </w:r>
    </w:p>
    <w:p>
      <w:pPr>
        <w:spacing w:after="0" w:line="212" w:lineRule="exact"/>
        <w:rPr>
          <w:sz w:val="20"/>
          <w:szCs w:val="20"/>
          <w:color w:val="auto"/>
        </w:rPr>
      </w:pPr>
    </w:p>
    <w:p>
      <w:pPr>
        <w:jc w:val="both"/>
        <w:ind w:right="100"/>
        <w:spacing w:after="0" w:line="258" w:lineRule="auto"/>
        <w:rPr>
          <w:sz w:val="20"/>
          <w:szCs w:val="20"/>
          <w:color w:val="auto"/>
        </w:rPr>
      </w:pPr>
      <w:r>
        <w:rPr>
          <w:rFonts w:ascii="Arial" w:cs="Arial" w:eastAsia="Arial" w:hAnsi="Arial"/>
          <w:sz w:val="21"/>
          <w:szCs w:val="21"/>
          <w:color w:val="auto"/>
        </w:rPr>
        <w:t>The Government and Advanced Technology International (“ATI”) hereby agree and confirm that (a) ATI, in its capacity as the Consortium Management Firm under the Medical CBRN Defense Consortium (MCDC) Other Transaction Agreement No. W15QKN-16-9-1002 (the MCDC Agreement), has the authorization to enter into the Medical CBRN Defense Consortium Base Agreement No. 2020-504 and the Statement of Work (collectively, the “Regeneron Agreement”) with Regeneron on behalf of the Government, (b) the Government is and shall be bound by its obligations set forth in the Regeneron Agreement, and the MCDC Agreement is hereby amended to incorporate these obligations in the MCDC Agreement, as that Agreement relates to Regeneron, and (c) Regeneron is an intended third-party beneficiary of such obligations that can enforce them directly against the Government, and (d) in the event of any conflict between the Regeneron Agreement, on the one hand, and the MCDC Agreement, on the other hand, the Regeneron Agreement shall control and take precedence.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Points of Contact:</w:t>
      </w: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Agreements Specialist: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E-mail: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Phone: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Agreements Officer:</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E-mail: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Phone:</w:t>
      </w:r>
    </w:p>
    <w:p>
      <w:pPr>
        <w:sectPr>
          <w:pgSz w:w="11900" w:h="16838" w:orient="portrait"/>
          <w:cols w:equalWidth="0" w:num="1">
            <w:col w:w="10720"/>
          </w:cols>
          <w:pgMar w:left="840" w:top="1374" w:right="339" w:bottom="1440" w:gutter="0" w:footer="0" w:header="0"/>
        </w:sectPr>
      </w:pPr>
    </w:p>
    <w:bookmarkStart w:id="224" w:name="page225"/>
    <w:bookmarkEnd w:id="224"/>
    <w:p>
      <w:pPr>
        <w:spacing w:after="0" w:line="200" w:lineRule="exact"/>
        <w:rPr>
          <w:sz w:val="20"/>
          <w:szCs w:val="20"/>
          <w:color w:val="auto"/>
        </w:rPr>
      </w:pPr>
    </w:p>
    <w:p>
      <w:pPr>
        <w:spacing w:after="0" w:line="234"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Regards,</w:t>
      </w:r>
    </w:p>
    <w:p>
      <w:pPr>
        <w:spacing w:after="0" w:line="200" w:lineRule="exact"/>
        <w:rPr>
          <w:sz w:val="20"/>
          <w:szCs w:val="20"/>
          <w:color w:val="auto"/>
        </w:rPr>
      </w:pPr>
    </w:p>
    <w:p>
      <w:pPr>
        <w:spacing w:after="0" w:line="380" w:lineRule="exact"/>
        <w:rPr>
          <w:sz w:val="20"/>
          <w:szCs w:val="20"/>
          <w:color w:val="auto"/>
        </w:rPr>
      </w:pPr>
    </w:p>
    <w:p>
      <w:pPr>
        <w:ind w:left="4020"/>
        <w:spacing w:after="0"/>
        <w:rPr>
          <w:sz w:val="20"/>
          <w:szCs w:val="20"/>
          <w:color w:val="auto"/>
        </w:rPr>
      </w:pPr>
      <w:r>
        <w:rPr>
          <w:rFonts w:ascii="Arial" w:cs="Arial" w:eastAsia="Arial" w:hAnsi="Arial"/>
          <w:sz w:val="41"/>
          <w:szCs w:val="41"/>
          <w:color w:val="auto"/>
        </w:rPr>
        <w:t>______________</w:t>
      </w:r>
    </w:p>
    <w:p>
      <w:pPr>
        <w:spacing w:after="0" w:line="359" w:lineRule="exact"/>
        <w:rPr>
          <w:sz w:val="20"/>
          <w:szCs w:val="20"/>
          <w:color w:val="auto"/>
        </w:rPr>
      </w:pPr>
    </w:p>
    <w:p>
      <w:pPr>
        <w:ind w:left="4680"/>
        <w:spacing w:after="0"/>
        <w:rPr>
          <w:sz w:val="20"/>
          <w:szCs w:val="20"/>
          <w:color w:val="auto"/>
        </w:rPr>
      </w:pPr>
      <w:r>
        <w:rPr>
          <w:rFonts w:ascii="Arial" w:cs="Arial" w:eastAsia="Arial" w:hAnsi="Arial"/>
          <w:sz w:val="14"/>
          <w:szCs w:val="14"/>
          <w:color w:val="auto"/>
        </w:rPr>
        <w:t>Agreements Officer</w:t>
      </w:r>
    </w:p>
    <w:p>
      <w:pPr>
        <w:spacing w:after="0" w:line="21" w:lineRule="exact"/>
        <w:rPr>
          <w:sz w:val="20"/>
          <w:szCs w:val="20"/>
          <w:color w:val="auto"/>
        </w:rPr>
      </w:pPr>
    </w:p>
    <w:p>
      <w:pPr>
        <w:ind w:left="4680"/>
        <w:spacing w:after="0"/>
        <w:rPr>
          <w:sz w:val="20"/>
          <w:szCs w:val="20"/>
          <w:color w:val="auto"/>
        </w:rPr>
      </w:pPr>
      <w:r>
        <w:rPr>
          <w:rFonts w:ascii="Arial" w:cs="Arial" w:eastAsia="Arial" w:hAnsi="Arial"/>
          <w:sz w:val="14"/>
          <w:szCs w:val="14"/>
          <w:color w:val="auto"/>
        </w:rPr>
        <w:t>Signed by:</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0"/>
          <w:szCs w:val="20"/>
          <w:color w:val="auto"/>
        </w:rPr>
        <w:t>Attachments: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Attachment 1: MCDC2008-005 - Regeneron - 7-3-2020 Attachment 2: OPSEC</w:t>
      </w:r>
    </w:p>
    <w:p>
      <w:pPr>
        <w:spacing w:after="0"/>
        <w:rPr>
          <w:sz w:val="20"/>
          <w:szCs w:val="20"/>
          <w:color w:val="auto"/>
        </w:rPr>
      </w:pPr>
      <w:r>
        <w:rPr>
          <w:rFonts w:ascii="Arial" w:cs="Arial" w:eastAsia="Arial" w:hAnsi="Arial"/>
          <w:sz w:val="20"/>
          <w:szCs w:val="20"/>
          <w:color w:val="auto"/>
        </w:rPr>
        <w:t>Language Addendum</w:t>
      </w:r>
    </w:p>
    <w:p>
      <w:pPr>
        <w:spacing w:after="0"/>
        <w:rPr>
          <w:sz w:val="20"/>
          <w:szCs w:val="20"/>
          <w:color w:val="auto"/>
        </w:rPr>
      </w:pPr>
      <w:r>
        <w:rPr>
          <w:rFonts w:ascii="Arial" w:cs="Arial" w:eastAsia="Arial" w:hAnsi="Arial"/>
          <w:sz w:val="20"/>
          <w:szCs w:val="20"/>
          <w:color w:val="auto"/>
        </w:rPr>
        <w:t>Attachment 3: MCDC OTA Special Allocation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rPr>
          <w:sz w:val="20"/>
          <w:szCs w:val="20"/>
          <w:color w:val="auto"/>
        </w:rPr>
      </w:pPr>
      <w:r>
        <w:rPr>
          <w:rFonts w:ascii="Arial" w:cs="Arial" w:eastAsia="Arial" w:hAnsi="Arial"/>
          <w:sz w:val="20"/>
          <w:szCs w:val="20"/>
          <w:color w:val="auto"/>
        </w:rPr>
        <w:t>ATI Signatory</w:t>
      </w:r>
    </w:p>
    <w:p>
      <w:pPr>
        <w:sectPr>
          <w:pgSz w:w="11900" w:h="16838" w:orient="portrait"/>
          <w:cols w:equalWidth="0" w:num="1">
            <w:col w:w="9619"/>
          </w:cols>
          <w:pgMar w:left="840" w:top="1440" w:right="1440"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color w:val="auto"/>
        </w:rPr>
        <w:t>Exhibit 10.34.1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6532245" cy="6343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33">
                      <a:extLst>
                        <a:ext uri="{28A0092B-C50C-407E-A947-70E740481C1C}"/>
                      </a:extLst>
                    </a:blip>
                    <a:srcRect/>
                    <a:stretch>
                      <a:fillRect/>
                    </a:stretch>
                  </pic:blipFill>
                  <pic:spPr bwMode="auto">
                    <a:xfrm>
                      <a:off x="0" y="0"/>
                      <a:ext cx="653224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7"/>
        <w:spacing w:after="0"/>
        <w:rPr>
          <w:sz w:val="20"/>
          <w:szCs w:val="20"/>
          <w:color w:val="auto"/>
        </w:rPr>
      </w:pPr>
      <w:r>
        <w:rPr>
          <w:rFonts w:ascii="Arial" w:cs="Arial" w:eastAsia="Arial" w:hAnsi="Arial"/>
          <w:sz w:val="20"/>
          <w:szCs w:val="20"/>
          <w:color w:val="231F20"/>
        </w:rPr>
        <w:t>October 13, 2020</w:t>
      </w:r>
    </w:p>
    <w:p>
      <w:pPr>
        <w:spacing w:after="0" w:line="243" w:lineRule="exact"/>
        <w:rPr>
          <w:sz w:val="20"/>
          <w:szCs w:val="20"/>
          <w:color w:val="auto"/>
        </w:rPr>
      </w:pPr>
    </w:p>
    <w:p>
      <w:pPr>
        <w:ind w:left="7"/>
        <w:spacing w:after="0"/>
        <w:rPr>
          <w:sz w:val="20"/>
          <w:szCs w:val="20"/>
          <w:color w:val="auto"/>
        </w:rPr>
      </w:pPr>
      <w:r>
        <w:rPr>
          <w:rFonts w:ascii="Arial" w:cs="Arial" w:eastAsia="Arial" w:hAnsi="Arial"/>
          <w:sz w:val="20"/>
          <w:szCs w:val="20"/>
          <w:color w:val="231F20"/>
        </w:rPr>
        <w:t>Regeneron Pharmaceuticals, Inc.</w:t>
      </w:r>
    </w:p>
    <w:p>
      <w:pPr>
        <w:spacing w:after="0" w:line="15" w:lineRule="exact"/>
        <w:rPr>
          <w:sz w:val="20"/>
          <w:szCs w:val="20"/>
          <w:color w:val="auto"/>
        </w:rPr>
      </w:pPr>
    </w:p>
    <w:p>
      <w:pPr>
        <w:ind w:left="7"/>
        <w:spacing w:after="0"/>
        <w:rPr>
          <w:sz w:val="20"/>
          <w:szCs w:val="20"/>
          <w:color w:val="auto"/>
        </w:rPr>
      </w:pPr>
      <w:r>
        <w:rPr>
          <w:rFonts w:ascii="Arial" w:cs="Arial" w:eastAsia="Arial" w:hAnsi="Arial"/>
          <w:sz w:val="20"/>
          <w:szCs w:val="20"/>
          <w:color w:val="231F20"/>
        </w:rPr>
        <w:t>777 Old Saw Mill River Rd</w:t>
      </w:r>
    </w:p>
    <w:p>
      <w:pPr>
        <w:ind w:left="7"/>
        <w:spacing w:after="0"/>
        <w:rPr>
          <w:sz w:val="20"/>
          <w:szCs w:val="20"/>
          <w:color w:val="auto"/>
        </w:rPr>
      </w:pPr>
      <w:r>
        <w:rPr>
          <w:rFonts w:ascii="Arial" w:cs="Arial" w:eastAsia="Arial" w:hAnsi="Arial"/>
          <w:sz w:val="20"/>
          <w:szCs w:val="20"/>
          <w:color w:val="231F20"/>
        </w:rPr>
        <w:t>Tarrytown, NY 10591</w:t>
      </w:r>
    </w:p>
    <w:p>
      <w:pPr>
        <w:spacing w:after="0" w:line="348" w:lineRule="exact"/>
        <w:rPr>
          <w:sz w:val="20"/>
          <w:szCs w:val="20"/>
          <w:color w:val="auto"/>
        </w:rPr>
      </w:pPr>
    </w:p>
    <w:p>
      <w:pPr>
        <w:ind w:left="7"/>
        <w:spacing w:after="0"/>
        <w:rPr>
          <w:sz w:val="20"/>
          <w:szCs w:val="20"/>
          <w:color w:val="auto"/>
        </w:rPr>
      </w:pPr>
      <w:r>
        <w:rPr>
          <w:rFonts w:ascii="Arial" w:cs="Arial" w:eastAsia="Arial" w:hAnsi="Arial"/>
          <w:sz w:val="20"/>
          <w:szCs w:val="20"/>
          <w:color w:val="231F20"/>
        </w:rPr>
        <w:t>Attention:</w:t>
      </w:r>
    </w:p>
    <w:p>
      <w:pPr>
        <w:spacing w:after="0" w:line="229" w:lineRule="exact"/>
        <w:rPr>
          <w:sz w:val="20"/>
          <w:szCs w:val="20"/>
          <w:color w:val="auto"/>
        </w:rPr>
      </w:pPr>
    </w:p>
    <w:p>
      <w:pPr>
        <w:ind w:left="7"/>
        <w:spacing w:after="0"/>
        <w:tabs>
          <w:tab w:leader="none" w:pos="826" w:val="left"/>
        </w:tabs>
        <w:rPr>
          <w:sz w:val="20"/>
          <w:szCs w:val="20"/>
          <w:color w:val="auto"/>
        </w:rPr>
      </w:pPr>
      <w:r>
        <w:rPr>
          <w:rFonts w:ascii="Arial" w:cs="Arial" w:eastAsia="Arial" w:hAnsi="Arial"/>
          <w:sz w:val="20"/>
          <w:szCs w:val="20"/>
          <w:color w:val="231F20"/>
        </w:rPr>
        <w:t>Subject:</w:t>
      </w:r>
      <w:r>
        <w:rPr>
          <w:sz w:val="20"/>
          <w:szCs w:val="20"/>
          <w:color w:val="auto"/>
        </w:rPr>
        <w:tab/>
      </w:r>
      <w:r>
        <w:rPr>
          <w:rFonts w:ascii="Arial" w:cs="Arial" w:eastAsia="Arial" w:hAnsi="Arial"/>
          <w:sz w:val="18"/>
          <w:szCs w:val="18"/>
          <w:color w:val="231F20"/>
        </w:rPr>
        <w:t>Modification No. 01 to Project Agreement No. 01; MCDC2008-005</w:t>
      </w:r>
    </w:p>
    <w:p>
      <w:pPr>
        <w:spacing w:after="0" w:line="229" w:lineRule="exact"/>
        <w:rPr>
          <w:sz w:val="20"/>
          <w:szCs w:val="20"/>
          <w:color w:val="auto"/>
        </w:rPr>
      </w:pPr>
    </w:p>
    <w:p>
      <w:pPr>
        <w:ind w:left="7"/>
        <w:spacing w:after="0"/>
        <w:tabs>
          <w:tab w:leader="none" w:pos="1026" w:val="left"/>
        </w:tabs>
        <w:rPr>
          <w:sz w:val="20"/>
          <w:szCs w:val="20"/>
          <w:color w:val="auto"/>
        </w:rPr>
      </w:pPr>
      <w:r>
        <w:rPr>
          <w:rFonts w:ascii="Arial" w:cs="Arial" w:eastAsia="Arial" w:hAnsi="Arial"/>
          <w:sz w:val="20"/>
          <w:szCs w:val="20"/>
          <w:color w:val="231F20"/>
        </w:rPr>
        <w:t>Reference:</w:t>
      </w:r>
      <w:r>
        <w:rPr>
          <w:sz w:val="20"/>
          <w:szCs w:val="20"/>
          <w:color w:val="auto"/>
        </w:rPr>
        <w:tab/>
      </w:r>
      <w:r>
        <w:rPr>
          <w:rFonts w:ascii="Arial" w:cs="Arial" w:eastAsia="Arial" w:hAnsi="Arial"/>
          <w:sz w:val="18"/>
          <w:szCs w:val="18"/>
          <w:color w:val="231F20"/>
        </w:rPr>
        <w:t>MCDC Base Agreement No. 2020-504</w:t>
      </w:r>
    </w:p>
    <w:p>
      <w:pPr>
        <w:spacing w:after="0" w:line="108" w:lineRule="exact"/>
        <w:rPr>
          <w:sz w:val="20"/>
          <w:szCs w:val="20"/>
          <w:color w:val="auto"/>
        </w:rPr>
      </w:pPr>
    </w:p>
    <w:p>
      <w:pPr>
        <w:ind w:left="7"/>
        <w:spacing w:after="0"/>
        <w:tabs>
          <w:tab w:leader="none" w:pos="566" w:val="left"/>
        </w:tabs>
        <w:rPr>
          <w:sz w:val="20"/>
          <w:szCs w:val="20"/>
          <w:color w:val="auto"/>
        </w:rPr>
      </w:pPr>
      <w:r>
        <w:rPr>
          <w:rFonts w:ascii="Arial" w:cs="Arial" w:eastAsia="Arial" w:hAnsi="Arial"/>
          <w:sz w:val="20"/>
          <w:szCs w:val="20"/>
          <w:color w:val="231F20"/>
        </w:rPr>
        <w:t>Dear</w:t>
        <w:tab/>
        <w:t>:</w:t>
      </w:r>
    </w:p>
    <w:p>
      <w:pPr>
        <w:spacing w:after="0" w:line="243" w:lineRule="exact"/>
        <w:rPr>
          <w:sz w:val="20"/>
          <w:szCs w:val="20"/>
          <w:color w:val="auto"/>
        </w:rPr>
      </w:pPr>
    </w:p>
    <w:p>
      <w:pPr>
        <w:ind w:left="7" w:right="260" w:firstLine="648"/>
        <w:spacing w:after="0" w:line="260" w:lineRule="auto"/>
        <w:rPr>
          <w:sz w:val="20"/>
          <w:szCs w:val="20"/>
          <w:color w:val="auto"/>
        </w:rPr>
      </w:pPr>
      <w:r>
        <w:rPr>
          <w:rFonts w:ascii="Arial" w:cs="Arial" w:eastAsia="Arial" w:hAnsi="Arial"/>
          <w:sz w:val="20"/>
          <w:szCs w:val="20"/>
          <w:color w:val="231F20"/>
        </w:rPr>
        <w:t>In accordance with the terms and conditions of the referenced MCDC Base Agreement, Modification No. 01 hereby amends the Project Agreement No. 01 as follows:</w:t>
      </w:r>
    </w:p>
    <w:p>
      <w:pPr>
        <w:spacing w:after="0" w:line="198"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u w:val="single" w:color="auto"/>
          <w:color w:val="231F20"/>
        </w:rPr>
        <w:t>DESCRIPTION OF MODIFICATION</w:t>
      </w:r>
    </w:p>
    <w:p>
      <w:pPr>
        <w:spacing w:after="0" w:line="324" w:lineRule="exact"/>
        <w:rPr>
          <w:sz w:val="20"/>
          <w:szCs w:val="20"/>
          <w:color w:val="auto"/>
        </w:rPr>
      </w:pPr>
    </w:p>
    <w:p>
      <w:pPr>
        <w:ind w:left="327" w:right="940" w:hanging="327"/>
        <w:spacing w:after="0" w:line="267" w:lineRule="auto"/>
        <w:tabs>
          <w:tab w:leader="none" w:pos="315" w:val="left"/>
        </w:tabs>
        <w:numPr>
          <w:ilvl w:val="0"/>
          <w:numId w:val="161"/>
        </w:numPr>
        <w:rPr>
          <w:rFonts w:ascii="Arial" w:cs="Arial" w:eastAsia="Arial" w:hAnsi="Arial"/>
          <w:sz w:val="20"/>
          <w:szCs w:val="20"/>
          <w:b w:val="1"/>
          <w:bCs w:val="1"/>
          <w:color w:val="231F20"/>
        </w:rPr>
      </w:pPr>
      <w:r>
        <w:rPr>
          <w:rFonts w:ascii="Arial" w:cs="Arial" w:eastAsia="Arial" w:hAnsi="Arial"/>
          <w:sz w:val="20"/>
          <w:szCs w:val="20"/>
          <w:b w:val="1"/>
          <w:bCs w:val="1"/>
          <w:color w:val="231F20"/>
        </w:rPr>
        <w:t>The Technical and Administrative Representatives clause of the Project Agreement is hereby amended to read as indicated in bold below:</w:t>
      </w:r>
    </w:p>
    <w:p>
      <w:pPr>
        <w:spacing w:after="0" w:line="204" w:lineRule="exact"/>
        <w:rPr>
          <w:sz w:val="20"/>
          <w:szCs w:val="20"/>
          <w:color w:val="auto"/>
        </w:rPr>
      </w:pPr>
    </w:p>
    <w:p>
      <w:pPr>
        <w:ind w:left="327"/>
        <w:spacing w:after="0"/>
        <w:rPr>
          <w:sz w:val="20"/>
          <w:szCs w:val="20"/>
          <w:color w:val="auto"/>
        </w:rPr>
      </w:pPr>
      <w:r>
        <w:rPr>
          <w:rFonts w:ascii="Arial" w:cs="Arial" w:eastAsia="Arial" w:hAnsi="Arial"/>
          <w:sz w:val="20"/>
          <w:szCs w:val="20"/>
          <w:b w:val="1"/>
          <w:bCs w:val="1"/>
          <w:color w:val="231F20"/>
        </w:rPr>
        <w:t>9. TECHNICAL AND ADMINISTRATIVE REPRESENTATIVES</w:t>
      </w:r>
    </w:p>
    <w:p>
      <w:pPr>
        <w:spacing w:after="0" w:line="8" w:lineRule="exact"/>
        <w:rPr>
          <w:sz w:val="20"/>
          <w:szCs w:val="20"/>
          <w:color w:val="auto"/>
        </w:rPr>
      </w:pPr>
    </w:p>
    <w:p>
      <w:pPr>
        <w:ind w:left="327"/>
        <w:spacing w:after="0"/>
        <w:rPr>
          <w:sz w:val="20"/>
          <w:szCs w:val="20"/>
          <w:color w:val="auto"/>
        </w:rPr>
      </w:pPr>
      <w:r>
        <w:rPr>
          <w:rFonts w:ascii="Arial" w:cs="Arial" w:eastAsia="Arial" w:hAnsi="Arial"/>
          <w:sz w:val="19"/>
          <w:szCs w:val="19"/>
          <w:color w:val="231F20"/>
        </w:rPr>
        <w:t>The following technical and contractual representatives of the Parties are hereby designated for this Project Agreement.</w:t>
      </w:r>
    </w:p>
    <w:p>
      <w:pPr>
        <w:spacing w:after="0" w:line="11" w:lineRule="exact"/>
        <w:rPr>
          <w:sz w:val="20"/>
          <w:szCs w:val="20"/>
          <w:color w:val="auto"/>
        </w:rPr>
      </w:pPr>
    </w:p>
    <w:p>
      <w:pPr>
        <w:ind w:left="327"/>
        <w:spacing w:after="0"/>
        <w:rPr>
          <w:sz w:val="20"/>
          <w:szCs w:val="20"/>
          <w:color w:val="auto"/>
        </w:rPr>
      </w:pPr>
      <w:r>
        <w:rPr>
          <w:rFonts w:ascii="Arial" w:cs="Arial" w:eastAsia="Arial" w:hAnsi="Arial"/>
          <w:sz w:val="20"/>
          <w:szCs w:val="20"/>
          <w:color w:val="231F20"/>
        </w:rPr>
        <w:t>Either party may change their designated representatives by written notification to the other.</w:t>
      </w:r>
    </w:p>
    <w:p>
      <w:pPr>
        <w:spacing w:after="0" w:line="281" w:lineRule="exact"/>
        <w:rPr>
          <w:sz w:val="20"/>
          <w:szCs w:val="20"/>
          <w:color w:val="auto"/>
        </w:rPr>
      </w:pPr>
    </w:p>
    <w:p>
      <w:pPr>
        <w:ind w:left="1187"/>
        <w:spacing w:after="0"/>
        <w:rPr>
          <w:sz w:val="20"/>
          <w:szCs w:val="20"/>
          <w:color w:val="auto"/>
        </w:rPr>
      </w:pPr>
      <w:r>
        <w:rPr>
          <w:rFonts w:ascii="Arial" w:cs="Arial" w:eastAsia="Arial" w:hAnsi="Arial"/>
          <w:sz w:val="20"/>
          <w:szCs w:val="20"/>
          <w:u w:val="single" w:color="auto"/>
          <w:color w:val="231F20"/>
        </w:rPr>
        <w:t>MCDC CMF Contractual Representative:</w:t>
      </w:r>
    </w:p>
    <w:p>
      <w:pPr>
        <w:spacing w:after="0" w:line="48" w:lineRule="exact"/>
        <w:rPr>
          <w:sz w:val="20"/>
          <w:szCs w:val="20"/>
          <w:color w:val="auto"/>
        </w:rPr>
      </w:pPr>
    </w:p>
    <w:p>
      <w:pPr>
        <w:ind w:left="1187"/>
        <w:spacing w:after="0"/>
        <w:rPr>
          <w:sz w:val="20"/>
          <w:szCs w:val="20"/>
          <w:color w:val="auto"/>
        </w:rPr>
      </w:pPr>
      <w:r>
        <w:rPr>
          <w:rFonts w:ascii="Arial" w:cs="Arial" w:eastAsia="Arial" w:hAnsi="Arial"/>
          <w:sz w:val="20"/>
          <w:szCs w:val="20"/>
          <w:b w:val="1"/>
          <w:bCs w:val="1"/>
          <w:color w:val="231F20"/>
        </w:rPr>
        <w:t>MCDC Contracts</w:t>
      </w:r>
    </w:p>
    <w:p>
      <w:pPr>
        <w:spacing w:after="0" w:line="60" w:lineRule="exact"/>
        <w:rPr>
          <w:sz w:val="20"/>
          <w:szCs w:val="20"/>
          <w:color w:val="auto"/>
        </w:rPr>
      </w:pPr>
    </w:p>
    <w:p>
      <w:pPr>
        <w:ind w:left="1187"/>
        <w:spacing w:after="0"/>
        <w:rPr>
          <w:sz w:val="20"/>
          <w:szCs w:val="20"/>
          <w:color w:val="auto"/>
        </w:rPr>
      </w:pPr>
      <w:r>
        <w:rPr>
          <w:rFonts w:ascii="Arial" w:cs="Arial" w:eastAsia="Arial" w:hAnsi="Arial"/>
          <w:sz w:val="20"/>
          <w:szCs w:val="20"/>
          <w:color w:val="231F20"/>
        </w:rPr>
        <w:t>Advanced Technology International</w:t>
      </w:r>
    </w:p>
    <w:p>
      <w:pPr>
        <w:spacing w:after="0" w:line="54" w:lineRule="exact"/>
        <w:rPr>
          <w:sz w:val="20"/>
          <w:szCs w:val="20"/>
          <w:color w:val="auto"/>
        </w:rPr>
      </w:pPr>
    </w:p>
    <w:p>
      <w:pPr>
        <w:ind w:left="1187"/>
        <w:spacing w:after="0"/>
        <w:rPr>
          <w:sz w:val="20"/>
          <w:szCs w:val="20"/>
          <w:color w:val="auto"/>
        </w:rPr>
      </w:pPr>
      <w:r>
        <w:rPr>
          <w:rFonts w:ascii="Arial" w:cs="Arial" w:eastAsia="Arial" w:hAnsi="Arial"/>
          <w:sz w:val="20"/>
          <w:szCs w:val="20"/>
          <w:color w:val="231F20"/>
        </w:rPr>
        <w:t>315 Sigma Drive</w:t>
      </w:r>
    </w:p>
    <w:p>
      <w:pPr>
        <w:spacing w:after="0" w:line="54" w:lineRule="exact"/>
        <w:rPr>
          <w:sz w:val="20"/>
          <w:szCs w:val="20"/>
          <w:color w:val="auto"/>
        </w:rPr>
      </w:pPr>
    </w:p>
    <w:p>
      <w:pPr>
        <w:ind w:left="1187"/>
        <w:spacing w:after="0"/>
        <w:rPr>
          <w:sz w:val="20"/>
          <w:szCs w:val="20"/>
          <w:color w:val="auto"/>
        </w:rPr>
      </w:pPr>
      <w:r>
        <w:rPr>
          <w:rFonts w:ascii="Arial" w:cs="Arial" w:eastAsia="Arial" w:hAnsi="Arial"/>
          <w:sz w:val="20"/>
          <w:szCs w:val="20"/>
          <w:color w:val="231F20"/>
        </w:rPr>
        <w:t>Summerville, SC 29486</w:t>
      </w:r>
    </w:p>
    <w:p>
      <w:pPr>
        <w:spacing w:after="0" w:line="54" w:lineRule="exact"/>
        <w:rPr>
          <w:sz w:val="20"/>
          <w:szCs w:val="20"/>
          <w:color w:val="auto"/>
        </w:rPr>
      </w:pPr>
    </w:p>
    <w:p>
      <w:pPr>
        <w:ind w:left="1187"/>
        <w:spacing w:after="0"/>
        <w:rPr>
          <w:sz w:val="20"/>
          <w:szCs w:val="20"/>
          <w:color w:val="auto"/>
        </w:rPr>
      </w:pPr>
      <w:r>
        <w:rPr>
          <w:rFonts w:ascii="Arial" w:cs="Arial" w:eastAsia="Arial" w:hAnsi="Arial"/>
          <w:sz w:val="20"/>
          <w:szCs w:val="20"/>
          <w:color w:val="231F20"/>
        </w:rPr>
        <w:t>Email:</w:t>
      </w:r>
    </w:p>
    <w:p>
      <w:pPr>
        <w:spacing w:after="0" w:line="54" w:lineRule="exact"/>
        <w:rPr>
          <w:sz w:val="20"/>
          <w:szCs w:val="20"/>
          <w:color w:val="auto"/>
        </w:rPr>
      </w:pPr>
    </w:p>
    <w:p>
      <w:pPr>
        <w:ind w:left="1187"/>
        <w:spacing w:after="0"/>
        <w:rPr>
          <w:sz w:val="20"/>
          <w:szCs w:val="20"/>
          <w:color w:val="auto"/>
        </w:rPr>
      </w:pPr>
      <w:r>
        <w:rPr>
          <w:rFonts w:ascii="Arial" w:cs="Arial" w:eastAsia="Arial" w:hAnsi="Arial"/>
          <w:sz w:val="20"/>
          <w:szCs w:val="20"/>
          <w:color w:val="231F20"/>
        </w:rPr>
        <w:t>Phone:</w:t>
      </w:r>
    </w:p>
    <w:p>
      <w:pPr>
        <w:spacing w:after="0" w:line="299" w:lineRule="exact"/>
        <w:rPr>
          <w:sz w:val="20"/>
          <w:szCs w:val="20"/>
          <w:color w:val="auto"/>
        </w:rPr>
      </w:pPr>
    </w:p>
    <w:tbl>
      <w:tblPr>
        <w:tblLayout w:type="fixed"/>
        <w:tblInd w:w="1147"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3160" w:type="dxa"/>
            <w:vAlign w:val="bottom"/>
            <w:tcBorders>
              <w:bottom w:val="single" w:sz="8" w:color="231F20"/>
            </w:tcBorders>
            <w:gridSpan w:val="3"/>
          </w:tcPr>
          <w:p>
            <w:pPr>
              <w:spacing w:after="0"/>
              <w:rPr>
                <w:sz w:val="20"/>
                <w:szCs w:val="20"/>
                <w:color w:val="auto"/>
              </w:rPr>
            </w:pPr>
            <w:r>
              <w:rPr>
                <w:rFonts w:ascii="Arial" w:cs="Arial" w:eastAsia="Arial" w:hAnsi="Arial"/>
                <w:sz w:val="20"/>
                <w:szCs w:val="20"/>
                <w:color w:val="231F20"/>
                <w:w w:val="87"/>
              </w:rPr>
              <w:t>Government Technical Representatives:</w:t>
            </w:r>
          </w:p>
        </w:tc>
        <w:tc>
          <w:tcPr>
            <w:tcW w:w="2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40" w:type="dxa"/>
            <w:vAlign w:val="bottom"/>
          </w:tcPr>
          <w:p>
            <w:pPr>
              <w:spacing w:after="0"/>
              <w:rPr>
                <w:sz w:val="24"/>
                <w:szCs w:val="24"/>
                <w:color w:val="auto"/>
              </w:rPr>
            </w:pPr>
          </w:p>
        </w:tc>
        <w:tc>
          <w:tcPr>
            <w:tcW w:w="3380" w:type="dxa"/>
            <w:vAlign w:val="bottom"/>
            <w:gridSpan w:val="4"/>
          </w:tcPr>
          <w:p>
            <w:pPr>
              <w:spacing w:after="0"/>
              <w:rPr>
                <w:sz w:val="20"/>
                <w:szCs w:val="20"/>
                <w:color w:val="auto"/>
              </w:rPr>
            </w:pPr>
            <w:r>
              <w:rPr>
                <w:rFonts w:ascii="Arial" w:cs="Arial" w:eastAsia="Arial" w:hAnsi="Arial"/>
                <w:sz w:val="20"/>
                <w:szCs w:val="20"/>
                <w:color w:val="231F20"/>
              </w:rPr>
              <w:t>Agreements Officer Representative</w:t>
            </w:r>
          </w:p>
        </w:tc>
        <w:tc>
          <w:tcPr>
            <w:tcW w:w="2440" w:type="dxa"/>
            <w:vAlign w:val="bottom"/>
            <w:vMerge w:val="restart"/>
          </w:tcPr>
          <w:p>
            <w:pPr>
              <w:ind w:left="220"/>
              <w:spacing w:after="0"/>
              <w:rPr>
                <w:sz w:val="20"/>
                <w:szCs w:val="20"/>
                <w:color w:val="auto"/>
              </w:rPr>
            </w:pPr>
            <w:r>
              <w:rPr>
                <w:rFonts w:ascii="Arial" w:cs="Arial" w:eastAsia="Arial" w:hAnsi="Arial"/>
                <w:sz w:val="20"/>
                <w:szCs w:val="20"/>
                <w:b w:val="1"/>
                <w:bCs w:val="1"/>
                <w:color w:val="231F20"/>
              </w:rPr>
              <w:t>Alternate AOR: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380" w:type="dxa"/>
            <w:vAlign w:val="bottom"/>
            <w:gridSpan w:val="4"/>
          </w:tcPr>
          <w:p>
            <w:pPr>
              <w:spacing w:after="0"/>
              <w:rPr>
                <w:sz w:val="20"/>
                <w:szCs w:val="20"/>
                <w:color w:val="auto"/>
              </w:rPr>
            </w:pPr>
            <w:r>
              <w:rPr>
                <w:rFonts w:ascii="Arial" w:cs="Arial" w:eastAsia="Arial" w:hAnsi="Arial"/>
                <w:sz w:val="20"/>
                <w:szCs w:val="20"/>
                <w:color w:val="231F20"/>
              </w:rPr>
              <w:t>(AOR):</w:t>
            </w:r>
          </w:p>
        </w:tc>
        <w:tc>
          <w:tcPr>
            <w:tcW w:w="2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40" w:type="dxa"/>
            <w:vAlign w:val="bottom"/>
          </w:tcPr>
          <w:p>
            <w:pPr>
              <w:spacing w:after="0"/>
              <w:rPr>
                <w:sz w:val="24"/>
                <w:szCs w:val="24"/>
                <w:color w:val="auto"/>
              </w:rPr>
            </w:pPr>
          </w:p>
        </w:tc>
        <w:tc>
          <w:tcPr>
            <w:tcW w:w="3380" w:type="dxa"/>
            <w:vAlign w:val="bottom"/>
            <w:gridSpan w:val="4"/>
          </w:tcPr>
          <w:p>
            <w:pPr>
              <w:spacing w:after="0"/>
              <w:rPr>
                <w:sz w:val="20"/>
                <w:szCs w:val="20"/>
                <w:color w:val="auto"/>
              </w:rPr>
            </w:pPr>
            <w:r>
              <w:rPr>
                <w:rFonts w:ascii="Arial" w:cs="Arial" w:eastAsia="Arial" w:hAnsi="Arial"/>
                <w:sz w:val="20"/>
                <w:szCs w:val="20"/>
                <w:color w:val="231F20"/>
              </w:rPr>
              <w:t>Email:</w:t>
            </w:r>
          </w:p>
        </w:tc>
        <w:tc>
          <w:tcPr>
            <w:tcW w:w="2440" w:type="dxa"/>
            <w:vAlign w:val="bottom"/>
          </w:tcPr>
          <w:p>
            <w:pPr>
              <w:ind w:left="220"/>
              <w:spacing w:after="0"/>
              <w:rPr>
                <w:sz w:val="20"/>
                <w:szCs w:val="20"/>
                <w:color w:val="auto"/>
              </w:rPr>
            </w:pPr>
            <w:r>
              <w:rPr>
                <w:rFonts w:ascii="Arial" w:cs="Arial" w:eastAsia="Arial" w:hAnsi="Arial"/>
                <w:sz w:val="20"/>
                <w:szCs w:val="20"/>
                <w:b w:val="1"/>
                <w:bCs w:val="1"/>
                <w:color w:val="231F20"/>
              </w:rPr>
              <w:t>Email:</w:t>
            </w: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3380" w:type="dxa"/>
            <w:vAlign w:val="bottom"/>
            <w:gridSpan w:val="4"/>
          </w:tcPr>
          <w:p>
            <w:pPr>
              <w:spacing w:after="0"/>
              <w:rPr>
                <w:sz w:val="20"/>
                <w:szCs w:val="20"/>
                <w:color w:val="auto"/>
              </w:rPr>
            </w:pPr>
            <w:r>
              <w:rPr>
                <w:rFonts w:ascii="Arial" w:cs="Arial" w:eastAsia="Arial" w:hAnsi="Arial"/>
                <w:sz w:val="20"/>
                <w:szCs w:val="20"/>
                <w:color w:val="231F20"/>
              </w:rPr>
              <w:t>Phone:</w:t>
            </w:r>
          </w:p>
        </w:tc>
        <w:tc>
          <w:tcPr>
            <w:tcW w:w="2440" w:type="dxa"/>
            <w:vAlign w:val="bottom"/>
          </w:tcPr>
          <w:p>
            <w:pPr>
              <w:ind w:left="220"/>
              <w:spacing w:after="0"/>
              <w:rPr>
                <w:sz w:val="20"/>
                <w:szCs w:val="20"/>
                <w:color w:val="auto"/>
              </w:rPr>
            </w:pPr>
            <w:r>
              <w:rPr>
                <w:rFonts w:ascii="Arial" w:cs="Arial" w:eastAsia="Arial" w:hAnsi="Arial"/>
                <w:sz w:val="20"/>
                <w:szCs w:val="20"/>
                <w:b w:val="1"/>
                <w:bCs w:val="1"/>
                <w:color w:val="231F20"/>
              </w:rPr>
              <w:t>Phone:</w:t>
            </w:r>
          </w:p>
        </w:tc>
        <w:tc>
          <w:tcPr>
            <w:tcW w:w="0" w:type="dxa"/>
            <w:vAlign w:val="bottom"/>
          </w:tcPr>
          <w:p>
            <w:pPr>
              <w:spacing w:after="0"/>
              <w:rPr>
                <w:sz w:val="1"/>
                <w:szCs w:val="1"/>
                <w:color w:val="auto"/>
              </w:rPr>
            </w:pPr>
          </w:p>
        </w:tc>
      </w:tr>
      <w:tr>
        <w:trPr>
          <w:trHeight w:val="509"/>
        </w:trPr>
        <w:tc>
          <w:tcPr>
            <w:tcW w:w="2240" w:type="dxa"/>
            <w:vAlign w:val="bottom"/>
            <w:tcBorders>
              <w:bottom w:val="single" w:sz="8" w:color="231F20"/>
            </w:tcBorders>
            <w:gridSpan w:val="3"/>
          </w:tcPr>
          <w:p>
            <w:pPr>
              <w:spacing w:after="0"/>
              <w:rPr>
                <w:sz w:val="20"/>
                <w:szCs w:val="20"/>
                <w:color w:val="auto"/>
              </w:rPr>
            </w:pPr>
            <w:r>
              <w:rPr>
                <w:rFonts w:ascii="Arial" w:cs="Arial" w:eastAsia="Arial" w:hAnsi="Arial"/>
                <w:sz w:val="20"/>
                <w:szCs w:val="20"/>
                <w:color w:val="231F20"/>
                <w:w w:val="90"/>
              </w:rPr>
              <w:t>Project Agreement Holder’s</w:t>
            </w:r>
          </w:p>
        </w:tc>
        <w:tc>
          <w:tcPr>
            <w:tcW w:w="1180" w:type="dxa"/>
            <w:vAlign w:val="bottom"/>
            <w:gridSpan w:val="2"/>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320" w:type="dxa"/>
            <w:vAlign w:val="bottom"/>
            <w:tcBorders>
              <w:bottom w:val="single" w:sz="8" w:color="231F20"/>
            </w:tcBorders>
            <w:gridSpan w:val="2"/>
          </w:tcPr>
          <w:p>
            <w:pPr>
              <w:spacing w:after="0" w:line="209" w:lineRule="exact"/>
              <w:rPr>
                <w:sz w:val="20"/>
                <w:szCs w:val="20"/>
                <w:color w:val="auto"/>
              </w:rPr>
            </w:pPr>
            <w:r>
              <w:rPr>
                <w:rFonts w:ascii="Arial" w:cs="Arial" w:eastAsia="Arial" w:hAnsi="Arial"/>
                <w:sz w:val="20"/>
                <w:szCs w:val="20"/>
                <w:color w:val="231F20"/>
                <w:w w:val="86"/>
              </w:rPr>
              <w:t>Representatives:</w:t>
            </w:r>
          </w:p>
        </w:tc>
        <w:tc>
          <w:tcPr>
            <w:tcW w:w="2100" w:type="dxa"/>
            <w:vAlign w:val="bottom"/>
            <w:gridSpan w:val="3"/>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3420" w:type="dxa"/>
            <w:vAlign w:val="bottom"/>
            <w:gridSpan w:val="5"/>
          </w:tcPr>
          <w:p>
            <w:pPr>
              <w:spacing w:after="0"/>
              <w:rPr>
                <w:sz w:val="20"/>
                <w:szCs w:val="20"/>
                <w:color w:val="auto"/>
              </w:rPr>
            </w:pPr>
            <w:r>
              <w:rPr>
                <w:rFonts w:ascii="Arial" w:cs="Arial" w:eastAsia="Arial" w:hAnsi="Arial"/>
                <w:sz w:val="20"/>
                <w:szCs w:val="20"/>
                <w:color w:val="231F20"/>
              </w:rPr>
              <w:t>Technical Representative:</w:t>
            </w:r>
          </w:p>
        </w:tc>
        <w:tc>
          <w:tcPr>
            <w:tcW w:w="2440" w:type="dxa"/>
            <w:vAlign w:val="bottom"/>
          </w:tcPr>
          <w:p>
            <w:pPr>
              <w:ind w:left="240"/>
              <w:spacing w:after="0"/>
              <w:rPr>
                <w:sz w:val="20"/>
                <w:szCs w:val="20"/>
                <w:color w:val="auto"/>
              </w:rPr>
            </w:pPr>
            <w:r>
              <w:rPr>
                <w:rFonts w:ascii="Arial" w:cs="Arial" w:eastAsia="Arial" w:hAnsi="Arial"/>
                <w:sz w:val="20"/>
                <w:szCs w:val="20"/>
                <w:color w:val="231F20"/>
                <w:w w:val="87"/>
              </w:rPr>
              <w:t>Contractual Representative:</w:t>
            </w:r>
          </w:p>
        </w:tc>
        <w:tc>
          <w:tcPr>
            <w:tcW w:w="0" w:type="dxa"/>
            <w:vAlign w:val="bottom"/>
          </w:tcPr>
          <w:p>
            <w:pPr>
              <w:spacing w:after="0"/>
              <w:rPr>
                <w:sz w:val="1"/>
                <w:szCs w:val="1"/>
                <w:color w:val="auto"/>
              </w:rPr>
            </w:pPr>
          </w:p>
        </w:tc>
      </w:tr>
      <w:tr>
        <w:trPr>
          <w:trHeight w:val="554"/>
        </w:trPr>
        <w:tc>
          <w:tcPr>
            <w:tcW w:w="3420" w:type="dxa"/>
            <w:vAlign w:val="bottom"/>
            <w:gridSpan w:val="5"/>
          </w:tcPr>
          <w:p>
            <w:pPr>
              <w:spacing w:after="0"/>
              <w:rPr>
                <w:sz w:val="20"/>
                <w:szCs w:val="20"/>
                <w:color w:val="auto"/>
              </w:rPr>
            </w:pPr>
            <w:r>
              <w:rPr>
                <w:rFonts w:ascii="Arial" w:cs="Arial" w:eastAsia="Arial" w:hAnsi="Arial"/>
                <w:sz w:val="20"/>
                <w:szCs w:val="20"/>
                <w:color w:val="231F20"/>
              </w:rPr>
              <w:t>777 Old Saw Mill River Rd</w:t>
            </w:r>
          </w:p>
        </w:tc>
        <w:tc>
          <w:tcPr>
            <w:tcW w:w="2440" w:type="dxa"/>
            <w:vAlign w:val="bottom"/>
          </w:tcPr>
          <w:p>
            <w:pPr>
              <w:ind w:left="240"/>
              <w:spacing w:after="0"/>
              <w:rPr>
                <w:sz w:val="20"/>
                <w:szCs w:val="20"/>
                <w:color w:val="auto"/>
              </w:rPr>
            </w:pPr>
            <w:r>
              <w:rPr>
                <w:rFonts w:ascii="Arial" w:cs="Arial" w:eastAsia="Arial" w:hAnsi="Arial"/>
                <w:sz w:val="20"/>
                <w:szCs w:val="20"/>
                <w:color w:val="231F20"/>
                <w:w w:val="93"/>
              </w:rPr>
              <w:t>777 Old Saw Mill River Rd</w:t>
            </w:r>
          </w:p>
        </w:tc>
        <w:tc>
          <w:tcPr>
            <w:tcW w:w="0" w:type="dxa"/>
            <w:vAlign w:val="bottom"/>
          </w:tcPr>
          <w:p>
            <w:pPr>
              <w:spacing w:after="0"/>
              <w:rPr>
                <w:sz w:val="1"/>
                <w:szCs w:val="1"/>
                <w:color w:val="auto"/>
              </w:rPr>
            </w:pPr>
          </w:p>
        </w:tc>
      </w:tr>
      <w:tr>
        <w:trPr>
          <w:trHeight w:val="284"/>
        </w:trPr>
        <w:tc>
          <w:tcPr>
            <w:tcW w:w="3420" w:type="dxa"/>
            <w:vAlign w:val="bottom"/>
            <w:gridSpan w:val="5"/>
          </w:tcPr>
          <w:p>
            <w:pPr>
              <w:spacing w:after="0"/>
              <w:rPr>
                <w:sz w:val="20"/>
                <w:szCs w:val="20"/>
                <w:color w:val="auto"/>
              </w:rPr>
            </w:pPr>
            <w:r>
              <w:rPr>
                <w:rFonts w:ascii="Arial" w:cs="Arial" w:eastAsia="Arial" w:hAnsi="Arial"/>
                <w:sz w:val="20"/>
                <w:szCs w:val="20"/>
                <w:color w:val="231F20"/>
              </w:rPr>
              <w:t>Tarrytown, NY 10591</w:t>
            </w:r>
          </w:p>
        </w:tc>
        <w:tc>
          <w:tcPr>
            <w:tcW w:w="2440" w:type="dxa"/>
            <w:vAlign w:val="bottom"/>
          </w:tcPr>
          <w:p>
            <w:pPr>
              <w:ind w:left="240"/>
              <w:spacing w:after="0"/>
              <w:rPr>
                <w:sz w:val="20"/>
                <w:szCs w:val="20"/>
                <w:color w:val="auto"/>
              </w:rPr>
            </w:pPr>
            <w:r>
              <w:rPr>
                <w:rFonts w:ascii="Arial" w:cs="Arial" w:eastAsia="Arial" w:hAnsi="Arial"/>
                <w:sz w:val="20"/>
                <w:szCs w:val="20"/>
                <w:color w:val="231F20"/>
              </w:rPr>
              <w:t>Tarrytown, NY 10591</w:t>
            </w:r>
          </w:p>
        </w:tc>
        <w:tc>
          <w:tcPr>
            <w:tcW w:w="0" w:type="dxa"/>
            <w:vAlign w:val="bottom"/>
          </w:tcPr>
          <w:p>
            <w:pPr>
              <w:spacing w:after="0"/>
              <w:rPr>
                <w:sz w:val="1"/>
                <w:szCs w:val="1"/>
                <w:color w:val="auto"/>
              </w:rPr>
            </w:pPr>
          </w:p>
        </w:tc>
      </w:tr>
      <w:tr>
        <w:trPr>
          <w:trHeight w:val="283"/>
        </w:trPr>
        <w:tc>
          <w:tcPr>
            <w:tcW w:w="3420" w:type="dxa"/>
            <w:vAlign w:val="bottom"/>
            <w:gridSpan w:val="5"/>
          </w:tcPr>
          <w:p>
            <w:pPr>
              <w:spacing w:after="0"/>
              <w:rPr>
                <w:sz w:val="20"/>
                <w:szCs w:val="20"/>
                <w:color w:val="auto"/>
              </w:rPr>
            </w:pPr>
            <w:r>
              <w:rPr>
                <w:rFonts w:ascii="Arial" w:cs="Arial" w:eastAsia="Arial" w:hAnsi="Arial"/>
                <w:sz w:val="20"/>
                <w:szCs w:val="20"/>
                <w:color w:val="231F20"/>
              </w:rPr>
              <w:t>Email:</w:t>
            </w:r>
          </w:p>
        </w:tc>
        <w:tc>
          <w:tcPr>
            <w:tcW w:w="2440" w:type="dxa"/>
            <w:vAlign w:val="bottom"/>
          </w:tcPr>
          <w:p>
            <w:pPr>
              <w:ind w:left="240"/>
              <w:spacing w:after="0"/>
              <w:rPr>
                <w:sz w:val="20"/>
                <w:szCs w:val="20"/>
                <w:color w:val="auto"/>
              </w:rPr>
            </w:pPr>
            <w:r>
              <w:rPr>
                <w:rFonts w:ascii="Arial" w:cs="Arial" w:eastAsia="Arial" w:hAnsi="Arial"/>
                <w:sz w:val="20"/>
                <w:szCs w:val="20"/>
                <w:color w:val="231F20"/>
              </w:rPr>
              <w:t>Email:</w:t>
            </w:r>
          </w:p>
        </w:tc>
        <w:tc>
          <w:tcPr>
            <w:tcW w:w="0" w:type="dxa"/>
            <w:vAlign w:val="bottom"/>
          </w:tcPr>
          <w:p>
            <w:pPr>
              <w:spacing w:after="0"/>
              <w:rPr>
                <w:sz w:val="1"/>
                <w:szCs w:val="1"/>
                <w:color w:val="auto"/>
              </w:rPr>
            </w:pPr>
          </w:p>
        </w:tc>
      </w:tr>
      <w:tr>
        <w:trPr>
          <w:trHeight w:val="284"/>
        </w:trPr>
        <w:tc>
          <w:tcPr>
            <w:tcW w:w="3420" w:type="dxa"/>
            <w:vAlign w:val="bottom"/>
            <w:gridSpan w:val="5"/>
          </w:tcPr>
          <w:p>
            <w:pPr>
              <w:spacing w:after="0"/>
              <w:rPr>
                <w:sz w:val="20"/>
                <w:szCs w:val="20"/>
                <w:color w:val="auto"/>
              </w:rPr>
            </w:pPr>
            <w:r>
              <w:rPr>
                <w:rFonts w:ascii="Arial" w:cs="Arial" w:eastAsia="Arial" w:hAnsi="Arial"/>
                <w:sz w:val="20"/>
                <w:szCs w:val="20"/>
                <w:color w:val="231F20"/>
              </w:rPr>
              <w:t>Phone:</w:t>
            </w:r>
          </w:p>
        </w:tc>
        <w:tc>
          <w:tcPr>
            <w:tcW w:w="2440" w:type="dxa"/>
            <w:vAlign w:val="bottom"/>
          </w:tcPr>
          <w:p>
            <w:pPr>
              <w:ind w:left="240"/>
              <w:spacing w:after="0"/>
              <w:rPr>
                <w:sz w:val="20"/>
                <w:szCs w:val="20"/>
                <w:color w:val="auto"/>
              </w:rPr>
            </w:pPr>
            <w:r>
              <w:rPr>
                <w:rFonts w:ascii="Arial" w:cs="Arial" w:eastAsia="Arial" w:hAnsi="Arial"/>
                <w:sz w:val="20"/>
                <w:szCs w:val="20"/>
                <w:color w:val="231F20"/>
              </w:rPr>
              <w:t>Phone:</w:t>
            </w:r>
          </w:p>
        </w:tc>
        <w:tc>
          <w:tcPr>
            <w:tcW w:w="0" w:type="dxa"/>
            <w:vAlign w:val="bottom"/>
          </w:tcPr>
          <w:p>
            <w:pPr>
              <w:spacing w:after="0"/>
              <w:rPr>
                <w:sz w:val="1"/>
                <w:szCs w:val="1"/>
                <w:color w:val="auto"/>
              </w:rPr>
            </w:pPr>
          </w:p>
        </w:tc>
      </w:tr>
    </w:tbl>
    <w:p>
      <w:pPr>
        <w:sectPr>
          <w:pgSz w:w="11900" w:h="16838" w:orient="portrait"/>
          <w:cols w:equalWidth="0" w:num="1">
            <w:col w:w="10747"/>
          </w:cols>
          <w:pgMar w:left="813" w:top="503" w:right="339" w:bottom="1440" w:gutter="0" w:footer="0" w:header="0"/>
        </w:sectPr>
      </w:pPr>
    </w:p>
    <w:bookmarkStart w:id="226" w:name="page227"/>
    <w:bookmarkEnd w:id="226"/>
    <w:p>
      <w:pPr>
        <w:spacing w:after="0" w:line="359" w:lineRule="exact"/>
        <w:rPr>
          <w:sz w:val="20"/>
          <w:szCs w:val="20"/>
          <w:color w:val="auto"/>
        </w:rPr>
      </w:pPr>
    </w:p>
    <w:p>
      <w:pPr>
        <w:ind w:left="8"/>
        <w:spacing w:after="0"/>
        <w:rPr>
          <w:sz w:val="20"/>
          <w:szCs w:val="20"/>
          <w:color w:val="auto"/>
        </w:rPr>
      </w:pPr>
      <w:r>
        <w:rPr>
          <w:rFonts w:ascii="Arial" w:cs="Arial" w:eastAsia="Arial" w:hAnsi="Arial"/>
          <w:sz w:val="19"/>
          <w:szCs w:val="19"/>
          <w:b w:val="1"/>
          <w:bCs w:val="1"/>
          <w:color w:val="3F3F3F"/>
        </w:rPr>
        <w:t xml:space="preserve">2) The Attachments clause of the Project Agreement is hereby amended </w:t>
      </w:r>
      <w:r>
        <w:rPr>
          <w:rFonts w:ascii="Arial" w:cs="Arial" w:eastAsia="Arial" w:hAnsi="Arial"/>
          <w:sz w:val="19"/>
          <w:szCs w:val="19"/>
          <w:color w:val="3F3F3F"/>
        </w:rPr>
        <w:t>to</w:t>
      </w:r>
      <w:r>
        <w:rPr>
          <w:rFonts w:ascii="Arial" w:cs="Arial" w:eastAsia="Arial" w:hAnsi="Arial"/>
          <w:sz w:val="19"/>
          <w:szCs w:val="19"/>
          <w:b w:val="1"/>
          <w:bCs w:val="1"/>
          <w:color w:val="3F3F3F"/>
        </w:rPr>
        <w:t xml:space="preserve"> read as indicated in bold below:</w:t>
      </w:r>
    </w:p>
    <w:p>
      <w:pPr>
        <w:spacing w:after="0" w:line="241" w:lineRule="exact"/>
        <w:rPr>
          <w:sz w:val="20"/>
          <w:szCs w:val="20"/>
          <w:color w:val="auto"/>
        </w:rPr>
      </w:pPr>
    </w:p>
    <w:p>
      <w:pPr>
        <w:ind w:left="328"/>
        <w:spacing w:after="0"/>
        <w:rPr>
          <w:sz w:val="20"/>
          <w:szCs w:val="20"/>
          <w:color w:val="auto"/>
        </w:rPr>
      </w:pPr>
      <w:r>
        <w:rPr>
          <w:rFonts w:ascii="Arial" w:cs="Arial" w:eastAsia="Arial" w:hAnsi="Arial"/>
          <w:sz w:val="19"/>
          <w:szCs w:val="19"/>
          <w:b w:val="1"/>
          <w:bCs w:val="1"/>
          <w:color w:val="3F3F3F"/>
        </w:rPr>
        <w:t>12. ATTACHMENTS</w:t>
      </w:r>
    </w:p>
    <w:p>
      <w:pPr>
        <w:spacing w:after="0" w:line="28" w:lineRule="exact"/>
        <w:rPr>
          <w:sz w:val="20"/>
          <w:szCs w:val="20"/>
          <w:color w:val="auto"/>
        </w:rPr>
      </w:pPr>
    </w:p>
    <w:p>
      <w:pPr>
        <w:ind w:left="408"/>
        <w:spacing w:after="0"/>
        <w:rPr>
          <w:sz w:val="20"/>
          <w:szCs w:val="20"/>
          <w:color w:val="auto"/>
        </w:rPr>
      </w:pPr>
      <w:r>
        <w:rPr>
          <w:rFonts w:ascii="Arial" w:cs="Arial" w:eastAsia="Arial" w:hAnsi="Arial"/>
          <w:sz w:val="18"/>
          <w:szCs w:val="18"/>
          <w:color w:val="3F3F3F"/>
        </w:rPr>
        <w:t>Attachments listed herein are he</w:t>
      </w:r>
      <w:r>
        <w:rPr>
          <w:rFonts w:ascii="Arial" w:cs="Arial" w:eastAsia="Arial" w:hAnsi="Arial"/>
          <w:sz w:val="18"/>
          <w:szCs w:val="18"/>
          <w:color w:val="242121"/>
        </w:rPr>
        <w:t>r</w:t>
      </w:r>
      <w:r>
        <w:rPr>
          <w:rFonts w:ascii="Arial" w:cs="Arial" w:eastAsia="Arial" w:hAnsi="Arial"/>
          <w:sz w:val="18"/>
          <w:szCs w:val="18"/>
          <w:color w:val="3F3F3F"/>
        </w:rPr>
        <w:t>eby incorporated by reference into this Project Agreement.</w:t>
      </w:r>
    </w:p>
    <w:p>
      <w:pPr>
        <w:spacing w:after="0" w:line="21" w:lineRule="exact"/>
        <w:rPr>
          <w:sz w:val="20"/>
          <w:szCs w:val="20"/>
          <w:color w:val="auto"/>
        </w:rPr>
      </w:pPr>
    </w:p>
    <w:p>
      <w:pPr>
        <w:ind w:left="728" w:hanging="323"/>
        <w:spacing w:after="0"/>
        <w:tabs>
          <w:tab w:leader="none" w:pos="728" w:val="left"/>
        </w:tabs>
        <w:numPr>
          <w:ilvl w:val="1"/>
          <w:numId w:val="162"/>
        </w:numPr>
        <w:rPr>
          <w:rFonts w:ascii="Arial" w:cs="Arial" w:eastAsia="Arial" w:hAnsi="Arial"/>
          <w:sz w:val="18"/>
          <w:szCs w:val="18"/>
          <w:color w:val="3F3F3F"/>
        </w:rPr>
      </w:pPr>
      <w:r>
        <w:rPr>
          <w:rFonts w:ascii="Arial" w:cs="Arial" w:eastAsia="Arial" w:hAnsi="Arial"/>
          <w:sz w:val="18"/>
          <w:szCs w:val="18"/>
          <w:color w:val="3F3F3F"/>
        </w:rPr>
        <w:t>Statement of Work, "Large-Scale Manufacturing of Antibodies Directed to SARS-CoV</w:t>
      </w:r>
      <w:r>
        <w:rPr>
          <w:rFonts w:ascii="Arial" w:cs="Arial" w:eastAsia="Arial" w:hAnsi="Arial"/>
          <w:sz w:val="18"/>
          <w:szCs w:val="18"/>
          <w:color w:val="242121"/>
        </w:rPr>
        <w:t>-</w:t>
      </w:r>
      <w:r>
        <w:rPr>
          <w:rFonts w:ascii="Arial" w:cs="Arial" w:eastAsia="Arial" w:hAnsi="Arial"/>
          <w:sz w:val="18"/>
          <w:szCs w:val="18"/>
          <w:color w:val="3F3F3F"/>
        </w:rPr>
        <w:t>2"</w:t>
      </w:r>
    </w:p>
    <w:p>
      <w:pPr>
        <w:spacing w:after="0" w:line="22" w:lineRule="exact"/>
        <w:rPr>
          <w:rFonts w:ascii="Arial" w:cs="Arial" w:eastAsia="Arial" w:hAnsi="Arial"/>
          <w:sz w:val="18"/>
          <w:szCs w:val="18"/>
          <w:color w:val="3F3F3F"/>
        </w:rPr>
      </w:pPr>
    </w:p>
    <w:p>
      <w:pPr>
        <w:ind w:left="728" w:hanging="323"/>
        <w:spacing w:after="0"/>
        <w:tabs>
          <w:tab w:leader="none" w:pos="728" w:val="left"/>
        </w:tabs>
        <w:numPr>
          <w:ilvl w:val="1"/>
          <w:numId w:val="162"/>
        </w:numPr>
        <w:rPr>
          <w:rFonts w:ascii="Arial" w:cs="Arial" w:eastAsia="Arial" w:hAnsi="Arial"/>
          <w:sz w:val="18"/>
          <w:szCs w:val="18"/>
          <w:color w:val="3F3F3F"/>
        </w:rPr>
      </w:pPr>
      <w:r>
        <w:rPr>
          <w:rFonts w:ascii="Arial" w:cs="Arial" w:eastAsia="Arial" w:hAnsi="Arial"/>
          <w:sz w:val="18"/>
          <w:szCs w:val="18"/>
          <w:color w:val="3F3F3F"/>
        </w:rPr>
        <w:t>Report Requirements</w:t>
      </w:r>
    </w:p>
    <w:p>
      <w:pPr>
        <w:spacing w:after="0" w:line="22" w:lineRule="exact"/>
        <w:rPr>
          <w:rFonts w:ascii="Arial" w:cs="Arial" w:eastAsia="Arial" w:hAnsi="Arial"/>
          <w:sz w:val="18"/>
          <w:szCs w:val="18"/>
          <w:color w:val="3F3F3F"/>
        </w:rPr>
      </w:pPr>
    </w:p>
    <w:p>
      <w:pPr>
        <w:ind w:left="728" w:hanging="323"/>
        <w:spacing w:after="0"/>
        <w:tabs>
          <w:tab w:leader="none" w:pos="728" w:val="left"/>
        </w:tabs>
        <w:numPr>
          <w:ilvl w:val="1"/>
          <w:numId w:val="162"/>
        </w:numPr>
        <w:rPr>
          <w:rFonts w:ascii="Arial" w:cs="Arial" w:eastAsia="Arial" w:hAnsi="Arial"/>
          <w:sz w:val="18"/>
          <w:szCs w:val="18"/>
          <w:color w:val="3F3F3F"/>
        </w:rPr>
      </w:pPr>
      <w:r>
        <w:rPr>
          <w:rFonts w:ascii="Arial" w:cs="Arial" w:eastAsia="Arial" w:hAnsi="Arial"/>
          <w:sz w:val="18"/>
          <w:szCs w:val="18"/>
          <w:color w:val="3F3F3F"/>
        </w:rPr>
        <w:t>Technical Direction Letter (TDL) RPP-20-08 Regeneron</w:t>
      </w:r>
    </w:p>
    <w:p>
      <w:pPr>
        <w:spacing w:after="0" w:line="31" w:lineRule="exact"/>
        <w:rPr>
          <w:rFonts w:ascii="Arial" w:cs="Arial" w:eastAsia="Arial" w:hAnsi="Arial"/>
          <w:sz w:val="18"/>
          <w:szCs w:val="18"/>
          <w:color w:val="3F3F3F"/>
        </w:rPr>
      </w:pPr>
    </w:p>
    <w:p>
      <w:pPr>
        <w:ind w:left="728" w:hanging="323"/>
        <w:spacing w:after="0"/>
        <w:tabs>
          <w:tab w:leader="none" w:pos="728" w:val="left"/>
        </w:tabs>
        <w:numPr>
          <w:ilvl w:val="1"/>
          <w:numId w:val="162"/>
        </w:numPr>
        <w:rPr>
          <w:rFonts w:ascii="Arial" w:cs="Arial" w:eastAsia="Arial" w:hAnsi="Arial"/>
          <w:sz w:val="18"/>
          <w:szCs w:val="18"/>
          <w:b w:val="1"/>
          <w:bCs w:val="1"/>
          <w:color w:val="3F3F3F"/>
        </w:rPr>
      </w:pPr>
      <w:r>
        <w:rPr>
          <w:rFonts w:ascii="Arial" w:cs="Arial" w:eastAsia="Arial" w:hAnsi="Arial"/>
          <w:sz w:val="18"/>
          <w:szCs w:val="18"/>
          <w:b w:val="1"/>
          <w:bCs w:val="1"/>
          <w:color w:val="3F3F3F"/>
        </w:rPr>
        <w:t>Prohibition on the Use of Certain Telecommunications and Video Surveillance Services or Equipment</w:t>
      </w:r>
    </w:p>
    <w:p>
      <w:pPr>
        <w:spacing w:after="0" w:line="252" w:lineRule="exact"/>
        <w:rPr>
          <w:rFonts w:ascii="Arial" w:cs="Arial" w:eastAsia="Arial" w:hAnsi="Arial"/>
          <w:sz w:val="18"/>
          <w:szCs w:val="18"/>
          <w:b w:val="1"/>
          <w:bCs w:val="1"/>
          <w:color w:val="3F3F3F"/>
        </w:rPr>
      </w:pPr>
    </w:p>
    <w:p>
      <w:pPr>
        <w:ind w:left="408" w:right="480" w:hanging="408"/>
        <w:spacing w:after="0" w:line="282" w:lineRule="auto"/>
        <w:tabs>
          <w:tab w:leader="none" w:pos="198" w:val="left"/>
        </w:tabs>
        <w:numPr>
          <w:ilvl w:val="0"/>
          <w:numId w:val="163"/>
        </w:numPr>
        <w:rPr>
          <w:rFonts w:ascii="Arial" w:cs="Arial" w:eastAsia="Arial" w:hAnsi="Arial"/>
          <w:sz w:val="18"/>
          <w:szCs w:val="18"/>
          <w:b w:val="1"/>
          <w:bCs w:val="1"/>
          <w:color w:val="3F3F3F"/>
        </w:rPr>
      </w:pPr>
      <w:r>
        <w:rPr>
          <w:rFonts w:ascii="Arial" w:cs="Arial" w:eastAsia="Arial" w:hAnsi="Arial"/>
          <w:sz w:val="18"/>
          <w:szCs w:val="18"/>
          <w:b w:val="1"/>
          <w:bCs w:val="1"/>
          <w:color w:val="3F3F3F"/>
        </w:rPr>
        <w:t>Attachment D, Prohibition on the Use of Certain Telecommunications and Video Surveillance Services or Equipment is hereby incorporated as attached herein.</w:t>
      </w:r>
    </w:p>
    <w:p>
      <w:pPr>
        <w:spacing w:after="0" w:line="200" w:lineRule="exact"/>
        <w:rPr>
          <w:sz w:val="20"/>
          <w:szCs w:val="20"/>
          <w:color w:val="auto"/>
        </w:rPr>
      </w:pPr>
    </w:p>
    <w:p>
      <w:pPr>
        <w:spacing w:after="0" w:line="249" w:lineRule="exact"/>
        <w:rPr>
          <w:sz w:val="20"/>
          <w:szCs w:val="20"/>
          <w:color w:val="auto"/>
        </w:rPr>
      </w:pPr>
    </w:p>
    <w:p>
      <w:pPr>
        <w:ind w:left="328" w:firstLine="652"/>
        <w:spacing w:after="0" w:line="277" w:lineRule="auto"/>
        <w:rPr>
          <w:sz w:val="20"/>
          <w:szCs w:val="20"/>
          <w:color w:val="auto"/>
        </w:rPr>
      </w:pPr>
      <w:r>
        <w:rPr>
          <w:rFonts w:ascii="Arial" w:cs="Arial" w:eastAsia="Arial" w:hAnsi="Arial"/>
          <w:sz w:val="18"/>
          <w:szCs w:val="18"/>
          <w:color w:val="3F3F3F"/>
        </w:rPr>
        <w:t>Except as provided herein, all Term</w:t>
      </w:r>
      <w:r>
        <w:rPr>
          <w:rFonts w:ascii="Arial" w:cs="Arial" w:eastAsia="Arial" w:hAnsi="Arial"/>
          <w:sz w:val="18"/>
          <w:szCs w:val="18"/>
          <w:color w:val="242121"/>
        </w:rPr>
        <w:t>s</w:t>
      </w:r>
      <w:r>
        <w:rPr>
          <w:rFonts w:ascii="Arial" w:cs="Arial" w:eastAsia="Arial" w:hAnsi="Arial"/>
          <w:sz w:val="18"/>
          <w:szCs w:val="18"/>
          <w:color w:val="3F3F3F"/>
        </w:rPr>
        <w:t xml:space="preserve"> and Condition</w:t>
      </w:r>
      <w:r>
        <w:rPr>
          <w:rFonts w:ascii="Arial" w:cs="Arial" w:eastAsia="Arial" w:hAnsi="Arial"/>
          <w:sz w:val="18"/>
          <w:szCs w:val="18"/>
          <w:color w:val="242121"/>
        </w:rPr>
        <w:t>s</w:t>
      </w:r>
      <w:r>
        <w:rPr>
          <w:rFonts w:ascii="Arial" w:cs="Arial" w:eastAsia="Arial" w:hAnsi="Arial"/>
          <w:sz w:val="18"/>
          <w:szCs w:val="18"/>
          <w:color w:val="3F3F3F"/>
        </w:rPr>
        <w:t xml:space="preserve"> of the referen</w:t>
      </w:r>
      <w:r>
        <w:rPr>
          <w:rFonts w:ascii="Arial" w:cs="Arial" w:eastAsia="Arial" w:hAnsi="Arial"/>
          <w:sz w:val="18"/>
          <w:szCs w:val="18"/>
          <w:color w:val="242121"/>
        </w:rPr>
        <w:t>c</w:t>
      </w:r>
      <w:r>
        <w:rPr>
          <w:rFonts w:ascii="Arial" w:cs="Arial" w:eastAsia="Arial" w:hAnsi="Arial"/>
          <w:sz w:val="18"/>
          <w:szCs w:val="18"/>
          <w:color w:val="3F3F3F"/>
        </w:rPr>
        <w:t>ed MCDC Base Agreement, Project Agreement, and preceding modifications remain unchanged and in full force and effect.</w:t>
      </w:r>
    </w:p>
    <w:p>
      <w:pPr>
        <w:spacing w:after="0" w:line="197" w:lineRule="exact"/>
        <w:rPr>
          <w:sz w:val="20"/>
          <w:szCs w:val="20"/>
          <w:color w:val="auto"/>
        </w:rPr>
      </w:pPr>
    </w:p>
    <w:p>
      <w:pPr>
        <w:ind w:left="968"/>
        <w:spacing w:after="0"/>
        <w:rPr>
          <w:sz w:val="20"/>
          <w:szCs w:val="20"/>
          <w:color w:val="auto"/>
        </w:rPr>
      </w:pPr>
      <w:r>
        <w:rPr>
          <w:rFonts w:ascii="Arial" w:cs="Arial" w:eastAsia="Arial" w:hAnsi="Arial"/>
          <w:sz w:val="16"/>
          <w:szCs w:val="16"/>
          <w:color w:val="3F3F3F"/>
        </w:rPr>
        <w:t>The Project Agreement Holder is required to sign this document and return to Advanced Techn</w:t>
      </w:r>
      <w:r>
        <w:rPr>
          <w:rFonts w:ascii="Arial" w:cs="Arial" w:eastAsia="Arial" w:hAnsi="Arial"/>
          <w:sz w:val="16"/>
          <w:szCs w:val="16"/>
          <w:color w:val="242121"/>
        </w:rPr>
        <w:t>o</w:t>
      </w:r>
      <w:r>
        <w:rPr>
          <w:rFonts w:ascii="Arial" w:cs="Arial" w:eastAsia="Arial" w:hAnsi="Arial"/>
          <w:sz w:val="16"/>
          <w:szCs w:val="16"/>
          <w:color w:val="3F3F3F"/>
        </w:rPr>
        <w:t>logy International to finalize this</w:t>
      </w:r>
    </w:p>
    <w:p>
      <w:pPr>
        <w:spacing w:after="0" w:line="46" w:lineRule="exact"/>
        <w:rPr>
          <w:sz w:val="20"/>
          <w:szCs w:val="20"/>
          <w:color w:val="auto"/>
        </w:rPr>
      </w:pPr>
    </w:p>
    <w:p>
      <w:pPr>
        <w:ind w:left="328"/>
        <w:spacing w:after="0"/>
        <w:rPr>
          <w:sz w:val="20"/>
          <w:szCs w:val="20"/>
          <w:color w:val="auto"/>
        </w:rPr>
      </w:pPr>
      <w:r>
        <w:rPr>
          <w:rFonts w:ascii="Arial" w:cs="Arial" w:eastAsia="Arial" w:hAnsi="Arial"/>
          <w:sz w:val="18"/>
          <w:szCs w:val="18"/>
          <w:color w:val="3F3F3F"/>
        </w:rPr>
        <w:t>action</w:t>
      </w:r>
      <w:r>
        <w:rPr>
          <w:rFonts w:ascii="Arial" w:cs="Arial" w:eastAsia="Arial" w:hAnsi="Arial"/>
          <w:sz w:val="18"/>
          <w:szCs w:val="18"/>
          <w:color w:val="242121"/>
        </w:rPr>
        <w:t>.</w:t>
      </w:r>
    </w:p>
    <w:p>
      <w:pPr>
        <w:spacing w:after="0" w:line="200" w:lineRule="exact"/>
        <w:rPr>
          <w:sz w:val="20"/>
          <w:szCs w:val="20"/>
          <w:color w:val="auto"/>
        </w:rPr>
      </w:pPr>
    </w:p>
    <w:p>
      <w:pPr>
        <w:spacing w:after="0" w:line="344" w:lineRule="exact"/>
        <w:rPr>
          <w:sz w:val="20"/>
          <w:szCs w:val="20"/>
          <w:color w:val="auto"/>
        </w:rPr>
      </w:pPr>
    </w:p>
    <w:tbl>
      <w:tblPr>
        <w:tblLayout w:type="fixed"/>
        <w:tblInd w:w="348" w:type="dxa"/>
        <w:tblCellMar>
          <w:top w:w="0" w:type="dxa"/>
          <w:left w:w="0" w:type="dxa"/>
          <w:bottom w:w="0" w:type="dxa"/>
          <w:right w:w="0" w:type="dxa"/>
        </w:tblCellMar>
      </w:tblPr>
      <w:tr>
        <w:trPr>
          <w:trHeight w:val="234"/>
        </w:trPr>
        <w:tc>
          <w:tcPr>
            <w:tcW w:w="4660" w:type="dxa"/>
            <w:vAlign w:val="bottom"/>
            <w:gridSpan w:val="5"/>
          </w:tcPr>
          <w:p>
            <w:pPr>
              <w:spacing w:after="0"/>
              <w:rPr>
                <w:sz w:val="20"/>
                <w:szCs w:val="20"/>
                <w:color w:val="auto"/>
              </w:rPr>
            </w:pPr>
            <w:r>
              <w:rPr>
                <w:rFonts w:ascii="Arial" w:cs="Arial" w:eastAsia="Arial" w:hAnsi="Arial"/>
                <w:sz w:val="18"/>
                <w:szCs w:val="18"/>
                <w:b w:val="1"/>
                <w:bCs w:val="1"/>
                <w:color w:val="3F3F3F"/>
              </w:rPr>
              <w:t>Regeneron Pharmaceuticals, Inc.</w:t>
            </w:r>
          </w:p>
        </w:tc>
        <w:tc>
          <w:tcPr>
            <w:tcW w:w="540" w:type="dxa"/>
            <w:vAlign w:val="bottom"/>
          </w:tcPr>
          <w:p>
            <w:pPr>
              <w:spacing w:after="0"/>
              <w:rPr>
                <w:sz w:val="20"/>
                <w:szCs w:val="20"/>
                <w:color w:val="auto"/>
              </w:rPr>
            </w:pPr>
          </w:p>
        </w:tc>
        <w:tc>
          <w:tcPr>
            <w:tcW w:w="3160" w:type="dxa"/>
            <w:vAlign w:val="bottom"/>
            <w:gridSpan w:val="5"/>
          </w:tcPr>
          <w:p>
            <w:pPr>
              <w:ind w:left="20"/>
              <w:spacing w:after="0"/>
              <w:rPr>
                <w:sz w:val="20"/>
                <w:szCs w:val="20"/>
                <w:color w:val="auto"/>
              </w:rPr>
            </w:pPr>
            <w:r>
              <w:rPr>
                <w:rFonts w:ascii="Arial" w:cs="Arial" w:eastAsia="Arial" w:hAnsi="Arial"/>
                <w:sz w:val="18"/>
                <w:szCs w:val="18"/>
                <w:b w:val="1"/>
                <w:bCs w:val="1"/>
                <w:color w:val="3F3F3F"/>
              </w:rPr>
              <w:t>Advanced Technology International</w:t>
            </w:r>
          </w:p>
        </w:tc>
      </w:tr>
      <w:tr>
        <w:trPr>
          <w:trHeight w:val="499"/>
        </w:trPr>
        <w:tc>
          <w:tcPr>
            <w:tcW w:w="4660" w:type="dxa"/>
            <w:vAlign w:val="bottom"/>
            <w:gridSpan w:val="5"/>
          </w:tcPr>
          <w:p>
            <w:pPr>
              <w:spacing w:after="0"/>
              <w:rPr>
                <w:sz w:val="20"/>
                <w:szCs w:val="20"/>
                <w:color w:val="auto"/>
              </w:rPr>
            </w:pPr>
            <w:r>
              <w:rPr>
                <w:rFonts w:ascii="Arial" w:cs="Arial" w:eastAsia="Arial" w:hAnsi="Arial"/>
                <w:sz w:val="18"/>
                <w:szCs w:val="18"/>
                <w:color w:val="3F3F3F"/>
              </w:rPr>
              <w:t>By: /s/ Robert Landry___________________________</w:t>
            </w:r>
          </w:p>
        </w:tc>
        <w:tc>
          <w:tcPr>
            <w:tcW w:w="3700" w:type="dxa"/>
            <w:vAlign w:val="bottom"/>
            <w:gridSpan w:val="6"/>
          </w:tcPr>
          <w:p>
            <w:pPr>
              <w:ind w:left="540"/>
              <w:spacing w:after="0"/>
              <w:rPr>
                <w:sz w:val="20"/>
                <w:szCs w:val="20"/>
                <w:color w:val="auto"/>
              </w:rPr>
            </w:pPr>
            <w:r>
              <w:rPr>
                <w:rFonts w:ascii="Arial" w:cs="Arial" w:eastAsia="Arial" w:hAnsi="Arial"/>
                <w:sz w:val="18"/>
                <w:szCs w:val="18"/>
                <w:color w:val="3F3F3F"/>
                <w:w w:val="92"/>
              </w:rPr>
              <w:t>By: /s/_____________________________</w:t>
            </w:r>
          </w:p>
        </w:tc>
      </w:tr>
      <w:tr>
        <w:trPr>
          <w:trHeight w:val="20"/>
        </w:trPr>
        <w:tc>
          <w:tcPr>
            <w:tcW w:w="1560" w:type="dxa"/>
            <w:vAlign w:val="bottom"/>
            <w:shd w:val="clear" w:color="auto" w:fill="3F3F3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shd w:val="clear" w:color="auto" w:fill="3F3F3F"/>
          </w:tcPr>
          <w:p>
            <w:pPr>
              <w:spacing w:after="0" w:line="20" w:lineRule="exact"/>
              <w:rPr>
                <w:sz w:val="1"/>
                <w:szCs w:val="1"/>
                <w:color w:val="auto"/>
              </w:rPr>
            </w:pPr>
          </w:p>
        </w:tc>
        <w:tc>
          <w:tcPr>
            <w:tcW w:w="80" w:type="dxa"/>
            <w:vAlign w:val="bottom"/>
            <w:shd w:val="clear" w:color="auto" w:fill="3F3F3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99"/>
        </w:trPr>
        <w:tc>
          <w:tcPr>
            <w:tcW w:w="4660" w:type="dxa"/>
            <w:vAlign w:val="bottom"/>
            <w:gridSpan w:val="5"/>
          </w:tcPr>
          <w:p>
            <w:pPr>
              <w:spacing w:after="0"/>
              <w:rPr>
                <w:sz w:val="20"/>
                <w:szCs w:val="20"/>
                <w:color w:val="auto"/>
              </w:rPr>
            </w:pPr>
            <w:r>
              <w:rPr>
                <w:rFonts w:ascii="Arial" w:cs="Arial" w:eastAsia="Arial" w:hAnsi="Arial"/>
                <w:sz w:val="18"/>
                <w:szCs w:val="18"/>
                <w:color w:val="3F3F3F"/>
              </w:rPr>
              <w:t>Name: Robert Landry___________________________</w:t>
            </w:r>
          </w:p>
        </w:tc>
        <w:tc>
          <w:tcPr>
            <w:tcW w:w="3700" w:type="dxa"/>
            <w:vAlign w:val="bottom"/>
            <w:gridSpan w:val="6"/>
          </w:tcPr>
          <w:p>
            <w:pPr>
              <w:ind w:left="540"/>
              <w:spacing w:after="0"/>
              <w:rPr>
                <w:sz w:val="20"/>
                <w:szCs w:val="20"/>
                <w:color w:val="auto"/>
              </w:rPr>
            </w:pPr>
            <w:r>
              <w:rPr>
                <w:rFonts w:ascii="Arial" w:cs="Arial" w:eastAsia="Arial" w:hAnsi="Arial"/>
                <w:sz w:val="18"/>
                <w:szCs w:val="18"/>
                <w:color w:val="3F3F3F"/>
                <w:w w:val="91"/>
              </w:rPr>
              <w:t>Name:_____________________________</w:t>
            </w:r>
          </w:p>
        </w:tc>
      </w:tr>
      <w:tr>
        <w:trPr>
          <w:trHeight w:val="20"/>
        </w:trPr>
        <w:tc>
          <w:tcPr>
            <w:tcW w:w="1580" w:type="dxa"/>
            <w:vAlign w:val="bottom"/>
            <w:gridSpan w:val="2"/>
            <w:shd w:val="clear" w:color="auto" w:fill="3F3F3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shd w:val="clear" w:color="auto" w:fill="3F3F3F"/>
          </w:tcPr>
          <w:p>
            <w:pPr>
              <w:spacing w:after="0" w:line="20" w:lineRule="exact"/>
              <w:rPr>
                <w:sz w:val="1"/>
                <w:szCs w:val="1"/>
                <w:color w:val="auto"/>
              </w:rPr>
            </w:pPr>
          </w:p>
        </w:tc>
        <w:tc>
          <w:tcPr>
            <w:tcW w:w="100" w:type="dxa"/>
            <w:vAlign w:val="bottom"/>
            <w:gridSpan w:val="2"/>
            <w:shd w:val="clear" w:color="auto" w:fill="3F3F3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98"/>
        </w:trPr>
        <w:tc>
          <w:tcPr>
            <w:tcW w:w="4000" w:type="dxa"/>
            <w:vAlign w:val="bottom"/>
            <w:gridSpan w:val="4"/>
          </w:tcPr>
          <w:p>
            <w:pPr>
              <w:spacing w:after="0"/>
              <w:rPr>
                <w:sz w:val="20"/>
                <w:szCs w:val="20"/>
                <w:color w:val="auto"/>
              </w:rPr>
            </w:pPr>
            <w:r>
              <w:rPr>
                <w:rFonts w:ascii="Arial" w:cs="Arial" w:eastAsia="Arial" w:hAnsi="Arial"/>
                <w:sz w:val="18"/>
                <w:szCs w:val="18"/>
                <w:color w:val="3F3F3F"/>
                <w:w w:val="92"/>
              </w:rPr>
              <w:t>Title: Executive Vice President, Chief Financial Officer</w:t>
            </w:r>
          </w:p>
        </w:tc>
        <w:tc>
          <w:tcPr>
            <w:tcW w:w="660" w:type="dxa"/>
            <w:vAlign w:val="bottom"/>
          </w:tcPr>
          <w:p>
            <w:pPr>
              <w:spacing w:after="0"/>
              <w:rPr>
                <w:sz w:val="24"/>
                <w:szCs w:val="24"/>
                <w:color w:val="auto"/>
              </w:rPr>
            </w:pPr>
          </w:p>
        </w:tc>
        <w:tc>
          <w:tcPr>
            <w:tcW w:w="3700" w:type="dxa"/>
            <w:vAlign w:val="bottom"/>
            <w:gridSpan w:val="6"/>
          </w:tcPr>
          <w:p>
            <w:pPr>
              <w:ind w:left="540"/>
              <w:spacing w:after="0"/>
              <w:rPr>
                <w:sz w:val="20"/>
                <w:szCs w:val="20"/>
                <w:color w:val="auto"/>
              </w:rPr>
            </w:pPr>
            <w:r>
              <w:rPr>
                <w:rFonts w:ascii="Arial" w:cs="Arial" w:eastAsia="Arial" w:hAnsi="Arial"/>
                <w:sz w:val="18"/>
                <w:szCs w:val="18"/>
                <w:color w:val="3F3F3F"/>
                <w:w w:val="92"/>
              </w:rPr>
              <w:t>Title:______________________________</w:t>
            </w:r>
          </w:p>
        </w:tc>
      </w:tr>
      <w:tr>
        <w:trPr>
          <w:trHeight w:val="20"/>
        </w:trPr>
        <w:tc>
          <w:tcPr>
            <w:tcW w:w="1860" w:type="dxa"/>
            <w:vAlign w:val="bottom"/>
            <w:gridSpan w:val="3"/>
            <w:shd w:val="clear" w:color="auto" w:fill="3F3F3F"/>
          </w:tcPr>
          <w:p>
            <w:pPr>
              <w:spacing w:after="0" w:line="20" w:lineRule="exact"/>
              <w:rPr>
                <w:sz w:val="1"/>
                <w:szCs w:val="1"/>
                <w:color w:val="auto"/>
              </w:rPr>
            </w:pPr>
          </w:p>
        </w:tc>
        <w:tc>
          <w:tcPr>
            <w:tcW w:w="2140" w:type="dxa"/>
            <w:vAlign w:val="bottom"/>
            <w:shd w:val="clear" w:color="auto" w:fill="3F3F3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shd w:val="clear" w:color="auto" w:fill="3F3F3F"/>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98"/>
        </w:trPr>
        <w:tc>
          <w:tcPr>
            <w:tcW w:w="4660" w:type="dxa"/>
            <w:vAlign w:val="bottom"/>
            <w:gridSpan w:val="5"/>
          </w:tcPr>
          <w:p>
            <w:pPr>
              <w:spacing w:after="0"/>
              <w:rPr>
                <w:sz w:val="20"/>
                <w:szCs w:val="20"/>
                <w:color w:val="auto"/>
              </w:rPr>
            </w:pPr>
            <w:r>
              <w:rPr>
                <w:rFonts w:ascii="Arial" w:cs="Arial" w:eastAsia="Arial" w:hAnsi="Arial"/>
                <w:sz w:val="18"/>
                <w:szCs w:val="18"/>
                <w:color w:val="3F3F3F"/>
              </w:rPr>
              <w:t>Date: November 12, 2020_________________________</w:t>
            </w:r>
          </w:p>
        </w:tc>
        <w:tc>
          <w:tcPr>
            <w:tcW w:w="3700" w:type="dxa"/>
            <w:vAlign w:val="bottom"/>
            <w:gridSpan w:val="6"/>
          </w:tcPr>
          <w:p>
            <w:pPr>
              <w:ind w:left="540"/>
              <w:spacing w:after="0"/>
              <w:rPr>
                <w:sz w:val="20"/>
                <w:szCs w:val="20"/>
                <w:color w:val="auto"/>
              </w:rPr>
            </w:pPr>
            <w:r>
              <w:rPr>
                <w:rFonts w:ascii="Arial" w:cs="Arial" w:eastAsia="Arial" w:hAnsi="Arial"/>
                <w:sz w:val="18"/>
                <w:szCs w:val="18"/>
                <w:color w:val="3F3F3F"/>
                <w:w w:val="89"/>
              </w:rPr>
              <w:t>Date: Nov 12 2020____________________</w:t>
            </w:r>
          </w:p>
        </w:tc>
      </w:tr>
      <w:tr>
        <w:trPr>
          <w:trHeight w:val="20"/>
        </w:trPr>
        <w:tc>
          <w:tcPr>
            <w:tcW w:w="1560" w:type="dxa"/>
            <w:vAlign w:val="bottom"/>
            <w:shd w:val="clear" w:color="auto" w:fill="3F3F3F"/>
          </w:tcPr>
          <w:p>
            <w:pPr>
              <w:spacing w:after="0" w:line="20" w:lineRule="exact"/>
              <w:rPr>
                <w:sz w:val="1"/>
                <w:szCs w:val="1"/>
                <w:color w:val="auto"/>
              </w:rPr>
            </w:pPr>
          </w:p>
        </w:tc>
        <w:tc>
          <w:tcPr>
            <w:tcW w:w="20" w:type="dxa"/>
            <w:vAlign w:val="bottom"/>
            <w:shd w:val="clear" w:color="auto" w:fill="3F3F3F"/>
          </w:tcPr>
          <w:p>
            <w:pPr>
              <w:spacing w:after="0" w:line="20" w:lineRule="exact"/>
              <w:rPr>
                <w:sz w:val="1"/>
                <w:szCs w:val="1"/>
                <w:color w:val="auto"/>
              </w:rPr>
            </w:pPr>
          </w:p>
        </w:tc>
        <w:tc>
          <w:tcPr>
            <w:tcW w:w="280" w:type="dxa"/>
            <w:vAlign w:val="bottom"/>
            <w:shd w:val="clear" w:color="auto" w:fill="3F3F3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shd w:val="clear" w:color="auto" w:fill="3F3F3F"/>
          </w:tcPr>
          <w:p>
            <w:pPr>
              <w:spacing w:after="0" w:line="20" w:lineRule="exact"/>
              <w:rPr>
                <w:sz w:val="1"/>
                <w:szCs w:val="1"/>
                <w:color w:val="auto"/>
              </w:rPr>
            </w:pPr>
          </w:p>
        </w:tc>
        <w:tc>
          <w:tcPr>
            <w:tcW w:w="80" w:type="dxa"/>
            <w:vAlign w:val="bottom"/>
            <w:shd w:val="clear" w:color="auto" w:fill="3F3F3F"/>
          </w:tcPr>
          <w:p>
            <w:pPr>
              <w:spacing w:after="0" w:line="20" w:lineRule="exact"/>
              <w:rPr>
                <w:sz w:val="1"/>
                <w:szCs w:val="1"/>
                <w:color w:val="auto"/>
              </w:rPr>
            </w:pPr>
          </w:p>
        </w:tc>
        <w:tc>
          <w:tcPr>
            <w:tcW w:w="20" w:type="dxa"/>
            <w:vAlign w:val="bottom"/>
            <w:shd w:val="clear" w:color="auto" w:fill="3F3F3F"/>
          </w:tcPr>
          <w:p>
            <w:pPr>
              <w:spacing w:after="0" w:line="20" w:lineRule="exact"/>
              <w:rPr>
                <w:sz w:val="1"/>
                <w:szCs w:val="1"/>
                <w:color w:val="auto"/>
              </w:rPr>
            </w:pPr>
          </w:p>
        </w:tc>
        <w:tc>
          <w:tcPr>
            <w:tcW w:w="880" w:type="dxa"/>
            <w:vAlign w:val="bottom"/>
            <w:shd w:val="clear" w:color="auto" w:fill="3F3F3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ectPr>
          <w:pgSz w:w="11900" w:h="16838" w:orient="portrait"/>
          <w:cols w:equalWidth="0" w:num="1">
            <w:col w:w="10368"/>
          </w:cols>
          <w:pgMar w:left="652" w:top="1440" w:right="879" w:bottom="1440" w:gutter="0" w:footer="0" w:header="0"/>
        </w:sectPr>
      </w:pPr>
    </w:p>
    <w:bookmarkStart w:id="227" w:name="page228"/>
    <w:bookmarkEnd w:id="227"/>
    <w:p>
      <w:pPr>
        <w:jc w:val="center"/>
        <w:spacing w:after="0"/>
        <w:rPr>
          <w:sz w:val="20"/>
          <w:szCs w:val="20"/>
          <w:color w:val="auto"/>
        </w:rPr>
      </w:pPr>
      <w:r>
        <w:rPr>
          <w:rFonts w:ascii="Arial" w:cs="Arial" w:eastAsia="Arial" w:hAnsi="Arial"/>
          <w:sz w:val="22"/>
          <w:szCs w:val="22"/>
          <w:b w:val="1"/>
          <w:bCs w:val="1"/>
          <w:color w:val="231F20"/>
        </w:rPr>
        <w:t>Attachment 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Prohibition on Contracting for Certain Telecommunications and Video</w:t>
      </w:r>
    </w:p>
    <w:p>
      <w:pPr>
        <w:spacing w:after="0" w:line="28" w:lineRule="exact"/>
        <w:rPr>
          <w:sz w:val="20"/>
          <w:szCs w:val="20"/>
          <w:color w:val="auto"/>
        </w:rPr>
      </w:pPr>
    </w:p>
    <w:p>
      <w:pPr>
        <w:ind w:left="2860"/>
        <w:spacing w:after="0"/>
        <w:rPr>
          <w:sz w:val="20"/>
          <w:szCs w:val="20"/>
          <w:color w:val="auto"/>
        </w:rPr>
      </w:pPr>
      <w:r>
        <w:rPr>
          <w:rFonts w:ascii="Arial" w:cs="Arial" w:eastAsia="Arial" w:hAnsi="Arial"/>
          <w:sz w:val="22"/>
          <w:szCs w:val="22"/>
          <w:b w:val="1"/>
          <w:bCs w:val="1"/>
          <w:color w:val="231F20"/>
        </w:rPr>
        <w:t>Surveillance Services or Equipment</w:t>
      </w:r>
    </w:p>
    <w:p>
      <w:pPr>
        <w:ind w:left="2920"/>
        <w:spacing w:after="0"/>
        <w:rPr>
          <w:sz w:val="20"/>
          <w:szCs w:val="20"/>
          <w:color w:val="auto"/>
        </w:rPr>
      </w:pPr>
      <w:r>
        <w:rPr>
          <w:rFonts w:ascii="Arial" w:cs="Arial" w:eastAsia="Arial" w:hAnsi="Arial"/>
          <w:sz w:val="22"/>
          <w:szCs w:val="22"/>
          <w:i w:val="1"/>
          <w:iCs w:val="1"/>
          <w:color w:val="231F20"/>
        </w:rPr>
        <w:t>Incoporated via Modification No. 01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This page intentionally left blank. See separate document for Attachment D.</w:t>
      </w:r>
    </w:p>
    <w:p>
      <w:pPr>
        <w:sectPr>
          <w:pgSz w:w="11900" w:h="16838" w:orient="portrait"/>
          <w:cols w:equalWidth="0" w:num="1">
            <w:col w:w="9019"/>
          </w:cols>
          <w:pgMar w:left="1440" w:top="1152" w:right="1440" w:bottom="1440" w:gutter="0" w:footer="0" w:header="0"/>
        </w:sectPr>
      </w:pPr>
    </w:p>
    <w:bookmarkStart w:id="228" w:name="page229"/>
    <w:bookmarkEnd w:id="228"/>
    <w:p>
      <w:pPr>
        <w:jc w:val="center"/>
        <w:ind w:right="-39"/>
        <w:spacing w:after="0"/>
        <w:rPr>
          <w:sz w:val="20"/>
          <w:szCs w:val="20"/>
          <w:color w:val="auto"/>
        </w:rPr>
      </w:pPr>
      <w:r>
        <w:rPr>
          <w:rFonts w:ascii="Arial" w:cs="Arial" w:eastAsia="Arial" w:hAnsi="Arial"/>
          <w:sz w:val="18"/>
          <w:szCs w:val="18"/>
          <w:b w:val="1"/>
          <w:bCs w:val="1"/>
          <w:color w:val="auto"/>
        </w:rPr>
        <w:t>Attachment 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 on the Use of Certain Telecommunications and Video Surveillance Services or Equipment.</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This Article is to ensure compliance with Section 889 of the John S. McCain National Defense Authorization Act for Fiscal Year 2019 (Pub. L. 115-232).</w:t>
      </w:r>
    </w:p>
    <w:p>
      <w:pPr>
        <w:spacing w:after="0" w:line="27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Based on the information provided below, the Government may be unable to enter into a new project agreement, exercise an option under an existing project, bilaterally modify a project agreement to extend the term of a project, execute an additional phase, or incrementally fund an existing project with the Member.</w:t>
      </w:r>
    </w:p>
    <w:p>
      <w:pPr>
        <w:spacing w:after="0" w:line="211" w:lineRule="exact"/>
        <w:rPr>
          <w:sz w:val="20"/>
          <w:szCs w:val="20"/>
          <w:color w:val="auto"/>
        </w:rPr>
      </w:pPr>
    </w:p>
    <w:p>
      <w:pPr>
        <w:ind w:left="580" w:hanging="329"/>
        <w:spacing w:after="0"/>
        <w:tabs>
          <w:tab w:leader="none" w:pos="58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252"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 xml:space="preserve">Backhaul </w:t>
      </w:r>
      <w:r>
        <w:rPr>
          <w:rFonts w:ascii="Arial" w:cs="Arial" w:eastAsia="Arial" w:hAnsi="Arial"/>
          <w:sz w:val="16"/>
          <w:szCs w:val="16"/>
          <w:color w:val="auto"/>
        </w:rPr>
        <w:t>means intermediate links between the core network, or backbone network, and the small subnetworks at the edge of the network (</w:t>
      </w:r>
      <w:r>
        <w:rPr>
          <w:rFonts w:ascii="Arial" w:cs="Arial" w:eastAsia="Arial" w:hAnsi="Arial"/>
          <w:sz w:val="16"/>
          <w:szCs w:val="16"/>
          <w:i w:val="1"/>
          <w:iCs w:val="1"/>
          <w:color w:val="auto"/>
        </w:rPr>
        <w:t>e.g.</w:t>
      </w:r>
      <w:r>
        <w:rPr>
          <w:rFonts w:ascii="Arial" w:cs="Arial" w:eastAsia="Arial" w:hAnsi="Arial"/>
          <w:sz w:val="16"/>
          <w:szCs w:val="16"/>
          <w:color w:val="auto"/>
        </w:rPr>
        <w:t>, connecting</w:t>
      </w:r>
      <w:r>
        <w:rPr>
          <w:rFonts w:ascii="Arial" w:cs="Arial" w:eastAsia="Arial" w:hAnsi="Arial"/>
          <w:sz w:val="16"/>
          <w:szCs w:val="16"/>
          <w:i w:val="1"/>
          <w:iCs w:val="1"/>
          <w:color w:val="auto"/>
        </w:rPr>
        <w:t xml:space="preserve"> </w:t>
      </w:r>
      <w:r>
        <w:rPr>
          <w:rFonts w:ascii="Arial" w:cs="Arial" w:eastAsia="Arial" w:hAnsi="Arial"/>
          <w:sz w:val="16"/>
          <w:szCs w:val="16"/>
          <w:color w:val="auto"/>
        </w:rPr>
        <w:t>cell phones/towers to the core telephone network). Backhaul can be wireless (e.g., microwave) or wired (</w:t>
      </w:r>
      <w:r>
        <w:rPr>
          <w:rFonts w:ascii="Arial" w:cs="Arial" w:eastAsia="Arial" w:hAnsi="Arial"/>
          <w:sz w:val="16"/>
          <w:szCs w:val="16"/>
          <w:i w:val="1"/>
          <w:iCs w:val="1"/>
          <w:color w:val="auto"/>
        </w:rPr>
        <w:t>e.g.</w:t>
      </w:r>
      <w:r>
        <w:rPr>
          <w:rFonts w:ascii="Arial" w:cs="Arial" w:eastAsia="Arial" w:hAnsi="Arial"/>
          <w:sz w:val="16"/>
          <w:szCs w:val="16"/>
          <w:color w:val="auto"/>
        </w:rPr>
        <w:t>, fiber optic, coaxial cable, Ethernet).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Covered foreign country </w:t>
      </w:r>
      <w:r>
        <w:rPr>
          <w:rFonts w:ascii="Arial" w:cs="Arial" w:eastAsia="Arial" w:hAnsi="Arial"/>
          <w:sz w:val="18"/>
          <w:szCs w:val="18"/>
          <w:color w:val="auto"/>
        </w:rPr>
        <w:t>means The People’s Republic of China.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Covered telecommunications equipment or services </w:t>
      </w:r>
      <w:r>
        <w:rPr>
          <w:rFonts w:ascii="Arial" w:cs="Arial" w:eastAsia="Arial" w:hAnsi="Arial"/>
          <w:sz w:val="18"/>
          <w:szCs w:val="18"/>
          <w:color w:val="auto"/>
        </w:rPr>
        <w:t>means–</w:t>
      </w:r>
    </w:p>
    <w:p>
      <w:pPr>
        <w:spacing w:after="0" w:line="252" w:lineRule="exact"/>
        <w:rPr>
          <w:sz w:val="20"/>
          <w:szCs w:val="20"/>
          <w:color w:val="auto"/>
        </w:rPr>
      </w:pPr>
    </w:p>
    <w:p>
      <w:pPr>
        <w:ind w:left="260" w:hanging="252"/>
        <w:spacing w:after="0"/>
        <w:tabs>
          <w:tab w:leader="none" w:pos="26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Telecommunications equipment produced by Huawei Technologies Company or ZTE Corporation (or any subsidiary or affiliate of such entities);</w:t>
      </w:r>
    </w:p>
    <w:p>
      <w:pPr>
        <w:spacing w:after="0" w:line="263" w:lineRule="exact"/>
        <w:rPr>
          <w:rFonts w:ascii="Arial" w:cs="Arial" w:eastAsia="Arial" w:hAnsi="Arial"/>
          <w:sz w:val="17"/>
          <w:szCs w:val="17"/>
          <w:color w:val="auto"/>
        </w:rPr>
      </w:pPr>
    </w:p>
    <w:p>
      <w:pPr>
        <w:ind w:right="220" w:firstLine="8"/>
        <w:spacing w:after="0" w:line="263" w:lineRule="auto"/>
        <w:tabs>
          <w:tab w:leader="none" w:pos="25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pPr>
        <w:spacing w:after="0" w:line="210" w:lineRule="exact"/>
        <w:rPr>
          <w:rFonts w:ascii="Arial" w:cs="Arial" w:eastAsia="Arial" w:hAnsi="Arial"/>
          <w:sz w:val="18"/>
          <w:szCs w:val="18"/>
          <w:color w:val="auto"/>
        </w:rPr>
      </w:pPr>
    </w:p>
    <w:p>
      <w:pPr>
        <w:ind w:left="260" w:hanging="252"/>
        <w:spacing w:after="0"/>
        <w:tabs>
          <w:tab w:leader="none" w:pos="2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Telecommunications or video surveillance services provided by such entities or using such equipment; or</w:t>
      </w:r>
    </w:p>
    <w:p>
      <w:pPr>
        <w:spacing w:after="0" w:line="252" w:lineRule="exact"/>
        <w:rPr>
          <w:rFonts w:ascii="Arial" w:cs="Arial" w:eastAsia="Arial" w:hAnsi="Arial"/>
          <w:sz w:val="18"/>
          <w:szCs w:val="18"/>
          <w:color w:val="auto"/>
        </w:rPr>
      </w:pPr>
    </w:p>
    <w:p>
      <w:pPr>
        <w:jc w:val="both"/>
        <w:ind w:right="120" w:firstLine="8"/>
        <w:spacing w:after="0" w:line="263" w:lineRule="auto"/>
        <w:tabs>
          <w:tab w:leader="none" w:pos="25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Telecommunications or video surveillance equipment or services produced or provided by an entity that the Secretary of Defense, in consultation with the Director of National Intelligence or the Director of the Federal Bureau of Investigation, reasonably believes to be an entity owned or controlled by, or otherwise connected to, the Government of a covered foreign country.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Critical technology </w:t>
      </w:r>
      <w:r>
        <w:rPr>
          <w:rFonts w:ascii="Arial" w:cs="Arial" w:eastAsia="Arial" w:hAnsi="Arial"/>
          <w:sz w:val="18"/>
          <w:szCs w:val="18"/>
          <w:color w:val="auto"/>
        </w:rPr>
        <w:t>means–</w:t>
      </w:r>
    </w:p>
    <w:p>
      <w:pPr>
        <w:spacing w:after="0" w:line="252" w:lineRule="exact"/>
        <w:rPr>
          <w:sz w:val="20"/>
          <w:szCs w:val="20"/>
          <w:color w:val="auto"/>
        </w:rPr>
      </w:pPr>
    </w:p>
    <w:p>
      <w:pPr>
        <w:ind w:right="520" w:firstLine="8"/>
        <w:spacing w:after="0" w:line="277" w:lineRule="auto"/>
        <w:tabs>
          <w:tab w:leader="none" w:pos="25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Defense articles or defense services included on the United States Munitions List set forth in the International Traffic in Arms Regulations under subchapter M of chapter I of title 22, Code of Federal Regulations;</w:t>
      </w:r>
    </w:p>
    <w:p>
      <w:pPr>
        <w:spacing w:after="0" w:line="197" w:lineRule="exact"/>
        <w:rPr>
          <w:rFonts w:ascii="Arial" w:cs="Arial" w:eastAsia="Arial" w:hAnsi="Arial"/>
          <w:sz w:val="18"/>
          <w:szCs w:val="18"/>
          <w:color w:val="auto"/>
        </w:rPr>
      </w:pPr>
    </w:p>
    <w:p>
      <w:pPr>
        <w:ind w:right="160" w:firstLine="8"/>
        <w:spacing w:after="0" w:line="277" w:lineRule="auto"/>
        <w:tabs>
          <w:tab w:leader="none" w:pos="25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Items included on the Commerce Control List set forth in Supplement No. 1 to part 774 of the Export Administration Regulations under subchapter C of chapter VII of title 15, Code of Federal Regulations, and controlled-</w:t>
      </w:r>
    </w:p>
    <w:p>
      <w:pPr>
        <w:spacing w:after="0" w:line="197" w:lineRule="exact"/>
        <w:rPr>
          <w:sz w:val="20"/>
          <w:szCs w:val="20"/>
          <w:color w:val="auto"/>
        </w:rPr>
      </w:pPr>
    </w:p>
    <w:p>
      <w:pPr>
        <w:ind w:right="1020" w:firstLine="8"/>
        <w:spacing w:after="0" w:line="277" w:lineRule="auto"/>
        <w:tabs>
          <w:tab w:leader="none" w:pos="21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Pursuant to multilateral regimes, including for reasons relating to national security, chemical and biological weapons proliferation, nuclear nonproliferation, or missile technology; or</w:t>
      </w:r>
    </w:p>
    <w:p>
      <w:pPr>
        <w:spacing w:after="0" w:line="197" w:lineRule="exact"/>
        <w:rPr>
          <w:rFonts w:ascii="Arial" w:cs="Arial" w:eastAsia="Arial" w:hAnsi="Arial"/>
          <w:sz w:val="18"/>
          <w:szCs w:val="18"/>
          <w:color w:val="auto"/>
        </w:rPr>
      </w:pPr>
    </w:p>
    <w:p>
      <w:pPr>
        <w:ind w:left="280" w:hanging="272"/>
        <w:spacing w:after="0"/>
        <w:tabs>
          <w:tab w:leader="none" w:pos="2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For reasons relating to regional stability or surreptitious listening;</w:t>
      </w:r>
    </w:p>
    <w:p>
      <w:pPr>
        <w:spacing w:after="0" w:line="252" w:lineRule="exact"/>
        <w:rPr>
          <w:sz w:val="20"/>
          <w:szCs w:val="20"/>
          <w:color w:val="auto"/>
        </w:rPr>
      </w:pPr>
    </w:p>
    <w:p>
      <w:pPr>
        <w:ind w:right="20" w:firstLine="8"/>
        <w:spacing w:after="0" w:line="277" w:lineRule="auto"/>
        <w:tabs>
          <w:tab w:leader="none" w:pos="25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Specially designed and prepared nuclear equipment, parts and components, materials, software, and technology covered by part 810 of title 10, Code of Federal Regulations (relating to assistance to foreign atomic energy activities);</w:t>
      </w:r>
    </w:p>
    <w:p>
      <w:pPr>
        <w:spacing w:after="0" w:line="197" w:lineRule="exact"/>
        <w:rPr>
          <w:rFonts w:ascii="Arial" w:cs="Arial" w:eastAsia="Arial" w:hAnsi="Arial"/>
          <w:sz w:val="18"/>
          <w:szCs w:val="18"/>
          <w:color w:val="auto"/>
        </w:rPr>
      </w:pPr>
    </w:p>
    <w:p>
      <w:pPr>
        <w:ind w:right="560" w:firstLine="8"/>
        <w:spacing w:after="0" w:line="277" w:lineRule="auto"/>
        <w:tabs>
          <w:tab w:leader="none" w:pos="25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Nuclear facilities, equipment, and material covered by part 110 of title 10, Code of Federal Regulations (relating to export and import of nuclear equipment and material);</w:t>
      </w:r>
    </w:p>
    <w:p>
      <w:pPr>
        <w:sectPr>
          <w:pgSz w:w="11900" w:h="16838" w:orient="portrait"/>
          <w:cols w:equalWidth="0" w:num="1">
            <w:col w:w="11200"/>
          </w:cols>
          <w:pgMar w:left="320" w:top="1269" w:right="379" w:bottom="1440" w:gutter="0" w:footer="0" w:header="0"/>
        </w:sectPr>
      </w:pPr>
    </w:p>
    <w:bookmarkStart w:id="229" w:name="page230"/>
    <w:bookmarkEnd w:id="229"/>
    <w:p>
      <w:pPr>
        <w:ind w:left="260" w:hanging="252"/>
        <w:spacing w:after="0"/>
        <w:tabs>
          <w:tab w:leader="none" w:pos="26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Select agents and toxins covered by part 331 of title 7, Code of Federal Regulations, part 121 of title 9 of such Code, or part 73 of title 42 of such Code;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237" w:lineRule="exact"/>
        <w:rPr>
          <w:rFonts w:ascii="Arial" w:cs="Arial" w:eastAsia="Arial" w:hAnsi="Arial"/>
          <w:sz w:val="16"/>
          <w:szCs w:val="16"/>
          <w:color w:val="auto"/>
        </w:rPr>
      </w:pPr>
    </w:p>
    <w:p>
      <w:pPr>
        <w:ind w:left="260" w:hanging="252"/>
        <w:spacing w:after="0"/>
        <w:tabs>
          <w:tab w:leader="none" w:pos="2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Emerging and foundational technologies controlled pursuant to section 1758 of the Export Control Reform Act of 2018 (50 U.S.C. 4817).</w:t>
      </w:r>
    </w:p>
    <w:p>
      <w:pPr>
        <w:spacing w:after="0" w:line="25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i w:val="1"/>
          <w:iCs w:val="1"/>
          <w:color w:val="auto"/>
        </w:rPr>
        <w:t xml:space="preserve">Interconnection arrangements </w:t>
      </w:r>
      <w:r>
        <w:rPr>
          <w:rFonts w:ascii="Arial" w:cs="Arial" w:eastAsia="Arial" w:hAnsi="Arial"/>
          <w:sz w:val="18"/>
          <w:szCs w:val="18"/>
          <w:color w:val="auto"/>
        </w:rPr>
        <w:t>means arrangements governing the physical connection of two or more networks to allow the use of another's network to</w:t>
      </w:r>
      <w:r>
        <w:rPr>
          <w:rFonts w:ascii="Arial" w:cs="Arial" w:eastAsia="Arial" w:hAnsi="Arial"/>
          <w:sz w:val="18"/>
          <w:szCs w:val="18"/>
          <w:i w:val="1"/>
          <w:iCs w:val="1"/>
          <w:color w:val="auto"/>
        </w:rPr>
        <w:t xml:space="preserve"> </w:t>
      </w:r>
      <w:r>
        <w:rPr>
          <w:rFonts w:ascii="Arial" w:cs="Arial" w:eastAsia="Arial" w:hAnsi="Arial"/>
          <w:sz w:val="18"/>
          <w:szCs w:val="18"/>
          <w:color w:val="auto"/>
        </w:rPr>
        <w:t>hand off traffic where it is ultimately delivered (</w:t>
      </w:r>
      <w:r>
        <w:rPr>
          <w:rFonts w:ascii="Arial" w:cs="Arial" w:eastAsia="Arial" w:hAnsi="Arial"/>
          <w:sz w:val="18"/>
          <w:szCs w:val="18"/>
          <w:i w:val="1"/>
          <w:iCs w:val="1"/>
          <w:color w:val="auto"/>
        </w:rPr>
        <w:t>e.g.</w:t>
      </w:r>
      <w:r>
        <w:rPr>
          <w:rFonts w:ascii="Arial" w:cs="Arial" w:eastAsia="Arial" w:hAnsi="Arial"/>
          <w:sz w:val="18"/>
          <w:szCs w:val="18"/>
          <w:color w:val="auto"/>
        </w:rPr>
        <w:t>, connection of a customer of telephone provider A to a customer of telephone company B) or sharing data and other information resources.</w:t>
      </w:r>
    </w:p>
    <w:p>
      <w:pPr>
        <w:spacing w:after="0" w:line="211"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i w:val="1"/>
          <w:iCs w:val="1"/>
          <w:color w:val="auto"/>
        </w:rPr>
        <w:t xml:space="preserve">Reasonable inquiry </w:t>
      </w:r>
      <w:r>
        <w:rPr>
          <w:rFonts w:ascii="Arial" w:cs="Arial" w:eastAsia="Arial" w:hAnsi="Arial"/>
          <w:sz w:val="16"/>
          <w:szCs w:val="16"/>
          <w:color w:val="auto"/>
        </w:rPr>
        <w:t>means an inquiry designed to uncover any information in the entity's possession about the identity of the producer or provider of</w:t>
      </w:r>
      <w:r>
        <w:rPr>
          <w:rFonts w:ascii="Arial" w:cs="Arial" w:eastAsia="Arial" w:hAnsi="Arial"/>
          <w:sz w:val="16"/>
          <w:szCs w:val="16"/>
          <w:i w:val="1"/>
          <w:iCs w:val="1"/>
          <w:color w:val="auto"/>
        </w:rPr>
        <w:t xml:space="preserve"> </w:t>
      </w:r>
      <w:r>
        <w:rPr>
          <w:rFonts w:ascii="Arial" w:cs="Arial" w:eastAsia="Arial" w:hAnsi="Arial"/>
          <w:sz w:val="16"/>
          <w:szCs w:val="16"/>
          <w:color w:val="auto"/>
        </w:rPr>
        <w:t>covered telecommunications equipment or services used by the entity that excludes the need to include an internal or third-party audit.</w:t>
      </w:r>
    </w:p>
    <w:p>
      <w:pPr>
        <w:spacing w:after="0" w:line="15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Roaming </w:t>
      </w:r>
      <w:r>
        <w:rPr>
          <w:rFonts w:ascii="Arial" w:cs="Arial" w:eastAsia="Arial" w:hAnsi="Arial"/>
          <w:sz w:val="18"/>
          <w:szCs w:val="18"/>
          <w:color w:val="auto"/>
        </w:rPr>
        <w:t>means cellular communications services (</w:t>
      </w:r>
      <w:r>
        <w:rPr>
          <w:rFonts w:ascii="Arial" w:cs="Arial" w:eastAsia="Arial" w:hAnsi="Arial"/>
          <w:sz w:val="18"/>
          <w:szCs w:val="18"/>
          <w:i w:val="1"/>
          <w:iCs w:val="1"/>
          <w:color w:val="auto"/>
        </w:rPr>
        <w:t>e.g.</w:t>
      </w:r>
      <w:r>
        <w:rPr>
          <w:rFonts w:ascii="Arial" w:cs="Arial" w:eastAsia="Arial" w:hAnsi="Arial"/>
          <w:sz w:val="18"/>
          <w:szCs w:val="18"/>
          <w:color w:val="auto"/>
        </w:rPr>
        <w:t>, voice, video, data) received from a visited network when unable to connect to the facilities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home network either because signal coverage is too weak or because traffic is too high.</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Substantial or essential component </w:t>
      </w:r>
      <w:r>
        <w:rPr>
          <w:rFonts w:ascii="Arial" w:cs="Arial" w:eastAsia="Arial" w:hAnsi="Arial"/>
          <w:sz w:val="16"/>
          <w:szCs w:val="16"/>
          <w:color w:val="auto"/>
        </w:rPr>
        <w:t>means any component necessary for the proper function or performance of a piece of equipment, system, or service.</w:t>
      </w:r>
    </w:p>
    <w:p>
      <w:pPr>
        <w:spacing w:after="0" w:line="275" w:lineRule="exact"/>
        <w:rPr>
          <w:sz w:val="20"/>
          <w:szCs w:val="20"/>
          <w:color w:val="auto"/>
        </w:rPr>
      </w:pPr>
    </w:p>
    <w:p>
      <w:pPr>
        <w:ind w:left="560" w:hanging="309"/>
        <w:spacing w:after="0"/>
        <w:tabs>
          <w:tab w:leader="none" w:pos="560" w:val="left"/>
        </w:tabs>
        <w:numPr>
          <w:ilvl w:val="1"/>
          <w:numId w:val="170"/>
        </w:numPr>
        <w:rPr>
          <w:rFonts w:ascii="Arial" w:cs="Arial" w:eastAsia="Arial" w:hAnsi="Arial"/>
          <w:sz w:val="18"/>
          <w:szCs w:val="18"/>
          <w:color w:val="auto"/>
        </w:rPr>
      </w:pPr>
      <w:r>
        <w:rPr>
          <w:rFonts w:ascii="Arial" w:cs="Arial" w:eastAsia="Arial" w:hAnsi="Arial"/>
          <w:sz w:val="18"/>
          <w:szCs w:val="18"/>
          <w:u w:val="single" w:color="auto"/>
          <w:color w:val="auto"/>
        </w:rPr>
        <w:t>Prohibition</w:t>
      </w:r>
    </w:p>
    <w:p>
      <w:pPr>
        <w:spacing w:after="0" w:line="252" w:lineRule="exact"/>
        <w:rPr>
          <w:rFonts w:ascii="Arial" w:cs="Arial" w:eastAsia="Arial" w:hAnsi="Arial"/>
          <w:sz w:val="18"/>
          <w:szCs w:val="18"/>
          <w:color w:val="auto"/>
        </w:rPr>
      </w:pPr>
    </w:p>
    <w:p>
      <w:pPr>
        <w:ind w:firstLine="8"/>
        <w:spacing w:after="0" w:line="275" w:lineRule="auto"/>
        <w:tabs>
          <w:tab w:leader="none" w:pos="255"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The Member is prohibited from providing to the Government any equipment, system, or service that uses covered telecommunications equipment or services as a substantial or essential component of any system, or as critical technology as part of any system, unless the Member is providing (i) a service that connects to the facilities of a third-party, such as backhaul, roaming, or interconnection arrangements; or (ii) telecommunications equipment that cannot route or redirect user data traffic or permit visibility into any user data or packets that such equipment transmits or otherwise handles, or the covered telecommunication equipment or services. A waiver, for a period not exceeding August 13, 2021, may be requested.</w:t>
      </w:r>
    </w:p>
    <w:p>
      <w:pPr>
        <w:spacing w:after="0" w:line="203" w:lineRule="exact"/>
        <w:rPr>
          <w:rFonts w:ascii="Arial" w:cs="Arial" w:eastAsia="Arial" w:hAnsi="Arial"/>
          <w:sz w:val="17"/>
          <w:szCs w:val="17"/>
          <w:color w:val="auto"/>
        </w:rPr>
      </w:pPr>
    </w:p>
    <w:p>
      <w:pPr>
        <w:ind w:right="20" w:firstLine="8"/>
        <w:spacing w:after="0" w:line="275" w:lineRule="auto"/>
        <w:tabs>
          <w:tab w:leader="none" w:pos="255"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The Member acknowledges and accepts that the Government is prohibited from entering into a new project agreement, exercising an option under an existing project, bilaterally modifying the project agreement to extend the term of a project, executing an additional phase, incrementally funding an existing project with the member or with an entity that uses any equipment, system, or service that uses covered telecommunications equipment or services as a substantial or essential component of any system, or as critical technology as part of any system, unless an exception at paragraph (b)(1) of this article applies, regardless of whether that use is in performance of work under a Federal contract or agreement.</w:t>
      </w:r>
    </w:p>
    <w:p>
      <w:pPr>
        <w:spacing w:after="0" w:line="203" w:lineRule="exact"/>
        <w:rPr>
          <w:rFonts w:ascii="Arial" w:cs="Arial" w:eastAsia="Arial" w:hAnsi="Arial"/>
          <w:sz w:val="17"/>
          <w:szCs w:val="17"/>
          <w:color w:val="auto"/>
        </w:rPr>
      </w:pPr>
    </w:p>
    <w:p>
      <w:pPr>
        <w:ind w:left="560" w:hanging="309"/>
        <w:spacing w:after="0"/>
        <w:tabs>
          <w:tab w:leader="none" w:pos="560" w:val="left"/>
        </w:tabs>
        <w:numPr>
          <w:ilvl w:val="1"/>
          <w:numId w:val="171"/>
        </w:numPr>
        <w:rPr>
          <w:rFonts w:ascii="Arial" w:cs="Arial" w:eastAsia="Arial" w:hAnsi="Arial"/>
          <w:sz w:val="18"/>
          <w:szCs w:val="18"/>
          <w:color w:val="auto"/>
        </w:rPr>
      </w:pPr>
      <w:r>
        <w:rPr>
          <w:rFonts w:ascii="Arial" w:cs="Arial" w:eastAsia="Arial" w:hAnsi="Arial"/>
          <w:sz w:val="18"/>
          <w:szCs w:val="18"/>
          <w:u w:val="single" w:color="auto"/>
          <w:color w:val="auto"/>
        </w:rPr>
        <w:t>Certification</w:t>
      </w:r>
      <w:r>
        <w:rPr>
          <w:rFonts w:ascii="Arial" w:cs="Arial" w:eastAsia="Arial" w:hAnsi="Arial"/>
          <w:sz w:val="18"/>
          <w:szCs w:val="18"/>
          <w:color w:val="auto"/>
        </w:rPr>
        <w:t xml:space="preserve"> (to be completed upon Agreements Officer Request)</w:t>
      </w:r>
    </w:p>
    <w:p>
      <w:pPr>
        <w:spacing w:after="0" w:line="25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Member shall review the list of excluded parties in the System for Award Management (SAM) (https://www.sam.gov) for entities excluded from receiving federal awards for “covered telecommunications equipment or services.”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Based on that review:</w:t>
      </w:r>
    </w:p>
    <w:p>
      <w:pPr>
        <w:spacing w:after="0" w:line="252" w:lineRule="exact"/>
        <w:rPr>
          <w:sz w:val="20"/>
          <w:szCs w:val="20"/>
          <w:color w:val="auto"/>
        </w:rPr>
      </w:pPr>
    </w:p>
    <w:p>
      <w:pPr>
        <w:ind w:left="660" w:right="240" w:hanging="328"/>
        <w:spacing w:after="0" w:line="342" w:lineRule="auto"/>
        <w:tabs>
          <w:tab w:leader="none" w:pos="654" w:val="left"/>
        </w:tabs>
        <w:numPr>
          <w:ilvl w:val="0"/>
          <w:numId w:val="172"/>
        </w:numPr>
        <w:rPr>
          <w:rFonts w:ascii="Arial" w:cs="Arial" w:eastAsia="Arial" w:hAnsi="Arial"/>
          <w:sz w:val="16"/>
          <w:szCs w:val="16"/>
          <w:color w:val="auto"/>
        </w:rPr>
      </w:pPr>
      <w:r>
        <w:rPr>
          <w:rFonts w:ascii="Arial" w:cs="Arial" w:eastAsia="Arial" w:hAnsi="Arial"/>
          <w:sz w:val="16"/>
          <w:szCs w:val="16"/>
          <w:i w:val="1"/>
          <w:iCs w:val="1"/>
          <w:color w:val="auto"/>
        </w:rPr>
        <w:t xml:space="preserve">□ </w:t>
      </w:r>
      <w:r>
        <w:rPr>
          <w:rFonts w:ascii="Arial" w:cs="Arial" w:eastAsia="Arial" w:hAnsi="Arial"/>
          <w:sz w:val="16"/>
          <w:szCs w:val="16"/>
          <w:color w:val="auto"/>
        </w:rPr>
        <w:t>The Member certifies that it does</w:t>
      </w:r>
      <w:r>
        <w:rPr>
          <w:rFonts w:ascii="Arial" w:cs="Arial" w:eastAsia="Arial" w:hAnsi="Arial"/>
          <w:sz w:val="16"/>
          <w:szCs w:val="16"/>
          <w:i w:val="1"/>
          <w:iCs w:val="1"/>
          <w:color w:val="auto"/>
        </w:rPr>
        <w:t xml:space="preserve"> □ </w:t>
      </w:r>
      <w:r>
        <w:rPr>
          <w:rFonts w:ascii="Arial" w:cs="Arial" w:eastAsia="Arial" w:hAnsi="Arial"/>
          <w:sz w:val="16"/>
          <w:szCs w:val="16"/>
          <w:color w:val="auto"/>
        </w:rPr>
        <w:t>does not</w:t>
      </w:r>
      <w:r>
        <w:rPr>
          <w:rFonts w:ascii="Arial" w:cs="Arial" w:eastAsia="Arial" w:hAnsi="Arial"/>
          <w:sz w:val="16"/>
          <w:szCs w:val="16"/>
          <w:i w:val="1"/>
          <w:iCs w:val="1"/>
          <w:color w:val="auto"/>
        </w:rPr>
        <w:t xml:space="preserve"> □ </w:t>
      </w:r>
      <w:r>
        <w:rPr>
          <w:rFonts w:ascii="Arial" w:cs="Arial" w:eastAsia="Arial" w:hAnsi="Arial"/>
          <w:sz w:val="16"/>
          <w:szCs w:val="16"/>
          <w:color w:val="auto"/>
        </w:rPr>
        <w:t>provide covered telecommunications equipment or services as a part of its offered products or</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to the Government in the performance of any contract, subcontract, other transaction agreement, or other contractual instrument.</w:t>
      </w:r>
    </w:p>
    <w:p>
      <w:pPr>
        <w:spacing w:after="0" w:line="150" w:lineRule="exact"/>
        <w:rPr>
          <w:rFonts w:ascii="Arial" w:cs="Arial" w:eastAsia="Arial" w:hAnsi="Arial"/>
          <w:sz w:val="16"/>
          <w:szCs w:val="16"/>
          <w:color w:val="auto"/>
        </w:rPr>
      </w:pPr>
    </w:p>
    <w:p>
      <w:pPr>
        <w:ind w:left="660" w:hanging="328"/>
        <w:spacing w:after="0" w:line="275" w:lineRule="auto"/>
        <w:tabs>
          <w:tab w:leader="none" w:pos="654" w:val="left"/>
        </w:tabs>
        <w:numPr>
          <w:ilvl w:val="0"/>
          <w:numId w:val="172"/>
        </w:numPr>
        <w:rPr>
          <w:rFonts w:ascii="Arial" w:cs="Arial" w:eastAsia="Arial" w:hAnsi="Arial"/>
          <w:sz w:val="17"/>
          <w:szCs w:val="17"/>
          <w:color w:val="auto"/>
        </w:rPr>
      </w:pPr>
      <w:r>
        <w:rPr>
          <w:rFonts w:ascii="Arial" w:cs="Arial" w:eastAsia="Arial" w:hAnsi="Arial"/>
          <w:sz w:val="17"/>
          <w:szCs w:val="17"/>
          <w:color w:val="auto"/>
        </w:rPr>
        <w:t xml:space="preserve">If the Member does provide covered telecommunications equipment or services as a part of its offered products or services to the Government in the performance of any contract, subcontract, other transaction agreement, or other contractual instrument as described in paragraph (c)(1), the Member certifies that it will </w:t>
      </w:r>
      <w:r>
        <w:rPr>
          <w:rFonts w:ascii="Arial" w:cs="Arial" w:eastAsia="Arial" w:hAnsi="Arial"/>
          <w:sz w:val="17"/>
          <w:szCs w:val="17"/>
          <w:i w:val="1"/>
          <w:iCs w:val="1"/>
          <w:color w:val="auto"/>
        </w:rPr>
        <w:t>□</w:t>
      </w:r>
      <w:r>
        <w:rPr>
          <w:rFonts w:ascii="Arial" w:cs="Arial" w:eastAsia="Arial" w:hAnsi="Arial"/>
          <w:sz w:val="17"/>
          <w:szCs w:val="17"/>
          <w:color w:val="auto"/>
        </w:rPr>
        <w:t xml:space="preserve"> will not </w:t>
      </w:r>
      <w:r>
        <w:rPr>
          <w:rFonts w:ascii="Arial" w:cs="Arial" w:eastAsia="Arial" w:hAnsi="Arial"/>
          <w:sz w:val="17"/>
          <w:szCs w:val="17"/>
          <w:i w:val="1"/>
          <w:iCs w:val="1"/>
          <w:color w:val="auto"/>
        </w:rPr>
        <w:t>□</w:t>
      </w:r>
      <w:r>
        <w:rPr>
          <w:rFonts w:ascii="Arial" w:cs="Arial" w:eastAsia="Arial" w:hAnsi="Arial"/>
          <w:sz w:val="17"/>
          <w:szCs w:val="17"/>
          <w:color w:val="auto"/>
        </w:rPr>
        <w:t xml:space="preserve"> provide covered telecommunications equipment or services to the Government in the performance of any contract, subcontract, other transaction agreement, or other contractual instrument resulting from this solicitation. If the Member will provide covered telecommunications equipment or services to the Government in the performance of</w:t>
      </w:r>
    </w:p>
    <w:p>
      <w:pPr>
        <w:sectPr>
          <w:pgSz w:w="11900" w:h="16838" w:orient="portrait"/>
          <w:cols w:equalWidth="0" w:num="1">
            <w:col w:w="11200"/>
          </w:cols>
          <w:pgMar w:left="320" w:top="1340" w:right="379" w:bottom="1440" w:gutter="0" w:footer="0" w:header="0"/>
        </w:sectPr>
      </w:pPr>
    </w:p>
    <w:bookmarkStart w:id="230" w:name="page231"/>
    <w:bookmarkEnd w:id="230"/>
    <w:p>
      <w:pPr>
        <w:ind w:left="652" w:right="320"/>
        <w:spacing w:after="0" w:line="277" w:lineRule="auto"/>
        <w:rPr>
          <w:sz w:val="20"/>
          <w:szCs w:val="20"/>
          <w:color w:val="auto"/>
        </w:rPr>
      </w:pPr>
      <w:r>
        <w:rPr>
          <w:rFonts w:ascii="Arial" w:cs="Arial" w:eastAsia="Arial" w:hAnsi="Arial"/>
          <w:sz w:val="18"/>
          <w:szCs w:val="18"/>
          <w:color w:val="auto"/>
        </w:rPr>
        <w:t>any contract, subcontract, other transaction agreement, or other contractual instrument resulting from this solicitation (C)(2), the Member shall provide the additional disclosure information required at paragraph (D)(1) of this Article.</w:t>
      </w:r>
    </w:p>
    <w:p>
      <w:pPr>
        <w:spacing w:after="0" w:line="197" w:lineRule="exact"/>
        <w:rPr>
          <w:sz w:val="20"/>
          <w:szCs w:val="20"/>
          <w:color w:val="auto"/>
        </w:rPr>
      </w:pPr>
    </w:p>
    <w:p>
      <w:pPr>
        <w:ind w:left="652" w:right="40" w:hanging="328"/>
        <w:spacing w:after="0" w:line="257" w:lineRule="auto"/>
        <w:tabs>
          <w:tab w:leader="none" w:pos="646" w:val="left"/>
        </w:tabs>
        <w:numPr>
          <w:ilvl w:val="2"/>
          <w:numId w:val="173"/>
        </w:numPr>
        <w:rPr>
          <w:rFonts w:ascii="Arial" w:cs="Arial" w:eastAsia="Arial" w:hAnsi="Arial"/>
          <w:sz w:val="18"/>
          <w:szCs w:val="18"/>
          <w:color w:val="auto"/>
        </w:rPr>
      </w:pPr>
      <w:r>
        <w:rPr>
          <w:rFonts w:ascii="Arial" w:cs="Arial" w:eastAsia="Arial" w:hAnsi="Arial"/>
          <w:sz w:val="18"/>
          <w:szCs w:val="18"/>
          <w:color w:val="auto"/>
        </w:rPr>
        <w:t xml:space="preserve">The Member certifies, after conducting a reasonable inquiry, for purposes of this certification, that it does </w:t>
      </w:r>
      <w:r>
        <w:rPr>
          <w:rFonts w:ascii="Arial" w:cs="Arial" w:eastAsia="Arial" w:hAnsi="Arial"/>
          <w:sz w:val="18"/>
          <w:szCs w:val="18"/>
          <w:i w:val="1"/>
          <w:iCs w:val="1"/>
          <w:color w:val="auto"/>
        </w:rPr>
        <w:t>□</w:t>
      </w:r>
      <w:r>
        <w:rPr>
          <w:rFonts w:ascii="Arial" w:cs="Arial" w:eastAsia="Arial" w:hAnsi="Arial"/>
          <w:sz w:val="18"/>
          <w:szCs w:val="18"/>
          <w:color w:val="auto"/>
        </w:rPr>
        <w:t xml:space="preserve"> does not </w:t>
      </w:r>
      <w:r>
        <w:rPr>
          <w:rFonts w:ascii="Arial" w:cs="Arial" w:eastAsia="Arial" w:hAnsi="Arial"/>
          <w:sz w:val="18"/>
          <w:szCs w:val="18"/>
          <w:i w:val="1"/>
          <w:iCs w:val="1"/>
          <w:color w:val="auto"/>
        </w:rPr>
        <w:t>□</w:t>
      </w:r>
      <w:r>
        <w:rPr>
          <w:rFonts w:ascii="Arial" w:cs="Arial" w:eastAsia="Arial" w:hAnsi="Arial"/>
          <w:sz w:val="18"/>
          <w:szCs w:val="18"/>
          <w:color w:val="auto"/>
        </w:rPr>
        <w:t xml:space="preserve"> use covered telecommunications equipment or services, or use any equipment, system, or service that uses covered telecommunications equipment or services. If the Member does use covered telecommunications equipment or services, or use any equipment, system, or service that uses covered telecommunications equipment or services as described under this paragraph (C)(3), the Member shall provide the additional disclosure information required at paragraph (D)(2) of this Article.</w:t>
      </w:r>
    </w:p>
    <w:p>
      <w:pPr>
        <w:spacing w:after="0" w:line="214" w:lineRule="exact"/>
        <w:rPr>
          <w:rFonts w:ascii="Arial" w:cs="Arial" w:eastAsia="Arial" w:hAnsi="Arial"/>
          <w:sz w:val="18"/>
          <w:szCs w:val="18"/>
          <w:color w:val="auto"/>
        </w:rPr>
      </w:pPr>
    </w:p>
    <w:p>
      <w:pPr>
        <w:ind w:left="572" w:hanging="329"/>
        <w:spacing w:after="0"/>
        <w:tabs>
          <w:tab w:leader="none" w:pos="572" w:val="left"/>
        </w:tabs>
        <w:numPr>
          <w:ilvl w:val="1"/>
          <w:numId w:val="174"/>
        </w:numPr>
        <w:rPr>
          <w:rFonts w:ascii="Arial" w:cs="Arial" w:eastAsia="Arial" w:hAnsi="Arial"/>
          <w:sz w:val="18"/>
          <w:szCs w:val="18"/>
          <w:color w:val="auto"/>
        </w:rPr>
      </w:pPr>
      <w:r>
        <w:rPr>
          <w:rFonts w:ascii="Arial" w:cs="Arial" w:eastAsia="Arial" w:hAnsi="Arial"/>
          <w:sz w:val="18"/>
          <w:szCs w:val="18"/>
          <w:u w:val="single" w:color="auto"/>
          <w:color w:val="auto"/>
        </w:rPr>
        <w:t>Disclosures</w:t>
      </w:r>
    </w:p>
    <w:p>
      <w:pPr>
        <w:spacing w:after="0" w:line="252" w:lineRule="exact"/>
        <w:rPr>
          <w:rFonts w:ascii="Arial" w:cs="Arial" w:eastAsia="Arial" w:hAnsi="Arial"/>
          <w:sz w:val="18"/>
          <w:szCs w:val="18"/>
          <w:color w:val="auto"/>
        </w:rPr>
      </w:pPr>
    </w:p>
    <w:p>
      <w:pPr>
        <w:ind w:left="-8" w:firstLine="8"/>
        <w:spacing w:after="0" w:line="263" w:lineRule="auto"/>
        <w:tabs>
          <w:tab w:leader="none" w:pos="24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Disclosure for the certification in paragraph (C)(2) of this Article. If the Member does provide covered telecommunications equipment or services to the Government in the performance of any contract, subcontract, other transaction agreement, or other contractual instrument in in paragraph (C)(2) of this provision, the Member shall provide the following information:</w:t>
      </w:r>
    </w:p>
    <w:p>
      <w:pPr>
        <w:spacing w:after="0" w:line="211" w:lineRule="exact"/>
        <w:rPr>
          <w:sz w:val="20"/>
          <w:szCs w:val="20"/>
          <w:color w:val="auto"/>
        </w:rPr>
      </w:pPr>
    </w:p>
    <w:p>
      <w:pPr>
        <w:ind w:left="212" w:hanging="212"/>
        <w:spacing w:after="0"/>
        <w:tabs>
          <w:tab w:leader="none" w:pos="212" w:val="left"/>
        </w:tabs>
        <w:numPr>
          <w:ilvl w:val="0"/>
          <w:numId w:val="176"/>
        </w:numPr>
        <w:rPr>
          <w:rFonts w:ascii="Arial" w:cs="Arial" w:eastAsia="Arial" w:hAnsi="Arial"/>
          <w:sz w:val="18"/>
          <w:szCs w:val="18"/>
          <w:color w:val="auto"/>
        </w:rPr>
      </w:pPr>
      <w:r>
        <w:rPr>
          <w:rFonts w:ascii="Arial" w:cs="Arial" w:eastAsia="Arial" w:hAnsi="Arial"/>
          <w:sz w:val="18"/>
          <w:szCs w:val="18"/>
          <w:color w:val="auto"/>
        </w:rPr>
        <w:t>For covered equipment—</w:t>
      </w:r>
    </w:p>
    <w:p>
      <w:pPr>
        <w:spacing w:after="0" w:line="252" w:lineRule="exact"/>
        <w:rPr>
          <w:rFonts w:ascii="Arial" w:cs="Arial" w:eastAsia="Arial" w:hAnsi="Arial"/>
          <w:sz w:val="18"/>
          <w:szCs w:val="18"/>
          <w:color w:val="auto"/>
        </w:rPr>
      </w:pPr>
    </w:p>
    <w:p>
      <w:pPr>
        <w:ind w:left="1292" w:right="200" w:hanging="320"/>
        <w:spacing w:after="0" w:line="291" w:lineRule="auto"/>
        <w:tabs>
          <w:tab w:leader="none" w:pos="1283" w:val="left"/>
        </w:tabs>
        <w:numPr>
          <w:ilvl w:val="1"/>
          <w:numId w:val="176"/>
        </w:numPr>
        <w:rPr>
          <w:rFonts w:ascii="Arial" w:cs="Arial" w:eastAsia="Arial" w:hAnsi="Arial"/>
          <w:sz w:val="16"/>
          <w:szCs w:val="16"/>
          <w:color w:val="auto"/>
        </w:rPr>
      </w:pPr>
      <w:r>
        <w:rPr>
          <w:rFonts w:ascii="Arial" w:cs="Arial" w:eastAsia="Arial" w:hAnsi="Arial"/>
          <w:sz w:val="16"/>
          <w:szCs w:val="16"/>
          <w:color w:val="auto"/>
        </w:rPr>
        <w:t>The entity that produced the covered telecommunications equipment (include entity name, unique entity identifier, Commercial and Government Entity (CAGE) code, and whether the entity was the Original Equipment Manufacturer (OEM) or a distributor, if known);</w:t>
      </w:r>
    </w:p>
    <w:p>
      <w:pPr>
        <w:ind w:left="1292" w:right="160" w:hanging="320"/>
        <w:spacing w:after="0" w:line="250" w:lineRule="auto"/>
        <w:tabs>
          <w:tab w:leader="none" w:pos="128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A description of all covered telecommunications equipment offered (include brand; model number, such as OEM number, manufacturer part number, or wholesaler number; and item description, as applicable); and</w:t>
      </w:r>
    </w:p>
    <w:p>
      <w:pPr>
        <w:ind w:left="1292" w:right="120" w:hanging="320"/>
        <w:spacing w:after="0" w:line="260" w:lineRule="auto"/>
        <w:tabs>
          <w:tab w:leader="none" w:pos="1283" w:val="left"/>
        </w:tabs>
        <w:numPr>
          <w:ilvl w:val="1"/>
          <w:numId w:val="176"/>
        </w:numPr>
        <w:rPr>
          <w:rFonts w:ascii="Arial" w:cs="Arial" w:eastAsia="Arial" w:hAnsi="Arial"/>
          <w:sz w:val="18"/>
          <w:szCs w:val="18"/>
          <w:color w:val="auto"/>
        </w:rPr>
      </w:pPr>
      <w:r>
        <w:rPr>
          <w:rFonts w:ascii="Arial" w:cs="Arial" w:eastAsia="Arial" w:hAnsi="Arial"/>
          <w:sz w:val="18"/>
          <w:szCs w:val="18"/>
          <w:color w:val="auto"/>
        </w:rPr>
        <w:t>Explanation of the proposed use of covered telecommunications equipment and any factors relevant to determining if such use would be permissible under the prohibition in paragraph (B)(1) of this Article.</w:t>
      </w:r>
    </w:p>
    <w:p>
      <w:pPr>
        <w:spacing w:after="0" w:line="212" w:lineRule="exact"/>
        <w:rPr>
          <w:rFonts w:ascii="Arial" w:cs="Arial" w:eastAsia="Arial" w:hAnsi="Arial"/>
          <w:sz w:val="18"/>
          <w:szCs w:val="18"/>
          <w:color w:val="auto"/>
        </w:rPr>
      </w:pPr>
    </w:p>
    <w:p>
      <w:pPr>
        <w:ind w:left="272" w:hanging="272"/>
        <w:spacing w:after="0"/>
        <w:tabs>
          <w:tab w:leader="none" w:pos="272" w:val="left"/>
        </w:tabs>
        <w:numPr>
          <w:ilvl w:val="0"/>
          <w:numId w:val="176"/>
        </w:numPr>
        <w:rPr>
          <w:rFonts w:ascii="Arial" w:cs="Arial" w:eastAsia="Arial" w:hAnsi="Arial"/>
          <w:sz w:val="18"/>
          <w:szCs w:val="18"/>
          <w:color w:val="auto"/>
        </w:rPr>
      </w:pPr>
      <w:r>
        <w:rPr>
          <w:rFonts w:ascii="Arial" w:cs="Arial" w:eastAsia="Arial" w:hAnsi="Arial"/>
          <w:sz w:val="18"/>
          <w:szCs w:val="18"/>
          <w:color w:val="auto"/>
        </w:rPr>
        <w:t>For covered services—</w:t>
      </w:r>
    </w:p>
    <w:p>
      <w:pPr>
        <w:spacing w:after="0" w:line="252" w:lineRule="exact"/>
        <w:rPr>
          <w:rFonts w:ascii="Arial" w:cs="Arial" w:eastAsia="Arial" w:hAnsi="Arial"/>
          <w:sz w:val="18"/>
          <w:szCs w:val="18"/>
          <w:color w:val="auto"/>
        </w:rPr>
      </w:pPr>
    </w:p>
    <w:p>
      <w:pPr>
        <w:ind w:left="1292" w:hanging="320"/>
        <w:spacing w:after="0"/>
        <w:tabs>
          <w:tab w:leader="none" w:pos="1292" w:val="left"/>
        </w:tabs>
        <w:numPr>
          <w:ilvl w:val="1"/>
          <w:numId w:val="176"/>
        </w:numPr>
        <w:rPr>
          <w:rFonts w:ascii="Arial" w:cs="Arial" w:eastAsia="Arial" w:hAnsi="Arial"/>
          <w:sz w:val="16"/>
          <w:szCs w:val="16"/>
          <w:color w:val="auto"/>
        </w:rPr>
      </w:pPr>
      <w:r>
        <w:rPr>
          <w:rFonts w:ascii="Arial" w:cs="Arial" w:eastAsia="Arial" w:hAnsi="Arial"/>
          <w:sz w:val="16"/>
          <w:szCs w:val="16"/>
          <w:color w:val="auto"/>
        </w:rPr>
        <w:t>If the service is related to item maintenance: A description of all covered telecommunications services offered (include on the item being</w:t>
      </w:r>
    </w:p>
    <w:p>
      <w:pPr>
        <w:spacing w:after="0" w:line="46" w:lineRule="exact"/>
        <w:rPr>
          <w:rFonts w:ascii="Arial" w:cs="Arial" w:eastAsia="Arial" w:hAnsi="Arial"/>
          <w:sz w:val="16"/>
          <w:szCs w:val="16"/>
          <w:color w:val="auto"/>
        </w:rPr>
      </w:pPr>
    </w:p>
    <w:p>
      <w:pPr>
        <w:ind w:left="1292" w:right="400"/>
        <w:spacing w:after="0" w:line="250" w:lineRule="auto"/>
        <w:rPr>
          <w:rFonts w:ascii="Arial" w:cs="Arial" w:eastAsia="Arial" w:hAnsi="Arial"/>
          <w:sz w:val="16"/>
          <w:szCs w:val="16"/>
          <w:color w:val="auto"/>
        </w:rPr>
      </w:pPr>
      <w:r>
        <w:rPr>
          <w:rFonts w:ascii="Arial" w:cs="Arial" w:eastAsia="Arial" w:hAnsi="Arial"/>
          <w:sz w:val="18"/>
          <w:szCs w:val="18"/>
          <w:color w:val="auto"/>
        </w:rPr>
        <w:t>maintained: Brand; model number, such as OEM number, manufacturer part number, or wholesaler number; and item description, as applicable); or</w:t>
      </w:r>
    </w:p>
    <w:p>
      <w:pPr>
        <w:ind w:left="1292" w:right="20" w:hanging="320"/>
        <w:spacing w:after="0" w:line="255" w:lineRule="auto"/>
        <w:tabs>
          <w:tab w:leader="none" w:pos="128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If not associated with maintenance, the Product Service Code (PSC) of the service being provided; and explanation of the proposed use of covered telecommunications services and any factors relevant to determining if such use would be permissible under the prohibition in paragraph (B)(1) of this Article.</w:t>
      </w:r>
    </w:p>
    <w:p>
      <w:pPr>
        <w:spacing w:after="0" w:line="217" w:lineRule="exact"/>
        <w:rPr>
          <w:sz w:val="20"/>
          <w:szCs w:val="20"/>
          <w:color w:val="auto"/>
        </w:rPr>
      </w:pPr>
    </w:p>
    <w:p>
      <w:pPr>
        <w:ind w:left="-8" w:right="1240" w:firstLine="8"/>
        <w:spacing w:after="0" w:line="342" w:lineRule="auto"/>
        <w:tabs>
          <w:tab w:leader="none" w:pos="247" w:val="left"/>
        </w:tabs>
        <w:numPr>
          <w:ilvl w:val="0"/>
          <w:numId w:val="177"/>
        </w:numPr>
        <w:rPr>
          <w:rFonts w:ascii="Arial" w:cs="Arial" w:eastAsia="Arial" w:hAnsi="Arial"/>
          <w:sz w:val="16"/>
          <w:szCs w:val="16"/>
          <w:color w:val="auto"/>
        </w:rPr>
      </w:pPr>
      <w:r>
        <w:rPr>
          <w:rFonts w:ascii="Arial" w:cs="Arial" w:eastAsia="Arial" w:hAnsi="Arial"/>
          <w:sz w:val="16"/>
          <w:szCs w:val="16"/>
          <w:color w:val="auto"/>
        </w:rPr>
        <w:t>If the Member does use covered telecommunications equipment or services, or use any equipment, system, or service that uses covered telecommunications equipment or services in in paragraph (C)(3) of this Article, the Member shall provide the following information:</w:t>
      </w:r>
    </w:p>
    <w:p>
      <w:pPr>
        <w:spacing w:after="0" w:line="151" w:lineRule="exact"/>
        <w:rPr>
          <w:sz w:val="20"/>
          <w:szCs w:val="20"/>
          <w:color w:val="auto"/>
        </w:rPr>
      </w:pPr>
    </w:p>
    <w:p>
      <w:pPr>
        <w:ind w:left="212" w:hanging="212"/>
        <w:spacing w:after="0"/>
        <w:tabs>
          <w:tab w:leader="none" w:pos="21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For covered equipment—</w:t>
      </w:r>
    </w:p>
    <w:p>
      <w:pPr>
        <w:spacing w:after="0" w:line="252" w:lineRule="exact"/>
        <w:rPr>
          <w:rFonts w:ascii="Arial" w:cs="Arial" w:eastAsia="Arial" w:hAnsi="Arial"/>
          <w:sz w:val="18"/>
          <w:szCs w:val="18"/>
          <w:color w:val="auto"/>
        </w:rPr>
      </w:pPr>
    </w:p>
    <w:p>
      <w:pPr>
        <w:ind w:left="1292" w:right="440" w:hanging="320"/>
        <w:spacing w:after="0" w:line="258" w:lineRule="auto"/>
        <w:tabs>
          <w:tab w:leader="none" w:pos="1283"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entity that produced the covered telecommunications equipment (include entity name, unique entity identifier, CAGE code, and whether the entity was the OEM or a distributor, if known);</w:t>
      </w:r>
    </w:p>
    <w:p>
      <w:pPr>
        <w:spacing w:after="0" w:line="1" w:lineRule="exact"/>
        <w:rPr>
          <w:rFonts w:ascii="Arial" w:cs="Arial" w:eastAsia="Arial" w:hAnsi="Arial"/>
          <w:sz w:val="18"/>
          <w:szCs w:val="18"/>
          <w:color w:val="auto"/>
        </w:rPr>
      </w:pPr>
    </w:p>
    <w:p>
      <w:pPr>
        <w:ind w:left="1292" w:right="160" w:hanging="320"/>
        <w:spacing w:after="0" w:line="250" w:lineRule="auto"/>
        <w:tabs>
          <w:tab w:leader="none" w:pos="128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 description of all covered telecommunications equipment offered (include brand; model number, such as OEM number, manufacturer part number, or wholesaler number; and item description, as applicable); and</w:t>
      </w:r>
    </w:p>
    <w:p>
      <w:pPr>
        <w:ind w:left="1292" w:right="120" w:hanging="320"/>
        <w:spacing w:after="0" w:line="260" w:lineRule="auto"/>
        <w:tabs>
          <w:tab w:leader="none" w:pos="1283" w:val="left"/>
        </w:tabs>
        <w:numPr>
          <w:ilvl w:val="1"/>
          <w:numId w:val="178"/>
        </w:numPr>
        <w:rPr>
          <w:rFonts w:ascii="Arial" w:cs="Arial" w:eastAsia="Arial" w:hAnsi="Arial"/>
          <w:sz w:val="18"/>
          <w:szCs w:val="18"/>
          <w:color w:val="auto"/>
        </w:rPr>
      </w:pPr>
      <w:r>
        <w:rPr>
          <w:rFonts w:ascii="Arial" w:cs="Arial" w:eastAsia="Arial" w:hAnsi="Arial"/>
          <w:sz w:val="18"/>
          <w:szCs w:val="18"/>
          <w:color w:val="auto"/>
        </w:rPr>
        <w:t>Explanation of the proposed use of covered telecommunications equipment and any factors relevant to determining if such use would be permissible under the prohibition in paragraph (B)(2) of this Article.</w:t>
      </w:r>
    </w:p>
    <w:p>
      <w:pPr>
        <w:spacing w:after="0" w:line="212" w:lineRule="exact"/>
        <w:rPr>
          <w:rFonts w:ascii="Arial" w:cs="Arial" w:eastAsia="Arial" w:hAnsi="Arial"/>
          <w:sz w:val="18"/>
          <w:szCs w:val="18"/>
          <w:color w:val="auto"/>
        </w:rPr>
      </w:pPr>
    </w:p>
    <w:p>
      <w:pPr>
        <w:ind w:left="272" w:hanging="272"/>
        <w:spacing w:after="0"/>
        <w:tabs>
          <w:tab w:leader="none" w:pos="27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For covered services—</w:t>
      </w:r>
    </w:p>
    <w:p>
      <w:pPr>
        <w:spacing w:after="0" w:line="252" w:lineRule="exact"/>
        <w:rPr>
          <w:rFonts w:ascii="Arial" w:cs="Arial" w:eastAsia="Arial" w:hAnsi="Arial"/>
          <w:sz w:val="18"/>
          <w:szCs w:val="18"/>
          <w:color w:val="auto"/>
        </w:rPr>
      </w:pPr>
    </w:p>
    <w:p>
      <w:pPr>
        <w:ind w:left="1292" w:hanging="320"/>
        <w:spacing w:after="0"/>
        <w:tabs>
          <w:tab w:leader="none" w:pos="1292" w:val="left"/>
        </w:tabs>
        <w:numPr>
          <w:ilvl w:val="1"/>
          <w:numId w:val="178"/>
        </w:numPr>
        <w:rPr>
          <w:rFonts w:ascii="Arial" w:cs="Arial" w:eastAsia="Arial" w:hAnsi="Arial"/>
          <w:sz w:val="16"/>
          <w:szCs w:val="16"/>
          <w:color w:val="auto"/>
        </w:rPr>
      </w:pPr>
      <w:r>
        <w:rPr>
          <w:rFonts w:ascii="Arial" w:cs="Arial" w:eastAsia="Arial" w:hAnsi="Arial"/>
          <w:sz w:val="16"/>
          <w:szCs w:val="16"/>
          <w:color w:val="auto"/>
        </w:rPr>
        <w:t>If the service is related to item maintenance: A description of all covered telecommunications services offered (include on the item being</w:t>
      </w:r>
    </w:p>
    <w:p>
      <w:pPr>
        <w:spacing w:after="0" w:line="46" w:lineRule="exact"/>
        <w:rPr>
          <w:rFonts w:ascii="Arial" w:cs="Arial" w:eastAsia="Arial" w:hAnsi="Arial"/>
          <w:sz w:val="16"/>
          <w:szCs w:val="16"/>
          <w:color w:val="auto"/>
        </w:rPr>
      </w:pPr>
    </w:p>
    <w:p>
      <w:pPr>
        <w:ind w:left="1292" w:right="400"/>
        <w:spacing w:after="0" w:line="260" w:lineRule="auto"/>
        <w:rPr>
          <w:rFonts w:ascii="Arial" w:cs="Arial" w:eastAsia="Arial" w:hAnsi="Arial"/>
          <w:sz w:val="16"/>
          <w:szCs w:val="16"/>
          <w:color w:val="auto"/>
        </w:rPr>
      </w:pPr>
      <w:r>
        <w:rPr>
          <w:rFonts w:ascii="Arial" w:cs="Arial" w:eastAsia="Arial" w:hAnsi="Arial"/>
          <w:sz w:val="18"/>
          <w:szCs w:val="18"/>
          <w:color w:val="auto"/>
        </w:rPr>
        <w:t>maintained: Brand; model number, such as OEM number, manufacturer part number, or wholesaler number; and item description, as applicable); or</w:t>
      </w:r>
    </w:p>
    <w:p>
      <w:pPr>
        <w:sectPr>
          <w:pgSz w:w="11900" w:h="16838" w:orient="portrait"/>
          <w:cols w:equalWidth="0" w:num="1">
            <w:col w:w="11232"/>
          </w:cols>
          <w:pgMar w:left="328" w:top="1097" w:right="339" w:bottom="1440" w:gutter="0" w:footer="0" w:header="0"/>
        </w:sectPr>
      </w:pPr>
    </w:p>
    <w:bookmarkStart w:id="231" w:name="page232"/>
    <w:bookmarkEnd w:id="231"/>
    <w:p>
      <w:pPr>
        <w:ind w:left="1300" w:right="20" w:hanging="320"/>
        <w:spacing w:after="0" w:line="263" w:lineRule="auto"/>
        <w:tabs>
          <w:tab w:leader="none" w:pos="1288" w:val="left"/>
        </w:tabs>
        <w:numPr>
          <w:ilvl w:val="2"/>
          <w:numId w:val="179"/>
        </w:numPr>
        <w:rPr>
          <w:rFonts w:ascii="Arial" w:cs="Arial" w:eastAsia="Arial" w:hAnsi="Arial"/>
          <w:sz w:val="18"/>
          <w:szCs w:val="18"/>
          <w:color w:val="auto"/>
        </w:rPr>
      </w:pPr>
      <w:r>
        <w:rPr>
          <w:rFonts w:ascii="Arial" w:cs="Arial" w:eastAsia="Arial" w:hAnsi="Arial"/>
          <w:sz w:val="18"/>
          <w:szCs w:val="18"/>
          <w:color w:val="auto"/>
        </w:rPr>
        <w:t>If not associated with maintenance, the PSC of the service being provided; and explanation of the proposed use of covered telecommunications services and any factors relevant to determining if such use would be permissible under the prohibition in paragraph (B)(2) of this Article.</w:t>
      </w:r>
    </w:p>
    <w:p>
      <w:pPr>
        <w:spacing w:after="0" w:line="210" w:lineRule="exact"/>
        <w:rPr>
          <w:rFonts w:ascii="Arial" w:cs="Arial" w:eastAsia="Arial" w:hAnsi="Arial"/>
          <w:sz w:val="18"/>
          <w:szCs w:val="18"/>
          <w:color w:val="auto"/>
        </w:rPr>
      </w:pPr>
    </w:p>
    <w:p>
      <w:pPr>
        <w:ind w:left="560" w:hanging="309"/>
        <w:spacing w:after="0"/>
        <w:tabs>
          <w:tab w:leader="none" w:pos="560" w:val="left"/>
        </w:tabs>
        <w:numPr>
          <w:ilvl w:val="1"/>
          <w:numId w:val="180"/>
        </w:numPr>
        <w:rPr>
          <w:rFonts w:ascii="Arial" w:cs="Arial" w:eastAsia="Arial" w:hAnsi="Arial"/>
          <w:sz w:val="18"/>
          <w:szCs w:val="18"/>
          <w:color w:val="auto"/>
        </w:rPr>
      </w:pPr>
      <w:r>
        <w:rPr>
          <w:rFonts w:ascii="Arial" w:cs="Arial" w:eastAsia="Arial" w:hAnsi="Arial"/>
          <w:sz w:val="18"/>
          <w:szCs w:val="18"/>
          <w:u w:val="single" w:color="auto"/>
          <w:color w:val="auto"/>
        </w:rPr>
        <w:t>Reporting Requirement</w:t>
      </w:r>
    </w:p>
    <w:p>
      <w:pPr>
        <w:spacing w:after="0" w:line="252" w:lineRule="exact"/>
        <w:rPr>
          <w:rFonts w:ascii="Arial" w:cs="Arial" w:eastAsia="Arial" w:hAnsi="Arial"/>
          <w:sz w:val="18"/>
          <w:szCs w:val="18"/>
          <w:color w:val="auto"/>
        </w:rPr>
      </w:pPr>
    </w:p>
    <w:p>
      <w:pPr>
        <w:ind w:firstLine="8"/>
        <w:spacing w:after="0" w:line="279" w:lineRule="auto"/>
        <w:tabs>
          <w:tab w:leader="none" w:pos="255" w:val="left"/>
        </w:tabs>
        <w:numPr>
          <w:ilvl w:val="0"/>
          <w:numId w:val="181"/>
        </w:numPr>
        <w:rPr>
          <w:rFonts w:ascii="Arial" w:cs="Arial" w:eastAsia="Arial" w:hAnsi="Arial"/>
          <w:sz w:val="17"/>
          <w:szCs w:val="17"/>
          <w:color w:val="auto"/>
        </w:rPr>
      </w:pPr>
      <w:r>
        <w:rPr>
          <w:rFonts w:ascii="Arial" w:cs="Arial" w:eastAsia="Arial" w:hAnsi="Arial"/>
          <w:sz w:val="17"/>
          <w:szCs w:val="17"/>
          <w:color w:val="auto"/>
        </w:rPr>
        <w:t>In the event the Member identifies covered telecommunications equipment or services used as a substantial or essential component of any system, or as critical technology as part of any system, during agreement performance, or the Member is notified of such by a subcontractor at any tier or by any other source, the Member shall report the information in paragraph (E)(2) of this Article to the Agreements Officer and to the Department of Defense website at https://dibnet.dod.mil. The Member must notify the CMF that a report has been made.</w:t>
      </w:r>
    </w:p>
    <w:p>
      <w:pPr>
        <w:spacing w:after="0" w:line="198" w:lineRule="exact"/>
        <w:rPr>
          <w:rFonts w:ascii="Arial" w:cs="Arial" w:eastAsia="Arial" w:hAnsi="Arial"/>
          <w:sz w:val="17"/>
          <w:szCs w:val="17"/>
          <w:color w:val="auto"/>
        </w:rPr>
      </w:pPr>
    </w:p>
    <w:p>
      <w:pPr>
        <w:ind w:left="260" w:hanging="252"/>
        <w:spacing w:after="0"/>
        <w:tabs>
          <w:tab w:leader="none" w:pos="2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Member shall report the following information pursuant to paragraph (E)(1) of this clause:</w:t>
      </w:r>
    </w:p>
    <w:p>
      <w:pPr>
        <w:spacing w:after="0" w:line="252" w:lineRule="exact"/>
        <w:rPr>
          <w:sz w:val="20"/>
          <w:szCs w:val="20"/>
          <w:color w:val="auto"/>
        </w:rPr>
      </w:pPr>
    </w:p>
    <w:p>
      <w:pPr>
        <w:jc w:val="both"/>
        <w:ind w:right="420" w:firstLine="8"/>
        <w:spacing w:after="0" w:line="259" w:lineRule="auto"/>
        <w:tabs>
          <w:tab w:leader="none" w:pos="21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Within one (1) business day from the date of such identification or notification: the agreement number; the order number(s), if applicable; supplier name; supplier unique entity identifier (if known); supplier CAGE code (if known); brand; model number (original equipment manufacturer number, manufacturer part number, or wholesaler number); item description; and any readily available information about mitigation actions undertaken or recommended.</w:t>
      </w:r>
    </w:p>
    <w:p>
      <w:pPr>
        <w:spacing w:after="0" w:line="213" w:lineRule="exact"/>
        <w:rPr>
          <w:rFonts w:ascii="Arial" w:cs="Arial" w:eastAsia="Arial" w:hAnsi="Arial"/>
          <w:sz w:val="18"/>
          <w:szCs w:val="18"/>
          <w:color w:val="auto"/>
        </w:rPr>
      </w:pPr>
    </w:p>
    <w:p>
      <w:pPr>
        <w:ind w:right="300" w:firstLine="8"/>
        <w:spacing w:after="0" w:line="259" w:lineRule="auto"/>
        <w:tabs>
          <w:tab w:leader="none" w:pos="26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Within ten (10) business days of submitting the information in paragraph (E)(2)(i) of this clause: any further available information about mitigation actions undertaken or recommended. In addition, the Member shall describe the efforts it undertook to prevent use or submission of covered telecommunications equipment or services, and any additional efforts that will be incorporated to prevent future use or submission of covered telecommunications equipment or services.</w:t>
      </w:r>
    </w:p>
    <w:p>
      <w:pPr>
        <w:spacing w:after="0" w:line="214" w:lineRule="exact"/>
        <w:rPr>
          <w:sz w:val="20"/>
          <w:szCs w:val="20"/>
          <w:color w:val="auto"/>
        </w:rPr>
      </w:pPr>
    </w:p>
    <w:p>
      <w:pPr>
        <w:ind w:left="560" w:hanging="309"/>
        <w:spacing w:after="0"/>
        <w:tabs>
          <w:tab w:leader="none" w:pos="56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Subcontracts</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Member shall insert the substance of this article, including this paragraph (F) and excluding paragraph (B)(2), in all subcontracts and other contractual instruments, including subcontracts for the acquisition of commercial items.</w:t>
      </w:r>
    </w:p>
    <w:p>
      <w:pPr>
        <w:sectPr>
          <w:pgSz w:w="11900" w:h="16838" w:orient="portrait"/>
          <w:cols w:equalWidth="0" w:num="1">
            <w:col w:w="11180"/>
          </w:cols>
          <w:pgMar w:left="320" w:top="1097" w:right="399" w:bottom="1440" w:gutter="0" w:footer="0" w:header="0"/>
        </w:sectPr>
      </w:pPr>
    </w:p>
    <w:bookmarkStart w:id="232" w:name="page233"/>
    <w:bookmarkEnd w:id="232"/>
    <w:p>
      <w:pPr>
        <w:ind w:left="8566"/>
        <w:spacing w:after="0"/>
        <w:rPr>
          <w:sz w:val="20"/>
          <w:szCs w:val="20"/>
          <w:color w:val="auto"/>
        </w:rPr>
      </w:pPr>
      <w:r>
        <w:rPr>
          <w:rFonts w:ascii="Arial" w:cs="Arial" w:eastAsia="Arial" w:hAnsi="Arial"/>
          <w:sz w:val="18"/>
          <w:szCs w:val="18"/>
          <w:color w:val="auto"/>
        </w:rPr>
        <w:t>Exhibit 10.34.2</w:t>
      </w:r>
    </w:p>
    <w:p>
      <w:pPr>
        <w:spacing w:after="0" w:line="239" w:lineRule="exact"/>
        <w:rPr>
          <w:sz w:val="20"/>
          <w:szCs w:val="20"/>
          <w:color w:val="auto"/>
        </w:rPr>
      </w:pPr>
    </w:p>
    <w:p>
      <w:pPr>
        <w:jc w:val="center"/>
        <w:ind w:right="214"/>
        <w:spacing w:after="0" w:line="255" w:lineRule="auto"/>
        <w:rPr>
          <w:sz w:val="20"/>
          <w:szCs w:val="20"/>
          <w:color w:val="auto"/>
        </w:rPr>
      </w:pPr>
      <w:r>
        <w:rPr>
          <w:rFonts w:ascii="Arial" w:cs="Arial" w:eastAsia="Arial" w:hAnsi="Arial"/>
          <w:sz w:val="20"/>
          <w:szCs w:val="20"/>
          <w:b w:val="1"/>
          <w:bCs w:val="1"/>
          <w:color w:val="auto"/>
        </w:rPr>
        <w:t>CERTAIN CONFIDENTIAL PORTIONS OF THIS EXHIBIT, MARKED BY BRACKETS, WERE OMITTED BECAUSE THOSE PORTIONS ARE NOT MATERIAL AND WOULD BE COMPETITIVELY HARMFUL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1069340</wp:posOffset>
            </wp:positionV>
            <wp:extent cx="6532245" cy="6343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34">
                      <a:extLst>
                        <a:ext uri="{28A0092B-C50C-407E-A947-70E740481C1C}"/>
                      </a:extLst>
                    </a:blip>
                    <a:srcRect/>
                    <a:stretch>
                      <a:fillRect/>
                    </a:stretch>
                  </pic:blipFill>
                  <pic:spPr bwMode="auto">
                    <a:xfrm>
                      <a:off x="0" y="0"/>
                      <a:ext cx="653224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
        <w:spacing w:after="0"/>
        <w:rPr>
          <w:sz w:val="20"/>
          <w:szCs w:val="20"/>
          <w:color w:val="auto"/>
        </w:rPr>
      </w:pPr>
      <w:r>
        <w:rPr>
          <w:rFonts w:ascii="Arial" w:cs="Arial" w:eastAsia="Arial" w:hAnsi="Arial"/>
          <w:sz w:val="20"/>
          <w:szCs w:val="20"/>
          <w:color w:val="231F20"/>
        </w:rPr>
        <w:t>November 17, 2020</w:t>
      </w:r>
    </w:p>
    <w:p>
      <w:pPr>
        <w:spacing w:after="0" w:line="243" w:lineRule="exact"/>
        <w:rPr>
          <w:sz w:val="20"/>
          <w:szCs w:val="20"/>
          <w:color w:val="auto"/>
        </w:rPr>
      </w:pPr>
    </w:p>
    <w:p>
      <w:pPr>
        <w:ind w:left="6"/>
        <w:spacing w:after="0"/>
        <w:rPr>
          <w:sz w:val="20"/>
          <w:szCs w:val="20"/>
          <w:color w:val="auto"/>
        </w:rPr>
      </w:pPr>
      <w:r>
        <w:rPr>
          <w:rFonts w:ascii="Arial" w:cs="Arial" w:eastAsia="Arial" w:hAnsi="Arial"/>
          <w:sz w:val="20"/>
          <w:szCs w:val="20"/>
          <w:color w:val="231F20"/>
        </w:rPr>
        <w:t>Regeneron Pharmaceuticals, Inc.</w:t>
      </w:r>
    </w:p>
    <w:p>
      <w:pPr>
        <w:spacing w:after="0" w:line="15" w:lineRule="exact"/>
        <w:rPr>
          <w:sz w:val="20"/>
          <w:szCs w:val="20"/>
          <w:color w:val="auto"/>
        </w:rPr>
      </w:pPr>
    </w:p>
    <w:p>
      <w:pPr>
        <w:ind w:left="6"/>
        <w:spacing w:after="0"/>
        <w:rPr>
          <w:sz w:val="20"/>
          <w:szCs w:val="20"/>
          <w:color w:val="auto"/>
        </w:rPr>
      </w:pPr>
      <w:r>
        <w:rPr>
          <w:rFonts w:ascii="Arial" w:cs="Arial" w:eastAsia="Arial" w:hAnsi="Arial"/>
          <w:sz w:val="20"/>
          <w:szCs w:val="20"/>
          <w:color w:val="231F20"/>
        </w:rPr>
        <w:t>777 Old Saw Mill River Rd</w:t>
      </w:r>
    </w:p>
    <w:p>
      <w:pPr>
        <w:ind w:left="6"/>
        <w:spacing w:after="0"/>
        <w:rPr>
          <w:sz w:val="20"/>
          <w:szCs w:val="20"/>
          <w:color w:val="auto"/>
        </w:rPr>
      </w:pPr>
      <w:r>
        <w:rPr>
          <w:rFonts w:ascii="Arial" w:cs="Arial" w:eastAsia="Arial" w:hAnsi="Arial"/>
          <w:sz w:val="20"/>
          <w:szCs w:val="20"/>
          <w:color w:val="231F20"/>
        </w:rPr>
        <w:t>Tarrytown, NY 10591</w:t>
      </w:r>
    </w:p>
    <w:p>
      <w:pPr>
        <w:spacing w:after="0" w:line="348" w:lineRule="exact"/>
        <w:rPr>
          <w:sz w:val="20"/>
          <w:szCs w:val="20"/>
          <w:color w:val="auto"/>
        </w:rPr>
      </w:pPr>
    </w:p>
    <w:p>
      <w:pPr>
        <w:ind w:left="6"/>
        <w:spacing w:after="0"/>
        <w:rPr>
          <w:sz w:val="20"/>
          <w:szCs w:val="20"/>
          <w:color w:val="auto"/>
        </w:rPr>
      </w:pPr>
      <w:r>
        <w:rPr>
          <w:rFonts w:ascii="Arial" w:cs="Arial" w:eastAsia="Arial" w:hAnsi="Arial"/>
          <w:sz w:val="20"/>
          <w:szCs w:val="20"/>
          <w:color w:val="231F20"/>
        </w:rPr>
        <w:t>Attention:</w:t>
      </w:r>
    </w:p>
    <w:p>
      <w:pPr>
        <w:spacing w:after="0" w:line="229" w:lineRule="exact"/>
        <w:rPr>
          <w:sz w:val="20"/>
          <w:szCs w:val="20"/>
          <w:color w:val="auto"/>
        </w:rPr>
      </w:pPr>
    </w:p>
    <w:p>
      <w:pPr>
        <w:ind w:left="6"/>
        <w:spacing w:after="0"/>
        <w:tabs>
          <w:tab w:leader="none" w:pos="826" w:val="left"/>
        </w:tabs>
        <w:rPr>
          <w:sz w:val="20"/>
          <w:szCs w:val="20"/>
          <w:color w:val="auto"/>
        </w:rPr>
      </w:pPr>
      <w:r>
        <w:rPr>
          <w:rFonts w:ascii="Arial" w:cs="Arial" w:eastAsia="Arial" w:hAnsi="Arial"/>
          <w:sz w:val="20"/>
          <w:szCs w:val="20"/>
          <w:color w:val="231F20"/>
        </w:rPr>
        <w:t>Subject:</w:t>
      </w:r>
      <w:r>
        <w:rPr>
          <w:sz w:val="20"/>
          <w:szCs w:val="20"/>
          <w:color w:val="auto"/>
        </w:rPr>
        <w:tab/>
      </w:r>
      <w:r>
        <w:rPr>
          <w:rFonts w:ascii="Arial" w:cs="Arial" w:eastAsia="Arial" w:hAnsi="Arial"/>
          <w:sz w:val="18"/>
          <w:szCs w:val="18"/>
          <w:color w:val="231F20"/>
        </w:rPr>
        <w:t>Modification No. 02 to Project Agreement No. 01; MCDC2008-005</w:t>
      </w:r>
    </w:p>
    <w:p>
      <w:pPr>
        <w:spacing w:after="0" w:line="229" w:lineRule="exact"/>
        <w:rPr>
          <w:sz w:val="20"/>
          <w:szCs w:val="20"/>
          <w:color w:val="auto"/>
        </w:rPr>
      </w:pPr>
    </w:p>
    <w:p>
      <w:pPr>
        <w:ind w:left="6"/>
        <w:spacing w:after="0"/>
        <w:tabs>
          <w:tab w:leader="none" w:pos="1026" w:val="left"/>
        </w:tabs>
        <w:rPr>
          <w:sz w:val="20"/>
          <w:szCs w:val="20"/>
          <w:color w:val="auto"/>
        </w:rPr>
      </w:pPr>
      <w:r>
        <w:rPr>
          <w:rFonts w:ascii="Arial" w:cs="Arial" w:eastAsia="Arial" w:hAnsi="Arial"/>
          <w:sz w:val="20"/>
          <w:szCs w:val="20"/>
          <w:color w:val="231F20"/>
        </w:rPr>
        <w:t>Reference:</w:t>
      </w:r>
      <w:r>
        <w:rPr>
          <w:sz w:val="20"/>
          <w:szCs w:val="20"/>
          <w:color w:val="auto"/>
        </w:rPr>
        <w:tab/>
      </w:r>
      <w:r>
        <w:rPr>
          <w:rFonts w:ascii="Arial" w:cs="Arial" w:eastAsia="Arial" w:hAnsi="Arial"/>
          <w:sz w:val="18"/>
          <w:szCs w:val="18"/>
          <w:color w:val="231F20"/>
        </w:rPr>
        <w:t>MCDC Base Agreement No. 2020-504</w:t>
      </w:r>
    </w:p>
    <w:p>
      <w:pPr>
        <w:spacing w:after="0" w:line="108" w:lineRule="exact"/>
        <w:rPr>
          <w:sz w:val="20"/>
          <w:szCs w:val="20"/>
          <w:color w:val="auto"/>
        </w:rPr>
      </w:pPr>
    </w:p>
    <w:p>
      <w:pPr>
        <w:ind w:left="6"/>
        <w:spacing w:after="0"/>
        <w:tabs>
          <w:tab w:leader="none" w:pos="566" w:val="left"/>
        </w:tabs>
        <w:rPr>
          <w:sz w:val="20"/>
          <w:szCs w:val="20"/>
          <w:color w:val="auto"/>
        </w:rPr>
      </w:pPr>
      <w:r>
        <w:rPr>
          <w:rFonts w:ascii="Arial" w:cs="Arial" w:eastAsia="Arial" w:hAnsi="Arial"/>
          <w:sz w:val="20"/>
          <w:szCs w:val="20"/>
          <w:color w:val="231F20"/>
        </w:rPr>
        <w:t>Dear</w:t>
        <w:tab/>
        <w:t>:</w:t>
      </w:r>
    </w:p>
    <w:p>
      <w:pPr>
        <w:spacing w:after="0" w:line="243" w:lineRule="exact"/>
        <w:rPr>
          <w:sz w:val="20"/>
          <w:szCs w:val="20"/>
          <w:color w:val="auto"/>
        </w:rPr>
      </w:pPr>
    </w:p>
    <w:p>
      <w:pPr>
        <w:ind w:left="6" w:firstLine="648"/>
        <w:spacing w:after="0" w:line="260" w:lineRule="auto"/>
        <w:rPr>
          <w:sz w:val="20"/>
          <w:szCs w:val="20"/>
          <w:color w:val="auto"/>
        </w:rPr>
      </w:pPr>
      <w:r>
        <w:rPr>
          <w:rFonts w:ascii="Arial" w:cs="Arial" w:eastAsia="Arial" w:hAnsi="Arial"/>
          <w:sz w:val="20"/>
          <w:szCs w:val="20"/>
          <w:color w:val="231F20"/>
        </w:rPr>
        <w:t>In accordance with the terms and conditions of the referenced MCDC Base Agreement, Modification No. 02 hereby amends the Project Agreement No. 01 as follows:</w:t>
      </w:r>
    </w:p>
    <w:p>
      <w:pPr>
        <w:spacing w:after="0" w:line="198" w:lineRule="exact"/>
        <w:rPr>
          <w:sz w:val="20"/>
          <w:szCs w:val="20"/>
          <w:color w:val="auto"/>
        </w:rPr>
      </w:pPr>
    </w:p>
    <w:p>
      <w:pPr>
        <w:ind w:left="3406"/>
        <w:spacing w:after="0"/>
        <w:rPr>
          <w:sz w:val="20"/>
          <w:szCs w:val="20"/>
          <w:color w:val="auto"/>
        </w:rPr>
      </w:pPr>
      <w:r>
        <w:rPr>
          <w:rFonts w:ascii="Arial" w:cs="Arial" w:eastAsia="Arial" w:hAnsi="Arial"/>
          <w:sz w:val="20"/>
          <w:szCs w:val="20"/>
          <w:b w:val="1"/>
          <w:bCs w:val="1"/>
          <w:u w:val="single" w:color="auto"/>
          <w:color w:val="231F20"/>
        </w:rPr>
        <w:t>DESCRIPTION OF MODIFICATION</w:t>
      </w:r>
    </w:p>
    <w:p>
      <w:pPr>
        <w:spacing w:after="0" w:line="324"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231F20"/>
        </w:rPr>
        <w:t>1)  The Term of the Project Agreement clause is hereby amended as indicated in bold below:</w:t>
      </w:r>
    </w:p>
    <w:p>
      <w:pPr>
        <w:spacing w:after="0" w:line="243" w:lineRule="exact"/>
        <w:rPr>
          <w:sz w:val="20"/>
          <w:szCs w:val="20"/>
          <w:color w:val="auto"/>
        </w:rPr>
      </w:pPr>
    </w:p>
    <w:p>
      <w:pPr>
        <w:ind w:left="326"/>
        <w:spacing w:after="0"/>
        <w:rPr>
          <w:sz w:val="20"/>
          <w:szCs w:val="20"/>
          <w:color w:val="auto"/>
        </w:rPr>
      </w:pPr>
      <w:r>
        <w:rPr>
          <w:rFonts w:ascii="Arial" w:cs="Arial" w:eastAsia="Arial" w:hAnsi="Arial"/>
          <w:sz w:val="20"/>
          <w:szCs w:val="20"/>
          <w:b w:val="1"/>
          <w:bCs w:val="1"/>
          <w:color w:val="231F20"/>
        </w:rPr>
        <w:t>2. TERM OF THE PROJECT AGREEMENT</w:t>
      </w:r>
    </w:p>
    <w:p>
      <w:pPr>
        <w:spacing w:after="0" w:line="8" w:lineRule="exact"/>
        <w:rPr>
          <w:sz w:val="20"/>
          <w:szCs w:val="20"/>
          <w:color w:val="auto"/>
        </w:rPr>
      </w:pPr>
    </w:p>
    <w:p>
      <w:pPr>
        <w:ind w:left="326" w:right="360"/>
        <w:spacing w:after="0" w:line="244" w:lineRule="auto"/>
        <w:rPr>
          <w:sz w:val="20"/>
          <w:szCs w:val="20"/>
          <w:color w:val="auto"/>
        </w:rPr>
      </w:pPr>
      <w:r>
        <w:rPr>
          <w:rFonts w:ascii="Arial" w:cs="Arial" w:eastAsia="Arial" w:hAnsi="Arial"/>
          <w:sz w:val="20"/>
          <w:szCs w:val="20"/>
          <w:color w:val="231F20"/>
        </w:rPr>
        <w:t xml:space="preserve">The period of performance for this Project Agreement is from </w:t>
      </w:r>
      <w:r>
        <w:rPr>
          <w:rFonts w:ascii="Arial" w:cs="Arial" w:eastAsia="Arial" w:hAnsi="Arial"/>
          <w:sz w:val="20"/>
          <w:szCs w:val="20"/>
          <w:u w:val="single" w:color="auto"/>
          <w:color w:val="231F20"/>
        </w:rPr>
        <w:t>July 6, 2020</w:t>
      </w:r>
      <w:r>
        <w:rPr>
          <w:rFonts w:ascii="Arial" w:cs="Arial" w:eastAsia="Arial" w:hAnsi="Arial"/>
          <w:sz w:val="20"/>
          <w:szCs w:val="20"/>
          <w:color w:val="231F20"/>
        </w:rPr>
        <w:t xml:space="preserve"> through </w:t>
      </w:r>
      <w:r>
        <w:rPr>
          <w:rFonts w:ascii="Arial" w:cs="Arial" w:eastAsia="Arial" w:hAnsi="Arial"/>
          <w:sz w:val="20"/>
          <w:szCs w:val="20"/>
          <w:b w:val="1"/>
          <w:bCs w:val="1"/>
          <w:u w:val="single" w:color="auto"/>
          <w:color w:val="231F20"/>
        </w:rPr>
        <w:t>November 1, 2021</w:t>
      </w:r>
      <w:r>
        <w:rPr>
          <w:rFonts w:ascii="Arial" w:cs="Arial" w:eastAsia="Arial" w:hAnsi="Arial"/>
          <w:sz w:val="20"/>
          <w:szCs w:val="20"/>
          <w:color w:val="231F20"/>
        </w:rPr>
        <w:t xml:space="preserve"> </w:t>
      </w:r>
      <w:r>
        <w:rPr>
          <w:rFonts w:ascii="Arial" w:cs="Arial" w:eastAsia="Arial" w:hAnsi="Arial"/>
          <w:sz w:val="20"/>
          <w:szCs w:val="20"/>
          <w:i w:val="1"/>
          <w:iCs w:val="1"/>
          <w:color w:val="231F20"/>
        </w:rPr>
        <w:t>(this is a four month</w:t>
      </w:r>
      <w:r>
        <w:rPr>
          <w:rFonts w:ascii="Arial" w:cs="Arial" w:eastAsia="Arial" w:hAnsi="Arial"/>
          <w:sz w:val="20"/>
          <w:szCs w:val="20"/>
          <w:color w:val="231F20"/>
        </w:rPr>
        <w:t xml:space="preserve"> </w:t>
      </w:r>
      <w:r>
        <w:rPr>
          <w:rFonts w:ascii="Arial" w:cs="Arial" w:eastAsia="Arial" w:hAnsi="Arial"/>
          <w:sz w:val="20"/>
          <w:szCs w:val="20"/>
          <w:i w:val="1"/>
          <w:iCs w:val="1"/>
          <w:color w:val="231F20"/>
        </w:rPr>
        <w:t>extension).</w:t>
      </w:r>
    </w:p>
    <w:p>
      <w:pPr>
        <w:spacing w:after="0" w:line="212" w:lineRule="exact"/>
        <w:rPr>
          <w:sz w:val="20"/>
          <w:szCs w:val="20"/>
          <w:color w:val="auto"/>
        </w:rPr>
      </w:pPr>
    </w:p>
    <w:p>
      <w:pPr>
        <w:ind w:left="326" w:right="520" w:hanging="326"/>
        <w:spacing w:after="0" w:line="267" w:lineRule="auto"/>
        <w:tabs>
          <w:tab w:leader="none" w:pos="315" w:val="left"/>
        </w:tabs>
        <w:numPr>
          <w:ilvl w:val="0"/>
          <w:numId w:val="184"/>
        </w:numPr>
        <w:rPr>
          <w:rFonts w:ascii="Arial" w:cs="Arial" w:eastAsia="Arial" w:hAnsi="Arial"/>
          <w:sz w:val="20"/>
          <w:szCs w:val="20"/>
          <w:b w:val="1"/>
          <w:bCs w:val="1"/>
          <w:color w:val="231F20"/>
        </w:rPr>
      </w:pPr>
      <w:r>
        <w:rPr>
          <w:rFonts w:ascii="Arial" w:cs="Arial" w:eastAsia="Arial" w:hAnsi="Arial"/>
          <w:sz w:val="20"/>
          <w:szCs w:val="20"/>
          <w:b w:val="1"/>
          <w:bCs w:val="1"/>
          <w:color w:val="231F20"/>
        </w:rPr>
        <w:t>The Total Firm Fixed Price clause of the Project Agreement is hereby replaced with the Project Agreement Ceiling clause as indicated below:</w:t>
      </w:r>
    </w:p>
    <w:p>
      <w:pPr>
        <w:spacing w:after="0" w:line="204" w:lineRule="exact"/>
        <w:rPr>
          <w:sz w:val="20"/>
          <w:szCs w:val="20"/>
          <w:color w:val="auto"/>
        </w:rPr>
      </w:pPr>
    </w:p>
    <w:p>
      <w:pPr>
        <w:ind w:left="326"/>
        <w:spacing w:after="0"/>
        <w:rPr>
          <w:sz w:val="20"/>
          <w:szCs w:val="20"/>
          <w:color w:val="auto"/>
        </w:rPr>
      </w:pPr>
      <w:r>
        <w:rPr>
          <w:rFonts w:ascii="Arial" w:cs="Arial" w:eastAsia="Arial" w:hAnsi="Arial"/>
          <w:sz w:val="20"/>
          <w:szCs w:val="20"/>
          <w:b w:val="1"/>
          <w:bCs w:val="1"/>
          <w:color w:val="231F20"/>
        </w:rPr>
        <w:t>4. PROJECT AGREEMENT CEILING</w:t>
      </w:r>
    </w:p>
    <w:p>
      <w:pPr>
        <w:spacing w:after="0" w:line="8" w:lineRule="exact"/>
        <w:rPr>
          <w:sz w:val="20"/>
          <w:szCs w:val="20"/>
          <w:color w:val="auto"/>
        </w:rPr>
      </w:pPr>
    </w:p>
    <w:p>
      <w:pPr>
        <w:ind w:left="326"/>
        <w:spacing w:after="0"/>
        <w:rPr>
          <w:sz w:val="20"/>
          <w:szCs w:val="20"/>
          <w:color w:val="auto"/>
        </w:rPr>
      </w:pPr>
      <w:r>
        <w:rPr>
          <w:rFonts w:ascii="Arial" w:cs="Arial" w:eastAsia="Arial" w:hAnsi="Arial"/>
          <w:sz w:val="20"/>
          <w:szCs w:val="20"/>
          <w:color w:val="231F20"/>
        </w:rPr>
        <w:t>The total Project Agreement Ceiling for the services to be provided by the Project Agreement Holder is as follows:</w:t>
      </w:r>
    </w:p>
    <w:p>
      <w:pPr>
        <w:spacing w:after="0" w:line="189" w:lineRule="exact"/>
        <w:rPr>
          <w:sz w:val="20"/>
          <w:szCs w:val="20"/>
          <w:color w:val="auto"/>
        </w:rPr>
      </w:pPr>
    </w:p>
    <w:tbl>
      <w:tblPr>
        <w:tblLayout w:type="fixed"/>
        <w:tblInd w:w="346" w:type="dxa"/>
        <w:tblCellMar>
          <w:top w:w="0" w:type="dxa"/>
          <w:left w:w="0" w:type="dxa"/>
          <w:bottom w:w="0" w:type="dxa"/>
          <w:right w:w="0" w:type="dxa"/>
        </w:tblCellMar>
      </w:tblPr>
      <w:tr>
        <w:trPr>
          <w:trHeight w:val="230"/>
        </w:trPr>
        <w:tc>
          <w:tcPr>
            <w:tcW w:w="2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20"/>
                <w:szCs w:val="20"/>
                <w:color w:val="231F20"/>
              </w:rPr>
              <w:t>PROJECT AGREEMENT CEILING</w:t>
            </w:r>
          </w:p>
        </w:tc>
      </w:tr>
      <w:tr>
        <w:trPr>
          <w:trHeight w:val="20"/>
        </w:trPr>
        <w:tc>
          <w:tcPr>
            <w:tcW w:w="2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40" w:type="dxa"/>
            <w:vAlign w:val="bottom"/>
            <w:shd w:val="clear" w:color="auto" w:fill="231F2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08"/>
        </w:trPr>
        <w:tc>
          <w:tcPr>
            <w:tcW w:w="2980" w:type="dxa"/>
            <w:vAlign w:val="bottom"/>
          </w:tcPr>
          <w:p>
            <w:pPr>
              <w:spacing w:after="0"/>
              <w:rPr>
                <w:sz w:val="20"/>
                <w:szCs w:val="20"/>
                <w:color w:val="auto"/>
              </w:rPr>
            </w:pPr>
            <w:r>
              <w:rPr>
                <w:rFonts w:ascii="Arial" w:cs="Arial" w:eastAsia="Arial" w:hAnsi="Arial"/>
                <w:sz w:val="20"/>
                <w:szCs w:val="20"/>
                <w:color w:val="231F20"/>
              </w:rPr>
              <w:t>Total Firm Fixed Price</w:t>
            </w:r>
          </w:p>
        </w:tc>
        <w:tc>
          <w:tcPr>
            <w:tcW w:w="3500" w:type="dxa"/>
            <w:vAlign w:val="bottom"/>
            <w:gridSpan w:val="2"/>
          </w:tcPr>
          <w:p>
            <w:pPr>
              <w:ind w:left="240"/>
              <w:spacing w:after="0"/>
              <w:rPr>
                <w:sz w:val="20"/>
                <w:szCs w:val="20"/>
                <w:color w:val="auto"/>
              </w:rPr>
            </w:pPr>
            <w:r>
              <w:rPr>
                <w:rFonts w:ascii="Arial" w:cs="Arial" w:eastAsia="Arial" w:hAnsi="Arial"/>
                <w:sz w:val="20"/>
                <w:szCs w:val="20"/>
                <w:color w:val="231F20"/>
              </w:rPr>
              <w:t>[***]</w:t>
            </w:r>
          </w:p>
        </w:tc>
        <w:tc>
          <w:tcPr>
            <w:tcW w:w="680" w:type="dxa"/>
            <w:vAlign w:val="bottom"/>
          </w:tcPr>
          <w:p>
            <w:pPr>
              <w:spacing w:after="0"/>
              <w:rPr>
                <w:sz w:val="24"/>
                <w:szCs w:val="24"/>
                <w:color w:val="auto"/>
              </w:rPr>
            </w:pPr>
          </w:p>
        </w:tc>
      </w:tr>
      <w:tr>
        <w:trPr>
          <w:trHeight w:val="283"/>
        </w:trPr>
        <w:tc>
          <w:tcPr>
            <w:tcW w:w="2980" w:type="dxa"/>
            <w:vAlign w:val="bottom"/>
          </w:tcPr>
          <w:p>
            <w:pPr>
              <w:spacing w:after="0"/>
              <w:rPr>
                <w:sz w:val="20"/>
                <w:szCs w:val="20"/>
                <w:color w:val="auto"/>
              </w:rPr>
            </w:pPr>
            <w:r>
              <w:rPr>
                <w:rFonts w:ascii="Arial" w:cs="Arial" w:eastAsia="Arial" w:hAnsi="Arial"/>
                <w:sz w:val="20"/>
                <w:szCs w:val="20"/>
                <w:color w:val="231F20"/>
              </w:rPr>
              <w:t>Total Cost Reimbursable</w:t>
            </w:r>
          </w:p>
        </w:tc>
        <w:tc>
          <w:tcPr>
            <w:tcW w:w="3500" w:type="dxa"/>
            <w:vAlign w:val="bottom"/>
            <w:gridSpan w:val="2"/>
          </w:tcPr>
          <w:p>
            <w:pPr>
              <w:ind w:left="240"/>
              <w:spacing w:after="0"/>
              <w:rPr>
                <w:sz w:val="20"/>
                <w:szCs w:val="20"/>
                <w:color w:val="auto"/>
              </w:rPr>
            </w:pPr>
            <w:r>
              <w:rPr>
                <w:rFonts w:ascii="Arial" w:cs="Arial" w:eastAsia="Arial" w:hAnsi="Arial"/>
                <w:sz w:val="20"/>
                <w:szCs w:val="20"/>
                <w:color w:val="231F20"/>
              </w:rPr>
              <w:t>[***]</w:t>
            </w:r>
          </w:p>
        </w:tc>
        <w:tc>
          <w:tcPr>
            <w:tcW w:w="680" w:type="dxa"/>
            <w:vAlign w:val="bottom"/>
          </w:tcPr>
          <w:p>
            <w:pPr>
              <w:spacing w:after="0"/>
              <w:rPr>
                <w:sz w:val="24"/>
                <w:szCs w:val="24"/>
                <w:color w:val="auto"/>
              </w:rPr>
            </w:pPr>
          </w:p>
        </w:tc>
      </w:tr>
      <w:tr>
        <w:trPr>
          <w:trHeight w:val="284"/>
        </w:trPr>
        <w:tc>
          <w:tcPr>
            <w:tcW w:w="2980" w:type="dxa"/>
            <w:vAlign w:val="bottom"/>
          </w:tcPr>
          <w:p>
            <w:pPr>
              <w:spacing w:after="0"/>
              <w:rPr>
                <w:sz w:val="20"/>
                <w:szCs w:val="20"/>
                <w:color w:val="auto"/>
              </w:rPr>
            </w:pPr>
            <w:r>
              <w:rPr>
                <w:rFonts w:ascii="Arial" w:cs="Arial" w:eastAsia="Arial" w:hAnsi="Arial"/>
                <w:sz w:val="20"/>
                <w:szCs w:val="20"/>
                <w:b w:val="1"/>
                <w:bCs w:val="1"/>
                <w:color w:val="231F20"/>
                <w:w w:val="97"/>
              </w:rPr>
              <w:t>Total Project Agreement Ceiling</w:t>
            </w:r>
          </w:p>
        </w:tc>
        <w:tc>
          <w:tcPr>
            <w:tcW w:w="4180" w:type="dxa"/>
            <w:vAlign w:val="bottom"/>
            <w:gridSpan w:val="3"/>
          </w:tcPr>
          <w:p>
            <w:pPr>
              <w:ind w:left="240"/>
              <w:spacing w:after="0"/>
              <w:rPr>
                <w:sz w:val="20"/>
                <w:szCs w:val="20"/>
                <w:color w:val="auto"/>
              </w:rPr>
            </w:pPr>
            <w:r>
              <w:rPr>
                <w:rFonts w:ascii="Arial" w:cs="Arial" w:eastAsia="Arial" w:hAnsi="Arial"/>
                <w:sz w:val="20"/>
                <w:szCs w:val="20"/>
                <w:b w:val="1"/>
                <w:bCs w:val="1"/>
                <w:color w:val="231F20"/>
                <w:w w:val="89"/>
              </w:rPr>
              <w:t xml:space="preserve">$465,861,635 </w:t>
            </w:r>
            <w:r>
              <w:rPr>
                <w:rFonts w:ascii="Arial" w:cs="Arial" w:eastAsia="Arial" w:hAnsi="Arial"/>
                <w:sz w:val="20"/>
                <w:szCs w:val="20"/>
                <w:i w:val="1"/>
                <w:iCs w:val="1"/>
                <w:color w:val="231F20"/>
                <w:w w:val="89"/>
              </w:rPr>
              <w:t>(this is an increase of $15,599,635)</w:t>
            </w:r>
          </w:p>
        </w:tc>
      </w:tr>
    </w:tbl>
    <w:p>
      <w:pPr>
        <w:spacing w:after="0" w:line="243"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231F20"/>
        </w:rPr>
        <w:t>3)  The Total Funding clause of the Project Agreement is hereby amended as indicated in bold below:</w:t>
      </w:r>
    </w:p>
    <w:p>
      <w:pPr>
        <w:spacing w:after="0" w:line="256" w:lineRule="exact"/>
        <w:rPr>
          <w:sz w:val="20"/>
          <w:szCs w:val="20"/>
          <w:color w:val="auto"/>
        </w:rPr>
      </w:pPr>
    </w:p>
    <w:p>
      <w:pPr>
        <w:ind w:left="326"/>
        <w:spacing w:after="0"/>
        <w:rPr>
          <w:sz w:val="20"/>
          <w:szCs w:val="20"/>
          <w:color w:val="auto"/>
        </w:rPr>
      </w:pPr>
      <w:r>
        <w:rPr>
          <w:rFonts w:ascii="Arial" w:cs="Arial" w:eastAsia="Arial" w:hAnsi="Arial"/>
          <w:sz w:val="20"/>
          <w:szCs w:val="20"/>
          <w:b w:val="1"/>
          <w:bCs w:val="1"/>
          <w:color w:val="231F20"/>
        </w:rPr>
        <w:t>5. TOTAL FUNDING</w:t>
      </w:r>
    </w:p>
    <w:p>
      <w:pPr>
        <w:spacing w:after="0" w:line="8" w:lineRule="exact"/>
        <w:rPr>
          <w:sz w:val="20"/>
          <w:szCs w:val="20"/>
          <w:color w:val="auto"/>
        </w:rPr>
      </w:pPr>
    </w:p>
    <w:p>
      <w:pPr>
        <w:ind w:left="326" w:right="1020"/>
        <w:spacing w:after="0" w:line="234" w:lineRule="auto"/>
        <w:rPr>
          <w:sz w:val="20"/>
          <w:szCs w:val="20"/>
          <w:color w:val="auto"/>
        </w:rPr>
      </w:pPr>
      <w:r>
        <w:rPr>
          <w:rFonts w:ascii="Arial" w:cs="Arial" w:eastAsia="Arial" w:hAnsi="Arial"/>
          <w:sz w:val="20"/>
          <w:szCs w:val="20"/>
          <w:color w:val="231F20"/>
        </w:rPr>
        <w:t xml:space="preserve">The total amount of funding currently available for payment and allotted to this Project Agreement is </w:t>
      </w:r>
      <w:r>
        <w:rPr>
          <w:rFonts w:ascii="Arial" w:cs="Arial" w:eastAsia="Arial" w:hAnsi="Arial"/>
          <w:sz w:val="20"/>
          <w:szCs w:val="20"/>
          <w:b w:val="1"/>
          <w:bCs w:val="1"/>
          <w:u w:val="single" w:color="auto"/>
          <w:color w:val="231F20"/>
        </w:rPr>
        <w:t>$465,861,635</w:t>
      </w:r>
      <w:r>
        <w:rPr>
          <w:rFonts w:ascii="Arial" w:cs="Arial" w:eastAsia="Arial" w:hAnsi="Arial"/>
          <w:sz w:val="20"/>
          <w:szCs w:val="20"/>
          <w:color w:val="231F20"/>
        </w:rPr>
        <w:t xml:space="preserve"> </w:t>
      </w:r>
      <w:r>
        <w:rPr>
          <w:rFonts w:ascii="Arial" w:cs="Arial" w:eastAsia="Arial" w:hAnsi="Arial"/>
          <w:sz w:val="20"/>
          <w:szCs w:val="20"/>
          <w:i w:val="1"/>
          <w:iCs w:val="1"/>
          <w:color w:val="231F20"/>
        </w:rPr>
        <w:t>(this is an increase of $15,599,635)</w:t>
      </w:r>
      <w:r>
        <w:rPr>
          <w:rFonts w:ascii="Arial" w:cs="Arial" w:eastAsia="Arial" w:hAnsi="Arial"/>
          <w:sz w:val="20"/>
          <w:szCs w:val="20"/>
          <w:color w:val="231F20"/>
        </w:rPr>
        <w:t>.</w:t>
      </w:r>
    </w:p>
    <w:p>
      <w:pPr>
        <w:sectPr>
          <w:pgSz w:w="11900" w:h="16838" w:orient="portrait"/>
          <w:cols w:equalWidth="0" w:num="1">
            <w:col w:w="10486"/>
          </w:cols>
          <w:pgMar w:left="814" w:top="368" w:right="599" w:bottom="1440" w:gutter="0" w:footer="0" w:header="0"/>
        </w:sectPr>
      </w:pPr>
    </w:p>
    <w:bookmarkStart w:id="233" w:name="page234"/>
    <w:bookmarkEnd w:id="233"/>
    <w:p>
      <w:pPr>
        <w:ind w:left="326" w:right="1120" w:hanging="326"/>
        <w:spacing w:after="0" w:line="267" w:lineRule="auto"/>
        <w:tabs>
          <w:tab w:leader="none" w:pos="315" w:val="left"/>
        </w:tabs>
        <w:numPr>
          <w:ilvl w:val="0"/>
          <w:numId w:val="185"/>
        </w:numPr>
        <w:rPr>
          <w:rFonts w:ascii="Arial" w:cs="Arial" w:eastAsia="Arial" w:hAnsi="Arial"/>
          <w:sz w:val="20"/>
          <w:szCs w:val="20"/>
          <w:b w:val="1"/>
          <w:bCs w:val="1"/>
          <w:color w:val="231F20"/>
        </w:rPr>
      </w:pPr>
      <w:r>
        <w:rPr>
          <w:rFonts w:ascii="Arial" w:cs="Arial" w:eastAsia="Arial" w:hAnsi="Arial"/>
          <w:sz w:val="20"/>
          <w:szCs w:val="20"/>
          <w:b w:val="1"/>
          <w:bCs w:val="1"/>
          <w:color w:val="231F20"/>
        </w:rPr>
        <w:t>The Health Resource Priority and Allocations Systems (HRPAS) clause of the Project Agreement is hereby incorporated as indicated below:</w:t>
      </w:r>
    </w:p>
    <w:p>
      <w:pPr>
        <w:spacing w:after="0" w:line="190" w:lineRule="exact"/>
        <w:rPr>
          <w:sz w:val="20"/>
          <w:szCs w:val="20"/>
          <w:color w:val="auto"/>
        </w:rPr>
      </w:pPr>
    </w:p>
    <w:p>
      <w:pPr>
        <w:ind w:left="326"/>
        <w:spacing w:after="0"/>
        <w:rPr>
          <w:sz w:val="20"/>
          <w:szCs w:val="20"/>
          <w:color w:val="auto"/>
        </w:rPr>
      </w:pPr>
      <w:r>
        <w:rPr>
          <w:rFonts w:ascii="Arial" w:cs="Arial" w:eastAsia="Arial" w:hAnsi="Arial"/>
          <w:sz w:val="20"/>
          <w:szCs w:val="20"/>
          <w:b w:val="1"/>
          <w:bCs w:val="1"/>
          <w:color w:val="231F20"/>
        </w:rPr>
        <w:t>18. Health Resource Priority and Allocations Systems (HRPAS)</w:t>
      </w:r>
    </w:p>
    <w:p>
      <w:pPr>
        <w:spacing w:after="0" w:line="8" w:lineRule="exact"/>
        <w:rPr>
          <w:sz w:val="20"/>
          <w:szCs w:val="20"/>
          <w:color w:val="auto"/>
        </w:rPr>
      </w:pPr>
    </w:p>
    <w:p>
      <w:pPr>
        <w:jc w:val="both"/>
        <w:ind w:left="326"/>
        <w:spacing w:after="0" w:line="241" w:lineRule="auto"/>
        <w:rPr>
          <w:sz w:val="20"/>
          <w:szCs w:val="20"/>
          <w:color w:val="auto"/>
        </w:rPr>
      </w:pPr>
      <w:r>
        <w:rPr>
          <w:rFonts w:ascii="Arial" w:cs="Arial" w:eastAsia="Arial" w:hAnsi="Arial"/>
          <w:sz w:val="20"/>
          <w:szCs w:val="20"/>
          <w:color w:val="231F20"/>
        </w:rPr>
        <w:t>In order to ensure the success of the Project Agreement Holder’s efforts, a priority rating is incorporated into the project agreement for the procurement of raw materials, consumables, repair parts, and major end item assemblies by the Project Agreement Holder under Title I of the HRPAS.</w:t>
      </w:r>
    </w:p>
    <w:p>
      <w:pPr>
        <w:spacing w:after="0" w:line="298" w:lineRule="exact"/>
        <w:rPr>
          <w:sz w:val="20"/>
          <w:szCs w:val="20"/>
          <w:color w:val="auto"/>
        </w:rPr>
      </w:pPr>
    </w:p>
    <w:p>
      <w:pPr>
        <w:ind w:left="386"/>
        <w:spacing w:after="0"/>
        <w:rPr>
          <w:sz w:val="20"/>
          <w:szCs w:val="20"/>
          <w:color w:val="auto"/>
        </w:rPr>
      </w:pPr>
      <w:r>
        <w:rPr>
          <w:rFonts w:ascii="Arial" w:cs="Arial" w:eastAsia="Arial" w:hAnsi="Arial"/>
          <w:sz w:val="20"/>
          <w:szCs w:val="20"/>
          <w:b w:val="1"/>
          <w:bCs w:val="1"/>
          <w:color w:val="auto"/>
        </w:rPr>
        <w:t xml:space="preserve">Priority Rating: </w:t>
      </w:r>
      <w:r>
        <w:rPr>
          <w:rFonts w:ascii="Arial" w:cs="Arial" w:eastAsia="Arial" w:hAnsi="Arial"/>
          <w:sz w:val="17"/>
          <w:szCs w:val="17"/>
          <w:color w:val="auto"/>
        </w:rPr>
        <w:t>Defense Production Act (DPA) Title I - "DO -HR"</w:t>
      </w:r>
    </w:p>
    <w:p>
      <w:pPr>
        <w:spacing w:after="0" w:line="251" w:lineRule="exact"/>
        <w:rPr>
          <w:sz w:val="20"/>
          <w:szCs w:val="20"/>
          <w:color w:val="auto"/>
        </w:rPr>
      </w:pPr>
    </w:p>
    <w:p>
      <w:pPr>
        <w:ind w:left="386"/>
        <w:spacing w:after="0"/>
        <w:rPr>
          <w:sz w:val="20"/>
          <w:szCs w:val="20"/>
          <w:color w:val="auto"/>
        </w:rPr>
      </w:pPr>
      <w:r>
        <w:rPr>
          <w:rFonts w:ascii="Arial" w:cs="Arial" w:eastAsia="Arial" w:hAnsi="Arial"/>
          <w:sz w:val="18"/>
          <w:szCs w:val="18"/>
          <w:color w:val="auto"/>
        </w:rPr>
        <w:t>Each rated order executed by the Project Agreement Holder must include the following:</w:t>
      </w:r>
    </w:p>
    <w:p>
      <w:pPr>
        <w:spacing w:after="0" w:line="261" w:lineRule="exact"/>
        <w:rPr>
          <w:sz w:val="20"/>
          <w:szCs w:val="20"/>
          <w:color w:val="auto"/>
        </w:rPr>
      </w:pPr>
    </w:p>
    <w:p>
      <w:pPr>
        <w:ind w:left="666" w:hanging="281"/>
        <w:spacing w:after="0"/>
        <w:tabs>
          <w:tab w:leader="none" w:pos="666" w:val="left"/>
        </w:tabs>
        <w:numPr>
          <w:ilvl w:val="0"/>
          <w:numId w:val="186"/>
        </w:numPr>
        <w:rPr>
          <w:rFonts w:ascii="Arial" w:cs="Arial" w:eastAsia="Arial" w:hAnsi="Arial"/>
          <w:sz w:val="20"/>
          <w:szCs w:val="20"/>
          <w:color w:val="auto"/>
        </w:rPr>
      </w:pPr>
      <w:r>
        <w:rPr>
          <w:rFonts w:ascii="Arial" w:cs="Arial" w:eastAsia="Arial" w:hAnsi="Arial"/>
          <w:sz w:val="18"/>
          <w:szCs w:val="18"/>
          <w:color w:val="auto"/>
        </w:rPr>
        <w:t xml:space="preserve">The priority rating: </w:t>
      </w:r>
      <w:r>
        <w:rPr>
          <w:rFonts w:ascii="Arial" w:cs="Arial" w:eastAsia="Arial" w:hAnsi="Arial"/>
          <w:sz w:val="18"/>
          <w:szCs w:val="18"/>
          <w:i w:val="1"/>
          <w:iCs w:val="1"/>
          <w:color w:val="auto"/>
        </w:rPr>
        <w:t>DPA</w:t>
      </w:r>
      <w:r>
        <w:rPr>
          <w:rFonts w:ascii="Arial" w:cs="Arial" w:eastAsia="Arial" w:hAnsi="Arial"/>
          <w:sz w:val="18"/>
          <w:szCs w:val="18"/>
          <w:color w:val="auto"/>
        </w:rPr>
        <w:t xml:space="preserve"> Title I- "DO-HR";</w:t>
      </w:r>
    </w:p>
    <w:p>
      <w:pPr>
        <w:spacing w:after="0" w:line="8" w:lineRule="exact"/>
        <w:rPr>
          <w:rFonts w:ascii="Arial" w:cs="Arial" w:eastAsia="Arial" w:hAnsi="Arial"/>
          <w:sz w:val="20"/>
          <w:szCs w:val="20"/>
          <w:color w:val="auto"/>
        </w:rPr>
      </w:pPr>
    </w:p>
    <w:p>
      <w:pPr>
        <w:ind w:left="666" w:hanging="281"/>
        <w:spacing w:after="0" w:line="235" w:lineRule="auto"/>
        <w:tabs>
          <w:tab w:leader="none" w:pos="666" w:val="left"/>
        </w:tabs>
        <w:numPr>
          <w:ilvl w:val="0"/>
          <w:numId w:val="186"/>
        </w:numPr>
        <w:rPr>
          <w:rFonts w:ascii="Arial" w:cs="Arial" w:eastAsia="Arial" w:hAnsi="Arial"/>
          <w:sz w:val="20"/>
          <w:szCs w:val="20"/>
          <w:color w:val="auto"/>
        </w:rPr>
      </w:pPr>
      <w:r>
        <w:rPr>
          <w:rFonts w:ascii="Arial" w:cs="Arial" w:eastAsia="Arial" w:hAnsi="Arial"/>
          <w:sz w:val="18"/>
          <w:szCs w:val="18"/>
          <w:color w:val="auto"/>
        </w:rPr>
        <w:t>A required delivery date or dates. The words "immediately" or "as soon as possible" do not constitute a delivery date;</w:t>
      </w:r>
    </w:p>
    <w:p>
      <w:pPr>
        <w:spacing w:after="0" w:line="4" w:lineRule="exact"/>
        <w:rPr>
          <w:rFonts w:ascii="Arial" w:cs="Arial" w:eastAsia="Arial" w:hAnsi="Arial"/>
          <w:sz w:val="20"/>
          <w:szCs w:val="20"/>
          <w:color w:val="auto"/>
        </w:rPr>
      </w:pPr>
    </w:p>
    <w:p>
      <w:pPr>
        <w:ind w:left="666" w:right="240" w:hanging="281"/>
        <w:spacing w:after="0" w:line="242" w:lineRule="auto"/>
        <w:tabs>
          <w:tab w:leader="none" w:pos="655" w:val="left"/>
        </w:tabs>
        <w:numPr>
          <w:ilvl w:val="0"/>
          <w:numId w:val="186"/>
        </w:numPr>
        <w:rPr>
          <w:rFonts w:ascii="Arial" w:cs="Arial" w:eastAsia="Arial" w:hAnsi="Arial"/>
          <w:sz w:val="20"/>
          <w:szCs w:val="20"/>
          <w:color w:val="auto"/>
        </w:rPr>
      </w:pPr>
      <w:r>
        <w:rPr>
          <w:rFonts w:ascii="Arial" w:cs="Arial" w:eastAsia="Arial" w:hAnsi="Arial"/>
          <w:sz w:val="18"/>
          <w:szCs w:val="18"/>
          <w:color w:val="auto"/>
        </w:rPr>
        <w:t>The written signature on a manually placed order, or the digital signature or name on an electronically placed order, of an individual authorized to sign rated orders for the person placing the order; and</w:t>
      </w:r>
    </w:p>
    <w:p>
      <w:pPr>
        <w:ind w:left="666" w:hanging="281"/>
        <w:spacing w:after="0"/>
        <w:tabs>
          <w:tab w:leader="none" w:pos="666" w:val="left"/>
        </w:tabs>
        <w:numPr>
          <w:ilvl w:val="0"/>
          <w:numId w:val="186"/>
        </w:numPr>
        <w:rPr>
          <w:rFonts w:ascii="Arial" w:cs="Arial" w:eastAsia="Arial" w:hAnsi="Arial"/>
          <w:sz w:val="20"/>
          <w:szCs w:val="20"/>
          <w:color w:val="auto"/>
        </w:rPr>
      </w:pPr>
      <w:r>
        <w:rPr>
          <w:rFonts w:ascii="Arial" w:cs="Arial" w:eastAsia="Arial" w:hAnsi="Arial"/>
          <w:sz w:val="18"/>
          <w:szCs w:val="18"/>
          <w:color w:val="auto"/>
        </w:rPr>
        <w:t>A statement that reads in substance:</w:t>
      </w:r>
    </w:p>
    <w:p>
      <w:pPr>
        <w:spacing w:after="0" w:line="242" w:lineRule="exact"/>
        <w:rPr>
          <w:sz w:val="20"/>
          <w:szCs w:val="20"/>
          <w:color w:val="auto"/>
        </w:rPr>
      </w:pPr>
    </w:p>
    <w:p>
      <w:pPr>
        <w:ind w:left="726" w:right="840"/>
        <w:spacing w:after="0" w:line="282" w:lineRule="auto"/>
        <w:tabs>
          <w:tab w:leader="none" w:pos="117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This is a rated order certified for national defense use, and you are required to follow all the provisions of the Health Resources Priorities and Allocations System regulation at </w:t>
      </w:r>
      <w:r>
        <w:rPr>
          <w:rFonts w:ascii="Arial" w:cs="Arial" w:eastAsia="Arial" w:hAnsi="Arial"/>
          <w:sz w:val="19"/>
          <w:szCs w:val="19"/>
          <w:color w:val="auto"/>
        </w:rPr>
        <w:t>45</w:t>
      </w:r>
      <w:r>
        <w:rPr>
          <w:rFonts w:ascii="Arial" w:cs="Arial" w:eastAsia="Arial" w:hAnsi="Arial"/>
          <w:sz w:val="18"/>
          <w:szCs w:val="18"/>
          <w:color w:val="auto"/>
        </w:rPr>
        <w:t xml:space="preserve"> CFR part </w:t>
      </w:r>
      <w:r>
        <w:rPr>
          <w:rFonts w:ascii="Arial" w:cs="Arial" w:eastAsia="Arial" w:hAnsi="Arial"/>
          <w:sz w:val="19"/>
          <w:szCs w:val="19"/>
          <w:color w:val="auto"/>
        </w:rPr>
        <w:t>IO1.</w:t>
      </w:r>
    </w:p>
    <w:p>
      <w:pPr>
        <w:spacing w:after="0" w:line="202" w:lineRule="exact"/>
        <w:rPr>
          <w:sz w:val="20"/>
          <w:szCs w:val="20"/>
          <w:color w:val="auto"/>
        </w:rPr>
      </w:pPr>
    </w:p>
    <w:p>
      <w:pPr>
        <w:ind w:left="726" w:right="280"/>
        <w:spacing w:after="0" w:line="291" w:lineRule="auto"/>
        <w:tabs>
          <w:tab w:leader="none" w:pos="977" w:val="left"/>
        </w:tabs>
        <w:numPr>
          <w:ilvl w:val="1"/>
          <w:numId w:val="188"/>
        </w:numPr>
        <w:rPr>
          <w:rFonts w:ascii="Arial" w:cs="Arial" w:eastAsia="Arial" w:hAnsi="Arial"/>
          <w:sz w:val="16"/>
          <w:szCs w:val="16"/>
          <w:color w:val="auto"/>
        </w:rPr>
      </w:pPr>
      <w:r>
        <w:rPr>
          <w:rFonts w:ascii="Arial" w:cs="Arial" w:eastAsia="Arial" w:hAnsi="Arial"/>
          <w:sz w:val="16"/>
          <w:szCs w:val="16"/>
          <w:color w:val="auto"/>
        </w:rPr>
        <w:t>If the rated order is placed in support of emergency preparedness requirements and expedited action is necessary and appropriate to meet these requirements, the following sentences should be added following the statement set forth in paragraph (d)</w:t>
      </w:r>
    </w:p>
    <w:p>
      <w:pPr>
        <w:ind w:left="726"/>
        <w:spacing w:after="0"/>
        <w:rPr>
          <w:rFonts w:ascii="Arial" w:cs="Arial" w:eastAsia="Arial" w:hAnsi="Arial"/>
          <w:sz w:val="16"/>
          <w:szCs w:val="16"/>
          <w:color w:val="auto"/>
        </w:rPr>
      </w:pPr>
      <w:r>
        <w:rPr>
          <w:rFonts w:ascii="Arial" w:cs="Arial" w:eastAsia="Arial" w:hAnsi="Arial"/>
          <w:sz w:val="18"/>
          <w:szCs w:val="18"/>
          <w:color w:val="auto"/>
        </w:rPr>
        <w:t>(l) of this section:</w:t>
      </w:r>
    </w:p>
    <w:p>
      <w:pPr>
        <w:spacing w:after="0" w:line="9" w:lineRule="exact"/>
        <w:rPr>
          <w:rFonts w:ascii="Arial" w:cs="Arial" w:eastAsia="Arial" w:hAnsi="Arial"/>
          <w:sz w:val="16"/>
          <w:szCs w:val="16"/>
          <w:color w:val="auto"/>
        </w:rPr>
      </w:pPr>
    </w:p>
    <w:p>
      <w:pPr>
        <w:ind w:left="1346"/>
        <w:spacing w:after="0"/>
        <w:rPr>
          <w:rFonts w:ascii="Arial" w:cs="Arial" w:eastAsia="Arial" w:hAnsi="Arial"/>
          <w:sz w:val="16"/>
          <w:szCs w:val="16"/>
          <w:color w:val="auto"/>
        </w:rPr>
      </w:pPr>
      <w:r>
        <w:rPr>
          <w:rFonts w:ascii="Arial" w:cs="Arial" w:eastAsia="Arial" w:hAnsi="Arial"/>
          <w:sz w:val="17"/>
          <w:szCs w:val="17"/>
          <w:color w:val="auto"/>
        </w:rPr>
        <w:t>i.This rated order is placed for the purpose of emergency preparedness. It must be accepted or rejected within two</w:t>
      </w:r>
    </w:p>
    <w:p>
      <w:pPr>
        <w:spacing w:after="0" w:line="8" w:lineRule="exact"/>
        <w:rPr>
          <w:rFonts w:ascii="Arial" w:cs="Arial" w:eastAsia="Arial" w:hAnsi="Arial"/>
          <w:sz w:val="16"/>
          <w:szCs w:val="16"/>
          <w:color w:val="auto"/>
        </w:rPr>
      </w:pPr>
    </w:p>
    <w:p>
      <w:pPr>
        <w:ind w:left="1586" w:hanging="246"/>
        <w:spacing w:after="0"/>
        <w:tabs>
          <w:tab w:leader="none" w:pos="1586" w:val="left"/>
        </w:tabs>
        <w:numPr>
          <w:ilvl w:val="2"/>
          <w:numId w:val="188"/>
        </w:numPr>
        <w:rPr>
          <w:rFonts w:ascii="Arial" w:cs="Arial" w:eastAsia="Arial" w:hAnsi="Arial"/>
          <w:sz w:val="18"/>
          <w:szCs w:val="18"/>
          <w:color w:val="auto"/>
        </w:rPr>
      </w:pPr>
      <w:r>
        <w:rPr>
          <w:rFonts w:ascii="Arial" w:cs="Arial" w:eastAsia="Arial" w:hAnsi="Arial"/>
          <w:sz w:val="18"/>
          <w:szCs w:val="18"/>
          <w:color w:val="auto"/>
        </w:rPr>
        <w:t>days after receipt of the order if:</w:t>
      </w:r>
    </w:p>
    <w:p>
      <w:pPr>
        <w:spacing w:after="0" w:line="7" w:lineRule="exact"/>
        <w:rPr>
          <w:rFonts w:ascii="Arial" w:cs="Arial" w:eastAsia="Arial" w:hAnsi="Arial"/>
          <w:sz w:val="18"/>
          <w:szCs w:val="18"/>
          <w:color w:val="auto"/>
        </w:rPr>
      </w:pPr>
    </w:p>
    <w:p>
      <w:pPr>
        <w:ind w:left="2166" w:hanging="223"/>
        <w:spacing w:after="0"/>
        <w:tabs>
          <w:tab w:leader="none" w:pos="2166" w:val="left"/>
        </w:tabs>
        <w:numPr>
          <w:ilvl w:val="3"/>
          <w:numId w:val="188"/>
        </w:numPr>
        <w:rPr>
          <w:rFonts w:ascii="Arial" w:cs="Arial" w:eastAsia="Arial" w:hAnsi="Arial"/>
          <w:sz w:val="18"/>
          <w:szCs w:val="18"/>
          <w:color w:val="auto"/>
        </w:rPr>
      </w:pPr>
      <w:r>
        <w:rPr>
          <w:rFonts w:ascii="Arial" w:cs="Arial" w:eastAsia="Arial" w:hAnsi="Arial"/>
          <w:sz w:val="18"/>
          <w:szCs w:val="18"/>
          <w:color w:val="auto"/>
        </w:rPr>
        <w:t xml:space="preserve">The order is issued in response to </w:t>
      </w:r>
      <w:r>
        <w:rPr>
          <w:rFonts w:ascii="Arial" w:cs="Arial" w:eastAsia="Arial" w:hAnsi="Arial"/>
          <w:sz w:val="16"/>
          <w:szCs w:val="16"/>
          <w:color w:val="auto"/>
        </w:rPr>
        <w:t>a</w:t>
      </w:r>
      <w:r>
        <w:rPr>
          <w:rFonts w:ascii="Arial" w:cs="Arial" w:eastAsia="Arial" w:hAnsi="Arial"/>
          <w:sz w:val="18"/>
          <w:szCs w:val="18"/>
          <w:color w:val="auto"/>
        </w:rPr>
        <w:t xml:space="preserve"> hazard that has occurred; or</w:t>
      </w:r>
    </w:p>
    <w:p>
      <w:pPr>
        <w:spacing w:after="0" w:line="9" w:lineRule="exact"/>
        <w:rPr>
          <w:rFonts w:ascii="Arial" w:cs="Arial" w:eastAsia="Arial" w:hAnsi="Arial"/>
          <w:sz w:val="18"/>
          <w:szCs w:val="18"/>
          <w:color w:val="auto"/>
        </w:rPr>
      </w:pPr>
    </w:p>
    <w:p>
      <w:pPr>
        <w:ind w:left="2186" w:hanging="243"/>
        <w:spacing w:after="0"/>
        <w:tabs>
          <w:tab w:leader="none" w:pos="2186" w:val="left"/>
        </w:tabs>
        <w:numPr>
          <w:ilvl w:val="3"/>
          <w:numId w:val="188"/>
        </w:numPr>
        <w:rPr>
          <w:rFonts w:ascii="Arial" w:cs="Arial" w:eastAsia="Arial" w:hAnsi="Arial"/>
          <w:sz w:val="20"/>
          <w:szCs w:val="20"/>
          <w:color w:val="auto"/>
        </w:rPr>
      </w:pPr>
      <w:r>
        <w:rPr>
          <w:rFonts w:ascii="Arial" w:cs="Arial" w:eastAsia="Arial" w:hAnsi="Arial"/>
          <w:sz w:val="18"/>
          <w:szCs w:val="18"/>
          <w:color w:val="auto"/>
        </w:rPr>
        <w:t xml:space="preserve">If the order is issued to prepare for an imminent hazard, as specified in HRPAS </w:t>
      </w:r>
      <w:r>
        <w:rPr>
          <w:rFonts w:ascii="Arial" w:cs="Arial" w:eastAsia="Arial" w:hAnsi="Arial"/>
          <w:sz w:val="19"/>
          <w:szCs w:val="19"/>
          <w:color w:val="auto"/>
        </w:rPr>
        <w:t>§</w:t>
      </w:r>
      <w:r>
        <w:rPr>
          <w:rFonts w:ascii="Arial" w:cs="Arial" w:eastAsia="Arial" w:hAnsi="Arial"/>
          <w:sz w:val="18"/>
          <w:szCs w:val="18"/>
          <w:color w:val="auto"/>
        </w:rPr>
        <w:t>101.33(e).</w:t>
      </w:r>
    </w:p>
    <w:p>
      <w:pPr>
        <w:spacing w:after="0" w:line="237" w:lineRule="exact"/>
        <w:rPr>
          <w:rFonts w:ascii="Arial" w:cs="Arial" w:eastAsia="Arial" w:hAnsi="Arial"/>
          <w:sz w:val="20"/>
          <w:szCs w:val="20"/>
          <w:color w:val="auto"/>
        </w:rPr>
      </w:pPr>
    </w:p>
    <w:p>
      <w:pPr>
        <w:ind w:left="206" w:hanging="199"/>
        <w:spacing w:after="0"/>
        <w:tabs>
          <w:tab w:leader="none" w:pos="206"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Attachment A, Statement of Work, of the Project Agreement is hereby amended as attached herein.</w:t>
      </w:r>
    </w:p>
    <w:p>
      <w:pPr>
        <w:spacing w:after="0" w:line="256" w:lineRule="exact"/>
        <w:rPr>
          <w:sz w:val="20"/>
          <w:szCs w:val="20"/>
          <w:color w:val="auto"/>
        </w:rPr>
      </w:pPr>
    </w:p>
    <w:p>
      <w:pPr>
        <w:ind w:left="66" w:right="320" w:firstLine="630"/>
        <w:spacing w:after="0" w:line="261" w:lineRule="auto"/>
        <w:rPr>
          <w:sz w:val="20"/>
          <w:szCs w:val="20"/>
          <w:color w:val="auto"/>
        </w:rPr>
      </w:pPr>
      <w:r>
        <w:rPr>
          <w:rFonts w:ascii="Arial" w:cs="Arial" w:eastAsia="Arial" w:hAnsi="Arial"/>
          <w:sz w:val="18"/>
          <w:szCs w:val="18"/>
          <w:color w:val="auto"/>
        </w:rPr>
        <w:t xml:space="preserve">Except as provided herein, all Terms and Conditions of the referenced MCDC Base Agreement, Project Agreement, and preceding modifications remain unchanged and </w:t>
      </w:r>
      <w:r>
        <w:rPr>
          <w:rFonts w:ascii="Arial" w:cs="Arial" w:eastAsia="Arial" w:hAnsi="Arial"/>
          <w:sz w:val="16"/>
          <w:szCs w:val="16"/>
          <w:color w:val="auto"/>
        </w:rPr>
        <w:t>in</w:t>
      </w:r>
      <w:r>
        <w:rPr>
          <w:rFonts w:ascii="Arial" w:cs="Arial" w:eastAsia="Arial" w:hAnsi="Arial"/>
          <w:sz w:val="18"/>
          <w:szCs w:val="18"/>
          <w:color w:val="auto"/>
        </w:rPr>
        <w:t xml:space="preserve"> full force and effect.</w:t>
      </w:r>
    </w:p>
    <w:p>
      <w:pPr>
        <w:spacing w:after="0" w:line="198" w:lineRule="exact"/>
        <w:rPr>
          <w:sz w:val="20"/>
          <w:szCs w:val="20"/>
          <w:color w:val="auto"/>
        </w:rPr>
      </w:pPr>
    </w:p>
    <w:p>
      <w:pPr>
        <w:ind w:left="686"/>
        <w:spacing w:after="0"/>
        <w:rPr>
          <w:sz w:val="20"/>
          <w:szCs w:val="20"/>
          <w:color w:val="auto"/>
        </w:rPr>
      </w:pPr>
      <w:r>
        <w:rPr>
          <w:rFonts w:ascii="Arial" w:cs="Arial" w:eastAsia="Arial" w:hAnsi="Arial"/>
          <w:sz w:val="17"/>
          <w:szCs w:val="17"/>
          <w:color w:val="auto"/>
        </w:rPr>
        <w:t>The Project Agreement Holder is required to sign this document and return to Advanced Technology International to finalize this</w:t>
      </w:r>
    </w:p>
    <w:p>
      <w:pPr>
        <w:spacing w:after="0" w:line="23" w:lineRule="exact"/>
        <w:rPr>
          <w:sz w:val="20"/>
          <w:szCs w:val="20"/>
          <w:color w:val="auto"/>
        </w:rPr>
      </w:pPr>
    </w:p>
    <w:p>
      <w:pPr>
        <w:ind w:left="66"/>
        <w:spacing w:after="0"/>
        <w:rPr>
          <w:sz w:val="20"/>
          <w:szCs w:val="20"/>
          <w:color w:val="auto"/>
        </w:rPr>
      </w:pPr>
      <w:r>
        <w:rPr>
          <w:rFonts w:ascii="Arial" w:cs="Arial" w:eastAsia="Arial" w:hAnsi="Arial"/>
          <w:sz w:val="18"/>
          <w:szCs w:val="18"/>
          <w:color w:val="auto"/>
        </w:rPr>
        <w:t>action.</w:t>
      </w:r>
    </w:p>
    <w:p>
      <w:pPr>
        <w:spacing w:after="0" w:line="200" w:lineRule="exact"/>
        <w:rPr>
          <w:sz w:val="20"/>
          <w:szCs w:val="20"/>
          <w:color w:val="auto"/>
        </w:rPr>
      </w:pPr>
    </w:p>
    <w:p>
      <w:pPr>
        <w:spacing w:after="0" w:line="316" w:lineRule="exact"/>
        <w:rPr>
          <w:sz w:val="20"/>
          <w:szCs w:val="20"/>
          <w:color w:val="auto"/>
        </w:rPr>
      </w:pPr>
    </w:p>
    <w:tbl>
      <w:tblPr>
        <w:tblLayout w:type="fixed"/>
        <w:tblInd w:w="166" w:type="dxa"/>
        <w:tblCellMar>
          <w:top w:w="0" w:type="dxa"/>
          <w:left w:w="0" w:type="dxa"/>
          <w:bottom w:w="0" w:type="dxa"/>
          <w:right w:w="0" w:type="dxa"/>
        </w:tblCellMar>
      </w:tblPr>
      <w:tr>
        <w:trPr>
          <w:trHeight w:val="234"/>
        </w:trPr>
        <w:tc>
          <w:tcPr>
            <w:tcW w:w="3900" w:type="dxa"/>
            <w:vAlign w:val="bottom"/>
            <w:gridSpan w:val="4"/>
          </w:tcPr>
          <w:p>
            <w:pPr>
              <w:spacing w:after="0"/>
              <w:rPr>
                <w:sz w:val="20"/>
                <w:szCs w:val="20"/>
                <w:color w:val="auto"/>
              </w:rPr>
            </w:pPr>
            <w:r>
              <w:rPr>
                <w:rFonts w:ascii="Arial" w:cs="Arial" w:eastAsia="Arial" w:hAnsi="Arial"/>
                <w:sz w:val="18"/>
                <w:szCs w:val="18"/>
                <w:b w:val="1"/>
                <w:bCs w:val="1"/>
                <w:color w:val="auto"/>
              </w:rPr>
              <w:t>Regeneron Pharmaceuticals, Inc.</w:t>
            </w:r>
          </w:p>
        </w:tc>
        <w:tc>
          <w:tcPr>
            <w:tcW w:w="3100" w:type="dxa"/>
            <w:vAlign w:val="bottom"/>
            <w:gridSpan w:val="4"/>
          </w:tcPr>
          <w:p>
            <w:pPr>
              <w:ind w:left="320"/>
              <w:spacing w:after="0"/>
              <w:rPr>
                <w:sz w:val="20"/>
                <w:szCs w:val="20"/>
                <w:color w:val="auto"/>
              </w:rPr>
            </w:pPr>
            <w:r>
              <w:rPr>
                <w:rFonts w:ascii="Arial" w:cs="Arial" w:eastAsia="Arial" w:hAnsi="Arial"/>
                <w:sz w:val="18"/>
                <w:szCs w:val="18"/>
                <w:b w:val="1"/>
                <w:bCs w:val="1"/>
                <w:color w:val="auto"/>
                <w:w w:val="90"/>
              </w:rPr>
              <w:t>Advanced Technology International</w:t>
            </w:r>
          </w:p>
        </w:tc>
      </w:tr>
      <w:tr>
        <w:trPr>
          <w:trHeight w:val="391"/>
        </w:trPr>
        <w:tc>
          <w:tcPr>
            <w:tcW w:w="3900" w:type="dxa"/>
            <w:vAlign w:val="bottom"/>
            <w:gridSpan w:val="4"/>
          </w:tcPr>
          <w:p>
            <w:pPr>
              <w:spacing w:after="0"/>
              <w:rPr>
                <w:sz w:val="20"/>
                <w:szCs w:val="20"/>
                <w:color w:val="auto"/>
              </w:rPr>
            </w:pPr>
            <w:r>
              <w:rPr>
                <w:rFonts w:ascii="Arial" w:cs="Arial" w:eastAsia="Arial" w:hAnsi="Arial"/>
                <w:sz w:val="18"/>
                <w:szCs w:val="18"/>
                <w:color w:val="auto"/>
                <w:w w:val="99"/>
              </w:rPr>
              <w:t>By: /s/ Robert E. Landry____________________</w:t>
            </w:r>
          </w:p>
        </w:tc>
        <w:tc>
          <w:tcPr>
            <w:tcW w:w="3100" w:type="dxa"/>
            <w:vAlign w:val="bottom"/>
            <w:gridSpan w:val="4"/>
          </w:tcPr>
          <w:p>
            <w:pPr>
              <w:ind w:left="320"/>
              <w:spacing w:after="0"/>
              <w:rPr>
                <w:sz w:val="20"/>
                <w:szCs w:val="20"/>
                <w:color w:val="auto"/>
              </w:rPr>
            </w:pPr>
            <w:r>
              <w:rPr>
                <w:rFonts w:ascii="Arial" w:cs="Arial" w:eastAsia="Arial" w:hAnsi="Arial"/>
                <w:sz w:val="18"/>
                <w:szCs w:val="18"/>
                <w:color w:val="auto"/>
                <w:w w:val="91"/>
              </w:rPr>
              <w:t>By: /s/_________________________</w:t>
            </w:r>
          </w:p>
        </w:tc>
      </w:tr>
      <w:tr>
        <w:trPr>
          <w:trHeight w:val="20"/>
        </w:trPr>
        <w:tc>
          <w:tcPr>
            <w:tcW w:w="1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2"/>
        </w:trPr>
        <w:tc>
          <w:tcPr>
            <w:tcW w:w="3900" w:type="dxa"/>
            <w:vAlign w:val="bottom"/>
            <w:gridSpan w:val="4"/>
          </w:tcPr>
          <w:p>
            <w:pPr>
              <w:spacing w:after="0"/>
              <w:rPr>
                <w:sz w:val="20"/>
                <w:szCs w:val="20"/>
                <w:color w:val="auto"/>
              </w:rPr>
            </w:pPr>
            <w:r>
              <w:rPr>
                <w:rFonts w:ascii="Arial" w:cs="Arial" w:eastAsia="Arial" w:hAnsi="Arial"/>
                <w:sz w:val="18"/>
                <w:szCs w:val="18"/>
                <w:color w:val="auto"/>
                <w:w w:val="98"/>
              </w:rPr>
              <w:t>Name: Robert E. Landry____________________</w:t>
            </w:r>
          </w:p>
        </w:tc>
        <w:tc>
          <w:tcPr>
            <w:tcW w:w="3100" w:type="dxa"/>
            <w:vAlign w:val="bottom"/>
            <w:gridSpan w:val="4"/>
          </w:tcPr>
          <w:p>
            <w:pPr>
              <w:ind w:left="320"/>
              <w:spacing w:after="0"/>
              <w:rPr>
                <w:sz w:val="20"/>
                <w:szCs w:val="20"/>
                <w:color w:val="auto"/>
              </w:rPr>
            </w:pPr>
            <w:r>
              <w:rPr>
                <w:rFonts w:ascii="Arial" w:cs="Arial" w:eastAsia="Arial" w:hAnsi="Arial"/>
                <w:sz w:val="18"/>
                <w:szCs w:val="18"/>
                <w:color w:val="auto"/>
                <w:w w:val="89"/>
              </w:rPr>
              <w:t>Name: _________________________</w:t>
            </w:r>
          </w:p>
        </w:tc>
      </w:tr>
      <w:tr>
        <w:trPr>
          <w:trHeight w:val="20"/>
        </w:trPr>
        <w:tc>
          <w:tcPr>
            <w:tcW w:w="1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2"/>
        </w:trPr>
        <w:tc>
          <w:tcPr>
            <w:tcW w:w="3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1"/>
              </w:rPr>
              <w:t>Title: Executive Vice President – Finance &amp; CFO</w:t>
            </w:r>
          </w:p>
        </w:tc>
        <w:tc>
          <w:tcPr>
            <w:tcW w:w="320" w:type="dxa"/>
            <w:vAlign w:val="bottom"/>
          </w:tcPr>
          <w:p>
            <w:pPr>
              <w:spacing w:after="0"/>
              <w:rPr>
                <w:sz w:val="24"/>
                <w:szCs w:val="24"/>
                <w:color w:val="auto"/>
              </w:rPr>
            </w:pPr>
          </w:p>
        </w:tc>
        <w:tc>
          <w:tcPr>
            <w:tcW w:w="3100" w:type="dxa"/>
            <w:vAlign w:val="bottom"/>
            <w:gridSpan w:val="4"/>
          </w:tcPr>
          <w:p>
            <w:pPr>
              <w:ind w:left="320"/>
              <w:spacing w:after="0"/>
              <w:rPr>
                <w:sz w:val="20"/>
                <w:szCs w:val="20"/>
                <w:color w:val="auto"/>
              </w:rPr>
            </w:pPr>
            <w:r>
              <w:rPr>
                <w:rFonts w:ascii="Arial" w:cs="Arial" w:eastAsia="Arial" w:hAnsi="Arial"/>
                <w:sz w:val="18"/>
                <w:szCs w:val="18"/>
                <w:color w:val="auto"/>
                <w:w w:val="90"/>
              </w:rPr>
              <w:t>Title: __________________________</w:t>
            </w:r>
          </w:p>
        </w:tc>
      </w:tr>
      <w:tr>
        <w:trPr>
          <w:trHeight w:val="412"/>
        </w:trPr>
        <w:tc>
          <w:tcPr>
            <w:tcW w:w="3900" w:type="dxa"/>
            <w:vAlign w:val="bottom"/>
            <w:gridSpan w:val="4"/>
          </w:tcPr>
          <w:p>
            <w:pPr>
              <w:spacing w:after="0"/>
              <w:rPr>
                <w:sz w:val="20"/>
                <w:szCs w:val="20"/>
                <w:color w:val="auto"/>
              </w:rPr>
            </w:pPr>
            <w:r>
              <w:rPr>
                <w:rFonts w:ascii="Arial" w:cs="Arial" w:eastAsia="Arial" w:hAnsi="Arial"/>
                <w:sz w:val="18"/>
                <w:szCs w:val="18"/>
                <w:color w:val="auto"/>
                <w:w w:val="97"/>
              </w:rPr>
              <w:t>Date: November 17, 2020___________________</w:t>
            </w:r>
          </w:p>
        </w:tc>
        <w:tc>
          <w:tcPr>
            <w:tcW w:w="3100" w:type="dxa"/>
            <w:vAlign w:val="bottom"/>
            <w:gridSpan w:val="4"/>
          </w:tcPr>
          <w:p>
            <w:pPr>
              <w:ind w:left="320"/>
              <w:spacing w:after="0"/>
              <w:rPr>
                <w:sz w:val="20"/>
                <w:szCs w:val="20"/>
                <w:color w:val="auto"/>
              </w:rPr>
            </w:pPr>
            <w:r>
              <w:rPr>
                <w:rFonts w:ascii="Arial" w:cs="Arial" w:eastAsia="Arial" w:hAnsi="Arial"/>
                <w:sz w:val="18"/>
                <w:szCs w:val="18"/>
                <w:color w:val="auto"/>
                <w:w w:val="90"/>
              </w:rPr>
              <w:t>Date: Nov 18, 2020_______________</w:t>
            </w:r>
          </w:p>
        </w:tc>
      </w:tr>
      <w:tr>
        <w:trPr>
          <w:trHeight w:val="20"/>
        </w:trPr>
        <w:tc>
          <w:tcPr>
            <w:tcW w:w="1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ectPr>
          <w:pgSz w:w="11900" w:h="16838" w:orient="portrait"/>
          <w:cols w:equalWidth="0" w:num="1">
            <w:col w:w="10406"/>
          </w:cols>
          <w:pgMar w:left="814" w:top="846" w:right="679" w:bottom="1440" w:gutter="0" w:footer="0" w:header="0"/>
        </w:sectPr>
      </w:pPr>
    </w:p>
    <w:bookmarkStart w:id="234" w:name="page235"/>
    <w:bookmarkEnd w:id="234"/>
    <w:p>
      <w:pPr>
        <w:jc w:val="center"/>
        <w:spacing w:after="0"/>
        <w:rPr>
          <w:sz w:val="20"/>
          <w:szCs w:val="20"/>
          <w:color w:val="auto"/>
        </w:rPr>
      </w:pPr>
      <w:r>
        <w:rPr>
          <w:rFonts w:ascii="Arial" w:cs="Arial" w:eastAsia="Arial" w:hAnsi="Arial"/>
          <w:sz w:val="20"/>
          <w:szCs w:val="20"/>
          <w:b w:val="1"/>
          <w:bCs w:val="1"/>
          <w:color w:val="231F20"/>
        </w:rPr>
        <w:t>Attachment A Statement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of Work</w:t>
      </w:r>
    </w:p>
    <w:p>
      <w:pPr>
        <w:jc w:val="center"/>
        <w:spacing w:after="0"/>
        <w:rPr>
          <w:sz w:val="20"/>
          <w:szCs w:val="20"/>
          <w:color w:val="auto"/>
        </w:rPr>
      </w:pPr>
      <w:r>
        <w:rPr>
          <w:rFonts w:ascii="Arial" w:cs="Arial" w:eastAsia="Arial" w:hAnsi="Arial"/>
          <w:sz w:val="20"/>
          <w:szCs w:val="20"/>
          <w:i w:val="1"/>
          <w:iCs w:val="1"/>
          <w:color w:val="231F20"/>
        </w:rPr>
        <w:t>(Incorporated as of Modification No. 02)</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This page intentionally left blank. See separate document for Attachment A.</w:t>
      </w:r>
    </w:p>
    <w:p>
      <w:pPr>
        <w:sectPr>
          <w:pgSz w:w="11900" w:h="16838" w:orient="portrait"/>
          <w:cols w:equalWidth="0" w:num="1">
            <w:col w:w="9019"/>
          </w:cols>
          <w:pgMar w:left="1440" w:top="1413" w:right="1440" w:bottom="1440" w:gutter="0" w:footer="0" w:header="0"/>
        </w:sectPr>
      </w:pPr>
    </w:p>
    <w:bookmarkStart w:id="235" w:name="page236"/>
    <w:bookmarkEnd w:id="235"/>
    <w:p>
      <w:pPr>
        <w:jc w:val="center"/>
        <w:spacing w:after="0"/>
        <w:rPr>
          <w:sz w:val="20"/>
          <w:szCs w:val="20"/>
          <w:color w:val="auto"/>
        </w:rPr>
      </w:pPr>
      <w:r>
        <w:rPr>
          <w:rFonts w:ascii="Arial" w:cs="Arial" w:eastAsia="Arial" w:hAnsi="Arial"/>
          <w:sz w:val="22"/>
          <w:szCs w:val="22"/>
          <w:b w:val="1"/>
          <w:bCs w:val="1"/>
          <w:color w:val="auto"/>
        </w:rPr>
        <w:t>Attachment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Work</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(Incorporated as of Modification No. 02; changes to Sections 1, 3, 4, 5, 6, 8, and 11 are indicated in bold italics.)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Large-Scale Manufacturing of Antibodies Directed to SARS-CoV-2</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RPP #: RPP-20-08</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Project Identifier: MCDC OTA 2008-005, W15QKN-16-9-1002</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Consortium Member: Regeneron Pharmaceuticals,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Title of Proposal: Large-Scale Manufacturing of Antibodies Directed to SARS-CoV-2</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 Updated: November 10, 2020</w:t>
      </w:r>
    </w:p>
    <w:p>
      <w:pPr>
        <w:spacing w:after="0" w:line="223"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1.0</w:t>
      </w:r>
      <w:r>
        <w:rPr>
          <w:sz w:val="20"/>
          <w:szCs w:val="20"/>
          <w:color w:val="auto"/>
        </w:rPr>
        <w:tab/>
      </w:r>
      <w:r>
        <w:rPr>
          <w:rFonts w:ascii="Arial" w:cs="Arial" w:eastAsia="Arial" w:hAnsi="Arial"/>
          <w:sz w:val="21"/>
          <w:szCs w:val="21"/>
          <w:b w:val="1"/>
          <w:bCs w:val="1"/>
          <w:color w:val="auto"/>
        </w:rPr>
        <w:t>INTRODUCTION, SCOPE, AND OBJECTIVES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Preamble</w:t>
      </w:r>
    </w:p>
    <w:p>
      <w:pPr>
        <w:spacing w:after="0" w:line="253"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Regeneron Pharmaceuticals, Inc. (referred to herein as “Regeneron”, “Offeror”, “Contractor” or “Recipient”) has demonstrated experience with rapid scale-up of biopharmaceutical programs. Our excellent history of receiving development scale processes from Research and Development (R&amp;D) laboratories, and then expanding to clinical or commercial Good Manufacturing Practice (GMP) scale production, is well documented. Greater than 65 processes have been transferred since 2008 with a success rate of 100%. We have consistently demonstrated our ability to expedite the delivery of high quality, safe and efficacious products (Ebola therapeutic) in partnership with the Government (anti-MERS, anti-Ebola).</w:t>
      </w:r>
    </w:p>
    <w:p>
      <w:pPr>
        <w:jc w:val="both"/>
        <w:spacing w:after="0" w:line="286" w:lineRule="auto"/>
        <w:rPr>
          <w:sz w:val="20"/>
          <w:szCs w:val="20"/>
          <w:color w:val="auto"/>
        </w:rPr>
      </w:pPr>
      <w:r>
        <w:rPr>
          <w:rFonts w:ascii="Arial" w:cs="Arial" w:eastAsia="Arial" w:hAnsi="Arial"/>
          <w:sz w:val="19"/>
          <w:szCs w:val="19"/>
          <w:color w:val="auto"/>
        </w:rPr>
        <w:t>Fully human monoclonal antibodies (mAbs) are molecules with high potency, predictable Pharmacokinetics (PK), and limited off-target toxicity, and thus provide attractive types of therapeutics for emerging diseases. Importantly, we have repeatedly demonstrated that candidate mAb-based drugs to prevent and/or treat emerging infections, can be rapidly obtained from Regeneron’s proprietary VelocImmune® mice. Further, our ability to concurrently generate isogenic cell lines that are optimized for rapid antibody scale up and manufacturing using our proprietary Chemistry, Manufacturing, and Controls (CMC) platform technologies, have facilitated both testing of our mAbs in preclinical models and subsequent development of these mAbs into drugs suitable for human testing. In the process of completing many of these activities we have collaborated with other entities (including BARDA, Research Institutes, Government Laboratories and Universities). Our manufacturing has been designed to be paired with our proprietary VelocImmune® R&amp;D technology, that is a proven process to rapidly take a research concept from the bench, into large scale production, with the ability to deliver medicines to patients.</w:t>
      </w:r>
    </w:p>
    <w:p>
      <w:pPr>
        <w:spacing w:after="0" w:line="18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The Government has advised Regeneron that it is appropriate for the project described in this Project Agreement to be performed through the Medical CBRN Defense Consortium (MCDC), under the authority of the MCDC Other Transaction Agreement No. W15QKN-16-9-1002. Regeneron is amenable to performing the project pursuant to such authority, based on the advice of the Government, and due to the unprecedented circumstances of the Coronavirus Disease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CONFIDENTIAL/PROPRIETARY</w:t>
      </w:r>
    </w:p>
    <w:p>
      <w:pPr>
        <w:sectPr>
          <w:pgSz w:w="11900" w:h="16838" w:orient="portrait"/>
          <w:cols w:equalWidth="0" w:num="1">
            <w:col w:w="11240"/>
          </w:cols>
          <w:pgMar w:left="320" w:top="1098" w:right="339" w:bottom="1440" w:gutter="0" w:footer="0" w:header="0"/>
        </w:sectPr>
      </w:pPr>
    </w:p>
    <w:bookmarkStart w:id="236" w:name="page237"/>
    <w:bookmarkEnd w:id="236"/>
    <w:p>
      <w:pPr>
        <w:spacing w:after="0"/>
        <w:rPr>
          <w:sz w:val="20"/>
          <w:szCs w:val="20"/>
          <w:color w:val="auto"/>
        </w:rPr>
      </w:pPr>
      <w:r>
        <w:rPr>
          <w:rFonts w:ascii="Arial" w:cs="Arial" w:eastAsia="Arial" w:hAnsi="Arial"/>
          <w:sz w:val="22"/>
          <w:szCs w:val="22"/>
          <w:color w:val="auto"/>
        </w:rPr>
        <w:t>2019 (COVID-19) pandemic and, accordingly, the parties have entered into this Project Agreement.</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 Overall Objectives and Scope</w:t>
      </w:r>
    </w:p>
    <w:p>
      <w:pPr>
        <w:spacing w:after="0" w:line="25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This project is defined by discrete work segments for the continuous manufacture of drug substance, formulated drug substance and filled, packaged and labeled drug product, in accordance with a mutually agreed schedule.</w:t>
      </w:r>
    </w:p>
    <w:p>
      <w:pPr>
        <w:spacing w:after="0" w:line="202"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Pursuant to this project, Regeneron will manufacture and sell drug product to the applicable United States (U.S.) Federal Government agency, for distribution in the U.S.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21"/>
          <w:szCs w:val="21"/>
          <w:b w:val="1"/>
          <w:bCs w:val="1"/>
          <w:i w:val="1"/>
          <w:iCs w:val="1"/>
          <w:color w:val="auto"/>
        </w:rPr>
        <w:t>In addition, Regeneron, as a service to the Government, will engage one or more third party service providers (each a “Distributor”) to perform storage and distribution activities for such drug product for the Government, at the direction of the Government. The Government will be solely responsible to determine the allocation of product to end users and to communicate such allocation determinations to the Distributor. The Government agrees that Regeneron will not be involved in or responsible for any such determinations.</w:t>
      </w:r>
    </w:p>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9"/>
          <w:szCs w:val="19"/>
          <w:b w:val="1"/>
          <w:bCs w:val="1"/>
          <w:i w:val="1"/>
          <w:iCs w:val="1"/>
          <w:color w:val="auto"/>
        </w:rPr>
        <w:t xml:space="preserve">Regeneron may conduct such activities itself or through one or more of its affiliates, including Regeneron Healthcare Solutions, Inc. References to “Regeneron” will be deemed to include such affiliates. </w:t>
      </w:r>
      <w:r>
        <w:rPr>
          <w:rFonts w:ascii="Arial" w:cs="Arial" w:eastAsia="Arial" w:hAnsi="Arial"/>
          <w:sz w:val="19"/>
          <w:szCs w:val="19"/>
          <w:color w:val="auto"/>
        </w:rPr>
        <w:t>All manufacturing described herein will be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compliant with Food and Drug Administration (FDA) current Good Manufacturing </w:t>
      </w:r>
      <w:r>
        <w:rPr>
          <w:rFonts w:ascii="Arial" w:cs="Arial" w:eastAsia="Arial" w:hAnsi="Arial"/>
          <w:sz w:val="19"/>
          <w:szCs w:val="19"/>
          <w:b w:val="1"/>
          <w:bCs w:val="1"/>
          <w:i w:val="1"/>
          <w:iCs w:val="1"/>
          <w:color w:val="auto"/>
        </w:rPr>
        <w:t>P</w:t>
      </w:r>
      <w:r>
        <w:rPr>
          <w:rFonts w:ascii="Arial" w:cs="Arial" w:eastAsia="Arial" w:hAnsi="Arial"/>
          <w:sz w:val="19"/>
          <w:szCs w:val="19"/>
          <w:color w:val="auto"/>
        </w:rPr>
        <w:t>ractices (cGMP), as 21 CFR 210 and 211.</w:t>
      </w:r>
    </w:p>
    <w:p>
      <w:pPr>
        <w:spacing w:after="0" w:line="15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b w:val="1"/>
          <w:bCs w:val="1"/>
          <w:color w:val="auto"/>
        </w:rPr>
        <w:t>Introduction</w:t>
      </w:r>
    </w:p>
    <w:p>
      <w:pPr>
        <w:spacing w:after="0" w:line="253"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 xml:space="preserve">The objective is to conduct the manufacturing production activities described in this proposal for prototypes consisting of novel, proprietary mAb therapeutics and prophylactics, to reduce pathology of COVID-19 disease and/or prevent development of disease when administered prophylactically. </w:t>
      </w:r>
      <w:r>
        <w:rPr>
          <w:rFonts w:ascii="Arial" w:cs="Arial" w:eastAsia="Arial" w:hAnsi="Arial"/>
          <w:sz w:val="21"/>
          <w:szCs w:val="21"/>
          <w:b w:val="1"/>
          <w:bCs w:val="1"/>
          <w:i w:val="1"/>
          <w:iCs w:val="1"/>
          <w:color w:val="auto"/>
        </w:rPr>
        <w:t>In addition, Regeneron will engage the Distributor to perform storage and</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distribution of the product for the Government, at the Government’s direction and control.</w:t>
      </w:r>
    </w:p>
    <w:p>
      <w:pPr>
        <w:spacing w:after="0" w:line="19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7"/>
          <w:szCs w:val="17"/>
          <w:b w:val="1"/>
          <w:bCs w:val="1"/>
          <w:color w:val="auto"/>
        </w:rPr>
        <w:t>Scope</w:t>
      </w:r>
    </w:p>
    <w:p>
      <w:pPr>
        <w:spacing w:after="0" w:line="253"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These manufacturing production activities will include manufacturing at-scale, filling and finishing, and storage and shipping of Severe Acute Respiratory Syndrome Coronavirus 2 (SARS-CoV-2)-specific monoclonal antibodies (referred to herein as the “prototype”, the “prototype product”, the “product” or “drug product”) for treatment and/or prophylaxis against COVID-19.</w:t>
      </w:r>
    </w:p>
    <w:p>
      <w:pPr>
        <w:spacing w:after="0" w:line="15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19"/>
          <w:szCs w:val="19"/>
          <w:b w:val="1"/>
          <w:bCs w:val="1"/>
          <w:color w:val="auto"/>
        </w:rPr>
        <w:t>Definition of the Prototype Project</w:t>
      </w:r>
    </w:p>
    <w:p>
      <w:pPr>
        <w:spacing w:after="0" w:line="253"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Consistent with USG objectives, Regeneron will employ its proprietary manufacturing technology and processes, in a manner compliant with applicable laws and regulations, including 21 CFR 210 and 211 and</w:t>
      </w:r>
      <w:r>
        <w:rPr>
          <w:rFonts w:ascii="Arial" w:cs="Arial" w:eastAsia="Arial" w:hAnsi="Arial"/>
          <w:sz w:val="19"/>
          <w:szCs w:val="19"/>
          <w:b w:val="1"/>
          <w:bCs w:val="1"/>
          <w:i w:val="1"/>
          <w:iCs w:val="1"/>
          <w:color w:val="auto"/>
        </w:rPr>
        <w:t>, to the extent applicable,</w:t>
      </w:r>
      <w:r>
        <w:rPr>
          <w:rFonts w:ascii="Arial" w:cs="Arial" w:eastAsia="Arial" w:hAnsi="Arial"/>
          <w:sz w:val="19"/>
          <w:szCs w:val="19"/>
          <w:color w:val="auto"/>
        </w:rPr>
        <w:t xml:space="preserve"> the Drug Supply Chain Security Act, to manufacture the prototype product. This effort constitutes a prototype project because it will be used to evaluate the technical feasibility of manufacturing the prototype product during the ongoing COVID-19 pandemic. In addition, this is a prototype project because Regeneron will demonstrate, and prove-out the at-scale, multi-lot proprietary manufacturing activities of Regeneron in order to assess the feasibility of these activities to support the necessary quantity of</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CONFIDENTIAL/PROPRIETARY</w:t>
      </w:r>
    </w:p>
    <w:p>
      <w:pPr>
        <w:sectPr>
          <w:pgSz w:w="11900" w:h="16838" w:orient="portrait"/>
          <w:cols w:equalWidth="0" w:num="1">
            <w:col w:w="11240"/>
          </w:cols>
          <w:pgMar w:left="320" w:top="861" w:right="339" w:bottom="1440" w:gutter="0" w:footer="0" w:header="0"/>
        </w:sectPr>
      </w:pPr>
    </w:p>
    <w:bookmarkStart w:id="237" w:name="page238"/>
    <w:bookmarkEnd w:id="237"/>
    <w:p>
      <w:pPr>
        <w:jc w:val="both"/>
        <w:spacing w:after="0" w:line="246" w:lineRule="auto"/>
        <w:rPr>
          <w:sz w:val="20"/>
          <w:szCs w:val="20"/>
          <w:color w:val="auto"/>
        </w:rPr>
      </w:pPr>
      <w:r>
        <w:rPr>
          <w:rFonts w:ascii="Arial" w:cs="Arial" w:eastAsia="Arial" w:hAnsi="Arial"/>
          <w:sz w:val="22"/>
          <w:szCs w:val="22"/>
          <w:color w:val="auto"/>
        </w:rPr>
        <w:t xml:space="preserve">the prototype product to treat the U.S. population. Successful completion of the prototype project will demonstrate Regeneron’s capability to (i) rapidly manufacture product, which can be further scaled-up to meet mutually agreed to surge requirements with little advance notification and (ii) facilitate the Government’s ability to stockpile and distribute large quantities of the drug product to respond when needed, including for use in clinical studies, under an Emergency Use Authorization (EUA), or pursuant to other </w:t>
      </w:r>
      <w:r>
        <w:rPr>
          <w:rFonts w:ascii="Arial" w:cs="Arial" w:eastAsia="Arial" w:hAnsi="Arial"/>
          <w:sz w:val="22"/>
          <w:szCs w:val="22"/>
          <w:b w:val="1"/>
          <w:bCs w:val="1"/>
          <w:i w:val="1"/>
          <w:iCs w:val="1"/>
          <w:color w:val="auto"/>
        </w:rPr>
        <w:t>approval</w:t>
      </w:r>
      <w:r>
        <w:rPr>
          <w:rFonts w:ascii="Arial" w:cs="Arial" w:eastAsia="Arial" w:hAnsi="Arial"/>
          <w:sz w:val="22"/>
          <w:szCs w:val="22"/>
          <w:color w:val="auto"/>
        </w:rPr>
        <w:t xml:space="preserve"> from the U.S. FDA. For clarity, any manufacturing and supply of drug product in excess of the specific quantities set forth in Section 4.0 of this Statement of Work, shall be subject to a separate mutual agreement between Regeneron and the Government.</w:t>
      </w:r>
    </w:p>
    <w:p>
      <w:pPr>
        <w:spacing w:after="0" w:line="223"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 xml:space="preserve">The scope of effort supported by this agreement is further clarified in Section 1.4. It is important to note that nonclinical and clinical studies for the prototype are being conducted by Regeneron outside of this agreement. The results of those studies may be used to develop use case scenarios and, in turn, inform the USG’s deployment strategy as it relates to product manufactured under this agreement; however, such results (including the degree to which the data are “positive” or “negative”) shall not be a factor in this prototype project. </w:t>
      </w:r>
      <w:r>
        <w:rPr>
          <w:rFonts w:ascii="Arial" w:cs="Arial" w:eastAsia="Arial" w:hAnsi="Arial"/>
          <w:sz w:val="19"/>
          <w:szCs w:val="19"/>
          <w:b w:val="1"/>
          <w:bCs w:val="1"/>
          <w:i w:val="1"/>
          <w:iCs w:val="1"/>
          <w:color w:val="auto"/>
        </w:rPr>
        <w:t>It is also important to note that the distribution and storage services performed for the Government by</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the Distributor engaged by Regeneron, are not part of the prototype project.</w:t>
      </w:r>
    </w:p>
    <w:p>
      <w:pPr>
        <w:spacing w:after="0" w:line="17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19"/>
          <w:szCs w:val="19"/>
          <w:b w:val="1"/>
          <w:bCs w:val="1"/>
          <w:color w:val="auto"/>
        </w:rPr>
        <w:t>Objective</w:t>
      </w:r>
    </w:p>
    <w:p>
      <w:pPr>
        <w:spacing w:after="0" w:line="253" w:lineRule="exact"/>
        <w:rPr>
          <w:sz w:val="20"/>
          <w:szCs w:val="20"/>
          <w:color w:val="auto"/>
        </w:rPr>
      </w:pPr>
    </w:p>
    <w:p>
      <w:pPr>
        <w:jc w:val="both"/>
        <w:ind w:left="660" w:hanging="328"/>
        <w:spacing w:after="0" w:line="253" w:lineRule="auto"/>
        <w:tabs>
          <w:tab w:leader="none" w:pos="655" w:val="left"/>
        </w:tabs>
        <w:numPr>
          <w:ilvl w:val="0"/>
          <w:numId w:val="190"/>
        </w:numPr>
        <w:rPr>
          <w:rFonts w:ascii="Arial" w:cs="Arial" w:eastAsia="Arial" w:hAnsi="Arial"/>
          <w:sz w:val="22"/>
          <w:szCs w:val="22"/>
          <w:color w:val="auto"/>
        </w:rPr>
      </w:pPr>
      <w:r>
        <w:rPr>
          <w:rFonts w:ascii="Arial" w:cs="Arial" w:eastAsia="Arial" w:hAnsi="Arial"/>
          <w:sz w:val="22"/>
          <w:szCs w:val="22"/>
          <w:color w:val="auto"/>
        </w:rPr>
        <w:t>Conduct its proprietary manufacturing production activities described in this proposal for prototypes consisting of novel, proprietary mAb therapeutics and prophylactics, to reduce pathology of COVID-19 disease and/or prevent development of disease when administered prophylactically.</w:t>
      </w:r>
    </w:p>
    <w:p>
      <w:pPr>
        <w:spacing w:after="0" w:line="77" w:lineRule="exact"/>
        <w:rPr>
          <w:rFonts w:ascii="Arial" w:cs="Arial" w:eastAsia="Arial" w:hAnsi="Arial"/>
          <w:sz w:val="22"/>
          <w:szCs w:val="22"/>
          <w:color w:val="auto"/>
        </w:rPr>
      </w:pPr>
    </w:p>
    <w:p>
      <w:pPr>
        <w:ind w:left="660" w:hanging="328"/>
        <w:spacing w:after="0"/>
        <w:tabs>
          <w:tab w:leader="none" w:pos="660" w:val="left"/>
        </w:tabs>
        <w:numPr>
          <w:ilvl w:val="0"/>
          <w:numId w:val="190"/>
        </w:numPr>
        <w:rPr>
          <w:rFonts w:ascii="Arial" w:cs="Arial" w:eastAsia="Arial" w:hAnsi="Arial"/>
          <w:sz w:val="19"/>
          <w:szCs w:val="19"/>
          <w:color w:val="auto"/>
        </w:rPr>
      </w:pPr>
      <w:r>
        <w:rPr>
          <w:rFonts w:ascii="Arial" w:cs="Arial" w:eastAsia="Arial" w:hAnsi="Arial"/>
          <w:sz w:val="19"/>
          <w:szCs w:val="19"/>
          <w:color w:val="auto"/>
        </w:rPr>
        <w:t>The prototypes will include one or more of the following, as mutually agreed between Offeror and the Government:</w:t>
      </w:r>
    </w:p>
    <w:p>
      <w:pPr>
        <w:spacing w:after="0" w:line="55" w:lineRule="exact"/>
        <w:rPr>
          <w:rFonts w:ascii="Arial" w:cs="Arial" w:eastAsia="Arial" w:hAnsi="Arial"/>
          <w:sz w:val="19"/>
          <w:szCs w:val="19"/>
          <w:color w:val="auto"/>
        </w:rPr>
      </w:pPr>
    </w:p>
    <w:p>
      <w:pPr>
        <w:ind w:left="1300" w:hanging="320"/>
        <w:spacing w:after="0" w:line="225" w:lineRule="auto"/>
        <w:tabs>
          <w:tab w:leader="none" w:pos="1300" w:val="left"/>
        </w:tabs>
        <w:numPr>
          <w:ilvl w:val="1"/>
          <w:numId w:val="190"/>
        </w:numPr>
        <w:rPr>
          <w:rFonts w:ascii="Courier New" w:cs="Courier New" w:eastAsia="Courier New" w:hAnsi="Courier New"/>
          <w:sz w:val="22"/>
          <w:szCs w:val="22"/>
          <w:color w:val="auto"/>
        </w:rPr>
      </w:pPr>
      <w:r>
        <w:rPr>
          <w:rFonts w:ascii="Arial" w:cs="Arial" w:eastAsia="Arial" w:hAnsi="Arial"/>
          <w:sz w:val="22"/>
          <w:szCs w:val="22"/>
          <w:color w:val="auto"/>
        </w:rPr>
        <w:t>the mAbs known as REGN10987 and REGN10933, as a cocktail;</w:t>
      </w:r>
    </w:p>
    <w:p>
      <w:pPr>
        <w:spacing w:after="0" w:line="10" w:lineRule="exact"/>
        <w:rPr>
          <w:rFonts w:ascii="Courier New" w:cs="Courier New" w:eastAsia="Courier New" w:hAnsi="Courier New"/>
          <w:sz w:val="22"/>
          <w:szCs w:val="22"/>
          <w:color w:val="auto"/>
        </w:rPr>
      </w:pPr>
    </w:p>
    <w:p>
      <w:pPr>
        <w:ind w:left="1300" w:hanging="320"/>
        <w:spacing w:after="0" w:line="270" w:lineRule="auto"/>
        <w:tabs>
          <w:tab w:leader="none" w:pos="1322" w:val="left"/>
        </w:tabs>
        <w:numPr>
          <w:ilvl w:val="1"/>
          <w:numId w:val="190"/>
        </w:numPr>
        <w:rPr>
          <w:rFonts w:ascii="Courier New" w:cs="Courier New" w:eastAsia="Courier New" w:hAnsi="Courier New"/>
          <w:sz w:val="22"/>
          <w:szCs w:val="22"/>
          <w:color w:val="auto"/>
        </w:rPr>
      </w:pPr>
      <w:r>
        <w:rPr>
          <w:rFonts w:ascii="Arial" w:cs="Arial" w:eastAsia="Arial" w:hAnsi="Arial"/>
          <w:sz w:val="22"/>
          <w:szCs w:val="22"/>
          <w:color w:val="auto"/>
        </w:rPr>
        <w:t>Other mAbs (as monotherapies or a cocktail) as agreed to by bilateral modification between Offeror and the Government.</w:t>
      </w:r>
    </w:p>
    <w:p>
      <w:pPr>
        <w:spacing w:after="0" w:line="56" w:lineRule="exact"/>
        <w:rPr>
          <w:rFonts w:ascii="Courier New" w:cs="Courier New" w:eastAsia="Courier New" w:hAnsi="Courier New"/>
          <w:sz w:val="22"/>
          <w:szCs w:val="22"/>
          <w:color w:val="auto"/>
        </w:rPr>
      </w:pPr>
    </w:p>
    <w:p>
      <w:pPr>
        <w:jc w:val="both"/>
        <w:ind w:left="660" w:hanging="328"/>
        <w:spacing w:after="0" w:line="248" w:lineRule="auto"/>
        <w:tabs>
          <w:tab w:leader="none" w:pos="655" w:val="left"/>
        </w:tabs>
        <w:numPr>
          <w:ilvl w:val="0"/>
          <w:numId w:val="190"/>
        </w:numPr>
        <w:rPr>
          <w:rFonts w:ascii="Arial" w:cs="Arial" w:eastAsia="Arial" w:hAnsi="Arial"/>
          <w:sz w:val="22"/>
          <w:szCs w:val="22"/>
          <w:color w:val="auto"/>
        </w:rPr>
      </w:pPr>
      <w:r>
        <w:rPr>
          <w:rFonts w:ascii="Arial" w:cs="Arial" w:eastAsia="Arial" w:hAnsi="Arial"/>
          <w:sz w:val="22"/>
          <w:szCs w:val="22"/>
          <w:color w:val="auto"/>
        </w:rPr>
        <w:t xml:space="preserve">The deliverables will be the products listed above (i.e., REGN10987 and REGN10933), in the form of bulk formulated drug substance and/or filled and finished product in vials, as mutually agreed between Offeror and the Government, packaged and labeled drug product, results, reports and records associated with generation of data demonstrating quality and control. </w:t>
      </w:r>
      <w:r>
        <w:rPr>
          <w:rFonts w:ascii="Arial" w:cs="Arial" w:eastAsia="Arial" w:hAnsi="Arial"/>
          <w:sz w:val="22"/>
          <w:szCs w:val="22"/>
          <w:b w:val="1"/>
          <w:bCs w:val="1"/>
          <w:i w:val="1"/>
          <w:iCs w:val="1"/>
          <w:color w:val="auto"/>
        </w:rPr>
        <w:t>Other deliverables will include product storage and support for the Government’s distribution activities to</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be provided at the Government’s direction.</w:t>
      </w:r>
    </w:p>
    <w:p>
      <w:pPr>
        <w:spacing w:after="0" w:line="83" w:lineRule="exact"/>
        <w:rPr>
          <w:rFonts w:ascii="Arial" w:cs="Arial" w:eastAsia="Arial" w:hAnsi="Arial"/>
          <w:sz w:val="22"/>
          <w:szCs w:val="22"/>
          <w:color w:val="auto"/>
        </w:rPr>
      </w:pPr>
    </w:p>
    <w:p>
      <w:pPr>
        <w:jc w:val="both"/>
        <w:ind w:left="660" w:hanging="328"/>
        <w:spacing w:after="0" w:line="259" w:lineRule="auto"/>
        <w:tabs>
          <w:tab w:leader="none" w:pos="655" w:val="left"/>
        </w:tabs>
        <w:numPr>
          <w:ilvl w:val="0"/>
          <w:numId w:val="190"/>
        </w:numPr>
        <w:rPr>
          <w:rFonts w:ascii="Arial" w:cs="Arial" w:eastAsia="Arial" w:hAnsi="Arial"/>
          <w:sz w:val="21"/>
          <w:szCs w:val="21"/>
          <w:color w:val="auto"/>
        </w:rPr>
      </w:pPr>
      <w:r>
        <w:rPr>
          <w:rFonts w:ascii="Arial" w:cs="Arial" w:eastAsia="Arial" w:hAnsi="Arial"/>
          <w:sz w:val="21"/>
          <w:szCs w:val="21"/>
          <w:color w:val="auto"/>
        </w:rPr>
        <w:t xml:space="preserve">The products will be delivered in the form and quantity to be agreed between Offeror and the Government. It is expected that the prototypes will be stored by Offeror until such time as (a) they can be used for pre-clinical or clinical development purposes under an Investigational New Drug application (IND), or (b) upon the FDA’s grant of an EUA under Section 564 of the Food, Drug and Cosmetic Act (FD&amp;C Act), or full marketing approval under a full Biologics License Application (BLA) under Section 351(a) of the Public Health Service Act (PHSA). </w:t>
      </w:r>
      <w:r>
        <w:rPr>
          <w:rFonts w:ascii="Arial" w:cs="Arial" w:eastAsia="Arial" w:hAnsi="Arial"/>
          <w:sz w:val="21"/>
          <w:szCs w:val="21"/>
          <w:b w:val="1"/>
          <w:bCs w:val="1"/>
          <w:i w:val="1"/>
          <w:iCs w:val="1"/>
          <w:color w:val="auto"/>
        </w:rPr>
        <w:t>In the event the FDA grants</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an EUA, the product will be distributed by the Distributor pursuant to direction from the Government (i.e., the Government will direct the Distributor where the product is to be distributed and in what quantities, and Regeneron will not be responsible for, or involved in, such direction).</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CONFIDENTIAL/PROPRIETARY</w:t>
      </w:r>
    </w:p>
    <w:p>
      <w:pPr>
        <w:sectPr>
          <w:pgSz w:w="11900" w:h="16838" w:orient="portrait"/>
          <w:cols w:equalWidth="0" w:num="1">
            <w:col w:w="11240"/>
          </w:cols>
          <w:pgMar w:left="320" w:top="861" w:right="339" w:bottom="1440" w:gutter="0" w:footer="0" w:header="0"/>
        </w:sectPr>
      </w:pPr>
    </w:p>
    <w:bookmarkStart w:id="238" w:name="page239"/>
    <w:bookmarkEnd w:id="238"/>
    <w:p>
      <w:pPr>
        <w:spacing w:after="0"/>
        <w:tabs>
          <w:tab w:leader="none" w:pos="480" w:val="left"/>
        </w:tabs>
        <w:rPr>
          <w:sz w:val="20"/>
          <w:szCs w:val="20"/>
          <w:color w:val="auto"/>
        </w:rPr>
      </w:pPr>
      <w:r>
        <w:rPr>
          <w:rFonts w:ascii="Arial" w:cs="Arial" w:eastAsia="Arial" w:hAnsi="Arial"/>
          <w:sz w:val="22"/>
          <w:szCs w:val="22"/>
          <w:b w:val="1"/>
          <w:bCs w:val="1"/>
          <w:color w:val="auto"/>
        </w:rPr>
        <w:t>1.5</w:t>
      </w:r>
      <w:r>
        <w:rPr>
          <w:sz w:val="20"/>
          <w:szCs w:val="20"/>
          <w:color w:val="auto"/>
        </w:rPr>
        <w:tab/>
      </w:r>
      <w:r>
        <w:rPr>
          <w:rFonts w:ascii="Arial" w:cs="Arial" w:eastAsia="Arial" w:hAnsi="Arial"/>
          <w:sz w:val="19"/>
          <w:szCs w:val="19"/>
          <w:b w:val="1"/>
          <w:bCs w:val="1"/>
          <w:color w:val="auto"/>
        </w:rPr>
        <w:t>Follow-on Activity</w:t>
      </w:r>
    </w:p>
    <w:p>
      <w:pPr>
        <w:spacing w:after="0" w:line="253"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In accordance with 10.U.S.C. 2371b(f), and upon successful demonstration of the prototype, or at the accomplishment of particularly favorable or unexpected results achieved outside of this Agreement that would justify transitioning to production (e.g., EUA or BLA), additional at-scale manufacturing of up to 800,000 treatment courses, supported by a mutually agreed upon follow-on production contract or Other Transaction Agreement, may be awarded to Regeneron, without further competition, to partially or completely meet the USG objective of supplying a safe and effective COVID-19 therapeutic or prophylactic treatment courses to ensure nationwide access. For clarity, any manufacturing and supply of drug product in excess of the specific quantities set forth in Section 4.0 of this Statement of Work shall be subject to a mutually-agreed upon separate agreement between Regeneron and the Government. For further clarity, neither party shall be obligated to negotiate or enter into such a separate agreement for follow-on production.</w:t>
      </w:r>
    </w:p>
    <w:p>
      <w:pPr>
        <w:spacing w:after="0" w:line="20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During the performance of the prototype project, the Government and contractor may negotiate the scope and price of follow-on production.</w:t>
      </w:r>
    </w:p>
    <w:p>
      <w:pPr>
        <w:spacing w:after="0" w:line="196"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b w:val="1"/>
          <w:bCs w:val="1"/>
          <w:color w:val="auto"/>
        </w:rPr>
        <w:t>2.0</w:t>
      </w:r>
      <w:r>
        <w:rPr>
          <w:sz w:val="20"/>
          <w:szCs w:val="20"/>
          <w:color w:val="auto"/>
        </w:rPr>
        <w:tab/>
      </w:r>
      <w:r>
        <w:rPr>
          <w:rFonts w:ascii="Arial" w:cs="Arial" w:eastAsia="Arial" w:hAnsi="Arial"/>
          <w:sz w:val="21"/>
          <w:szCs w:val="21"/>
          <w:b w:val="1"/>
          <w:bCs w:val="1"/>
          <w:color w:val="auto"/>
        </w:rPr>
        <w:t>APPLICABLE REFERENCES</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Current Good Manufacturing Practices, 21 CFR 210, 211</w:t>
      </w:r>
    </w:p>
    <w:p>
      <w:pPr>
        <w:spacing w:after="0" w:line="223"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3.0</w:t>
        <w:tab/>
        <w:t>REQUIREMENTS</w:t>
      </w:r>
    </w:p>
    <w:p>
      <w:pPr>
        <w:spacing w:after="0" w:line="247"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3.1</w:t>
      </w:r>
      <w:r>
        <w:rPr>
          <w:sz w:val="20"/>
          <w:szCs w:val="20"/>
          <w:color w:val="auto"/>
        </w:rPr>
        <w:tab/>
      </w:r>
      <w:r>
        <w:rPr>
          <w:rFonts w:ascii="Arial" w:cs="Arial" w:eastAsia="Arial" w:hAnsi="Arial"/>
          <w:sz w:val="19"/>
          <w:szCs w:val="19"/>
          <w:b w:val="1"/>
          <w:bCs w:val="1"/>
          <w:color w:val="auto"/>
        </w:rPr>
        <w:t>Technical</w:t>
      </w:r>
    </w:p>
    <w:p>
      <w:pPr>
        <w:spacing w:after="0" w:line="253" w:lineRule="exact"/>
        <w:rPr>
          <w:sz w:val="20"/>
          <w:szCs w:val="20"/>
          <w:color w:val="auto"/>
        </w:rPr>
      </w:pPr>
    </w:p>
    <w:p>
      <w:pPr>
        <w:jc w:val="both"/>
        <w:ind w:left="660" w:hanging="328"/>
        <w:spacing w:after="0" w:line="253" w:lineRule="auto"/>
        <w:tabs>
          <w:tab w:leader="none" w:pos="655" w:val="left"/>
        </w:tabs>
        <w:numPr>
          <w:ilvl w:val="0"/>
          <w:numId w:val="191"/>
        </w:numPr>
        <w:rPr>
          <w:rFonts w:ascii="Arial" w:cs="Arial" w:eastAsia="Arial" w:hAnsi="Arial"/>
          <w:sz w:val="22"/>
          <w:szCs w:val="22"/>
          <w:color w:val="auto"/>
        </w:rPr>
      </w:pPr>
      <w:r>
        <w:rPr>
          <w:rFonts w:ascii="Arial" w:cs="Arial" w:eastAsia="Arial" w:hAnsi="Arial"/>
          <w:sz w:val="22"/>
          <w:szCs w:val="22"/>
          <w:color w:val="auto"/>
        </w:rPr>
        <w:t>The Offeror’s technical approach is expected to be similar, but not duplicative, to its manufacturing activities under its current agreements with the Biomedical Advanced Research and Development Authority (BARDA), including contract # HHSO100201700016C, and will include the following:</w:t>
      </w:r>
    </w:p>
    <w:p>
      <w:pPr>
        <w:spacing w:after="0" w:line="212" w:lineRule="exact"/>
        <w:rPr>
          <w:rFonts w:ascii="Arial" w:cs="Arial" w:eastAsia="Arial" w:hAnsi="Arial"/>
          <w:sz w:val="22"/>
          <w:szCs w:val="22"/>
          <w:color w:val="auto"/>
        </w:rPr>
      </w:pPr>
    </w:p>
    <w:p>
      <w:pPr>
        <w:ind w:left="1300" w:hanging="320"/>
        <w:spacing w:after="0"/>
        <w:tabs>
          <w:tab w:leader="none" w:pos="1300" w:val="left"/>
        </w:tabs>
        <w:numPr>
          <w:ilvl w:val="1"/>
          <w:numId w:val="191"/>
        </w:numPr>
        <w:rPr>
          <w:rFonts w:ascii="Courier New" w:cs="Courier New" w:eastAsia="Courier New" w:hAnsi="Courier New"/>
          <w:sz w:val="22"/>
          <w:szCs w:val="22"/>
          <w:color w:val="auto"/>
        </w:rPr>
      </w:pPr>
      <w:r>
        <w:rPr>
          <w:rFonts w:ascii="Arial" w:cs="Arial" w:eastAsia="Arial" w:hAnsi="Arial"/>
          <w:sz w:val="22"/>
          <w:szCs w:val="22"/>
          <w:color w:val="auto"/>
        </w:rPr>
        <w:t>Drug Substance, Formulated Drug Substance, Drug Product (DS/FDS/DP) quality and control.</w:t>
      </w:r>
    </w:p>
    <w:p>
      <w:pPr>
        <w:spacing w:after="0" w:line="119" w:lineRule="exact"/>
        <w:rPr>
          <w:rFonts w:ascii="Courier New" w:cs="Courier New" w:eastAsia="Courier New" w:hAnsi="Courier New"/>
          <w:sz w:val="22"/>
          <w:szCs w:val="22"/>
          <w:color w:val="auto"/>
        </w:rPr>
      </w:pPr>
    </w:p>
    <w:p>
      <w:pPr>
        <w:ind w:left="1960" w:hanging="332"/>
        <w:spacing w:after="0" w:line="263" w:lineRule="auto"/>
        <w:tabs>
          <w:tab w:leader="none" w:pos="1983" w:val="left"/>
        </w:tabs>
        <w:numPr>
          <w:ilvl w:val="2"/>
          <w:numId w:val="191"/>
        </w:numPr>
        <w:rPr>
          <w:rFonts w:ascii="Arial" w:cs="Arial" w:eastAsia="Arial" w:hAnsi="Arial"/>
          <w:sz w:val="22"/>
          <w:szCs w:val="22"/>
          <w:color w:val="auto"/>
        </w:rPr>
      </w:pPr>
      <w:r>
        <w:rPr>
          <w:rFonts w:ascii="Arial" w:cs="Arial" w:eastAsia="Arial" w:hAnsi="Arial"/>
          <w:sz w:val="22"/>
          <w:szCs w:val="22"/>
          <w:color w:val="auto"/>
        </w:rPr>
        <w:t>Regeneron will apply statistical process analysis to continuously qualify in-process controls and release parameters.</w:t>
      </w:r>
    </w:p>
    <w:p>
      <w:pPr>
        <w:spacing w:after="0" w:line="66" w:lineRule="exact"/>
        <w:rPr>
          <w:rFonts w:ascii="Arial" w:cs="Arial" w:eastAsia="Arial" w:hAnsi="Arial"/>
          <w:sz w:val="22"/>
          <w:szCs w:val="22"/>
          <w:color w:val="auto"/>
        </w:rPr>
      </w:pPr>
    </w:p>
    <w:p>
      <w:pPr>
        <w:jc w:val="both"/>
        <w:ind w:left="1960" w:hanging="332"/>
        <w:spacing w:after="0" w:line="289" w:lineRule="auto"/>
        <w:tabs>
          <w:tab w:leader="none" w:pos="1969" w:val="left"/>
        </w:tabs>
        <w:numPr>
          <w:ilvl w:val="2"/>
          <w:numId w:val="191"/>
        </w:numPr>
        <w:rPr>
          <w:rFonts w:ascii="Arial" w:cs="Arial" w:eastAsia="Arial" w:hAnsi="Arial"/>
          <w:sz w:val="19"/>
          <w:szCs w:val="19"/>
          <w:color w:val="auto"/>
        </w:rPr>
      </w:pPr>
      <w:r>
        <w:rPr>
          <w:rFonts w:ascii="Arial" w:cs="Arial" w:eastAsia="Arial" w:hAnsi="Arial"/>
          <w:sz w:val="19"/>
          <w:szCs w:val="19"/>
          <w:color w:val="auto"/>
        </w:rPr>
        <w:t>The manufacturing process will be evaluated against parameters that are correlated to process performance and product quality. Ranges for the performance of each unit operation will be established through process development recommended ranges, the generation of statistical limits based on small-scale studies, and/or continuous commercial-scale manufacturing experience. These ranges will be monitored during the execution of quality and control, and are designed to ensure that the process is in a state of control and to ensure that the manufacturing process operates in a consistent and reproducible manner. The quality and control runs will also confirm that the process and product impurity profiles are within limits, demonstrate the consistent removal of impurities, and demonstrate that the process is capable of operating within acceptable microbiological control limits. Additional sampling and testing beyond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CONFIDENTIAL/PROPRIETARY</w:t>
      </w:r>
    </w:p>
    <w:p>
      <w:pPr>
        <w:sectPr>
          <w:pgSz w:w="11900" w:h="16838" w:orient="portrait"/>
          <w:cols w:equalWidth="0" w:num="1">
            <w:col w:w="11240"/>
          </w:cols>
          <w:pgMar w:left="320" w:top="855" w:right="339" w:bottom="1440" w:gutter="0" w:footer="0" w:header="0"/>
        </w:sectPr>
      </w:pPr>
    </w:p>
    <w:bookmarkStart w:id="239" w:name="page240"/>
    <w:bookmarkEnd w:id="239"/>
    <w:p>
      <w:pPr>
        <w:ind w:left="840"/>
        <w:spacing w:after="0"/>
        <w:rPr>
          <w:sz w:val="20"/>
          <w:szCs w:val="20"/>
          <w:color w:val="auto"/>
        </w:rPr>
      </w:pPr>
      <w:r>
        <w:rPr>
          <w:rFonts w:ascii="Arial" w:cs="Arial" w:eastAsia="Arial" w:hAnsi="Arial"/>
          <w:sz w:val="21"/>
          <w:szCs w:val="21"/>
          <w:color w:val="auto"/>
        </w:rPr>
        <w:t>that needed to assess process performance, may be completed to further process understanding.</w:t>
      </w:r>
    </w:p>
    <w:p>
      <w:pPr>
        <w:spacing w:after="0" w:line="123" w:lineRule="exact"/>
        <w:rPr>
          <w:sz w:val="20"/>
          <w:szCs w:val="20"/>
          <w:color w:val="auto"/>
        </w:rPr>
      </w:pPr>
    </w:p>
    <w:p>
      <w:pPr>
        <w:ind w:left="840" w:hanging="332"/>
        <w:spacing w:after="0" w:line="263" w:lineRule="auto"/>
        <w:tabs>
          <w:tab w:leader="none" w:pos="849" w:val="left"/>
        </w:tabs>
        <w:numPr>
          <w:ilvl w:val="0"/>
          <w:numId w:val="192"/>
        </w:numPr>
        <w:rPr>
          <w:rFonts w:ascii="Arial" w:cs="Arial" w:eastAsia="Arial" w:hAnsi="Arial"/>
          <w:sz w:val="22"/>
          <w:szCs w:val="22"/>
          <w:color w:val="auto"/>
        </w:rPr>
      </w:pPr>
      <w:r>
        <w:rPr>
          <w:rFonts w:ascii="Arial" w:cs="Arial" w:eastAsia="Arial" w:hAnsi="Arial"/>
          <w:sz w:val="22"/>
          <w:szCs w:val="22"/>
          <w:i w:val="1"/>
          <w:iCs w:val="1"/>
          <w:color w:val="auto"/>
        </w:rPr>
        <w:t>Intermediate Hold Time Validation</w:t>
      </w:r>
      <w:r>
        <w:rPr>
          <w:rFonts w:ascii="Arial" w:cs="Arial" w:eastAsia="Arial" w:hAnsi="Arial"/>
          <w:sz w:val="22"/>
          <w:szCs w:val="22"/>
          <w:color w:val="auto"/>
        </w:rPr>
        <w:t>: Intermediate hold time validation to be performed via combination of</w:t>
      </w:r>
      <w:r>
        <w:rPr>
          <w:rFonts w:ascii="Arial" w:cs="Arial" w:eastAsia="Arial" w:hAnsi="Arial"/>
          <w:sz w:val="22"/>
          <w:szCs w:val="22"/>
          <w:i w:val="1"/>
          <w:iCs w:val="1"/>
          <w:color w:val="auto"/>
        </w:rPr>
        <w:t xml:space="preserve"> </w:t>
      </w:r>
      <w:r>
        <w:rPr>
          <w:rFonts w:ascii="Arial" w:cs="Arial" w:eastAsia="Arial" w:hAnsi="Arial"/>
          <w:sz w:val="22"/>
          <w:szCs w:val="22"/>
          <w:color w:val="auto"/>
        </w:rPr>
        <w:t>at scale and small scale executions:</w:t>
      </w:r>
    </w:p>
    <w:p>
      <w:pPr>
        <w:spacing w:after="0" w:line="66" w:lineRule="exact"/>
        <w:rPr>
          <w:rFonts w:ascii="Arial" w:cs="Arial" w:eastAsia="Arial" w:hAnsi="Arial"/>
          <w:sz w:val="22"/>
          <w:szCs w:val="22"/>
          <w:color w:val="auto"/>
        </w:rPr>
      </w:pPr>
    </w:p>
    <w:p>
      <w:pPr>
        <w:jc w:val="both"/>
        <w:ind w:left="1480" w:hanging="324"/>
        <w:spacing w:after="0" w:line="253" w:lineRule="auto"/>
        <w:tabs>
          <w:tab w:leader="none" w:pos="1475" w:val="left"/>
        </w:tabs>
        <w:numPr>
          <w:ilvl w:val="1"/>
          <w:numId w:val="192"/>
        </w:numPr>
        <w:rPr>
          <w:rFonts w:ascii="Arial" w:cs="Arial" w:eastAsia="Arial" w:hAnsi="Arial"/>
          <w:sz w:val="22"/>
          <w:szCs w:val="22"/>
          <w:color w:val="auto"/>
        </w:rPr>
      </w:pPr>
      <w:r>
        <w:rPr>
          <w:rFonts w:ascii="Arial" w:cs="Arial" w:eastAsia="Arial" w:hAnsi="Arial"/>
          <w:sz w:val="22"/>
          <w:szCs w:val="22"/>
          <w:color w:val="auto"/>
        </w:rPr>
        <w:t>Microbial Control: Where appropriate, microbial control data from at scale hold time studies, will be leveraged from historical validation runs with molecules which have similar equipment and sanitization procedures.</w:t>
      </w:r>
    </w:p>
    <w:p>
      <w:pPr>
        <w:spacing w:after="0" w:line="77" w:lineRule="exact"/>
        <w:rPr>
          <w:rFonts w:ascii="Arial" w:cs="Arial" w:eastAsia="Arial" w:hAnsi="Arial"/>
          <w:sz w:val="22"/>
          <w:szCs w:val="22"/>
          <w:color w:val="auto"/>
        </w:rPr>
      </w:pPr>
    </w:p>
    <w:p>
      <w:pPr>
        <w:jc w:val="both"/>
        <w:ind w:left="1480" w:hanging="324"/>
        <w:spacing w:after="0" w:line="253" w:lineRule="auto"/>
        <w:tabs>
          <w:tab w:leader="none" w:pos="1475" w:val="left"/>
        </w:tabs>
        <w:numPr>
          <w:ilvl w:val="1"/>
          <w:numId w:val="192"/>
        </w:numPr>
        <w:rPr>
          <w:rFonts w:ascii="Arial" w:cs="Arial" w:eastAsia="Arial" w:hAnsi="Arial"/>
          <w:sz w:val="22"/>
          <w:szCs w:val="22"/>
          <w:color w:val="auto"/>
        </w:rPr>
      </w:pPr>
      <w:r>
        <w:rPr>
          <w:rFonts w:ascii="Arial" w:cs="Arial" w:eastAsia="Arial" w:hAnsi="Arial"/>
          <w:sz w:val="22"/>
          <w:szCs w:val="22"/>
          <w:color w:val="auto"/>
        </w:rPr>
        <w:t>Chemical Stability: Chemical stability will be demonstrated using data from laboratory scale hold time studies performed for each of the prototypes, using material obtained from in-process pools from the 10,000 L manufacturing executions.</w:t>
      </w:r>
    </w:p>
    <w:p>
      <w:pPr>
        <w:spacing w:after="0" w:line="77" w:lineRule="exact"/>
        <w:rPr>
          <w:rFonts w:ascii="Arial" w:cs="Arial" w:eastAsia="Arial" w:hAnsi="Arial"/>
          <w:sz w:val="22"/>
          <w:szCs w:val="22"/>
          <w:color w:val="auto"/>
        </w:rPr>
      </w:pPr>
    </w:p>
    <w:p>
      <w:pPr>
        <w:jc w:val="both"/>
        <w:ind w:left="840" w:hanging="332"/>
        <w:spacing w:after="0" w:line="261" w:lineRule="auto"/>
        <w:tabs>
          <w:tab w:leader="none" w:pos="903" w:val="left"/>
        </w:tabs>
        <w:numPr>
          <w:ilvl w:val="0"/>
          <w:numId w:val="192"/>
        </w:numPr>
        <w:rPr>
          <w:rFonts w:ascii="Arial" w:cs="Arial" w:eastAsia="Arial" w:hAnsi="Arial"/>
          <w:sz w:val="21"/>
          <w:szCs w:val="21"/>
          <w:color w:val="auto"/>
        </w:rPr>
      </w:pPr>
      <w:r>
        <w:rPr>
          <w:rFonts w:ascii="Arial" w:cs="Arial" w:eastAsia="Arial" w:hAnsi="Arial"/>
          <w:sz w:val="21"/>
          <w:szCs w:val="21"/>
          <w:i w:val="1"/>
          <w:iCs w:val="1"/>
          <w:color w:val="auto"/>
        </w:rPr>
        <w:t>Media, Feed and Buffer Mixing Validation</w:t>
      </w:r>
      <w:r>
        <w:rPr>
          <w:rFonts w:ascii="Arial" w:cs="Arial" w:eastAsia="Arial" w:hAnsi="Arial"/>
          <w:sz w:val="21"/>
          <w:szCs w:val="21"/>
          <w:color w:val="auto"/>
        </w:rPr>
        <w:t>: Preparation of buffers and media will be validated at</w:t>
      </w:r>
      <w:r>
        <w:rPr>
          <w:rFonts w:ascii="Arial" w:cs="Arial" w:eastAsia="Arial" w:hAnsi="Arial"/>
          <w:sz w:val="21"/>
          <w:szCs w:val="21"/>
          <w:i w:val="1"/>
          <w:iCs w:val="1"/>
          <w:color w:val="auto"/>
        </w:rPr>
        <w:t xml:space="preserve"> </w:t>
      </w:r>
      <w:r>
        <w:rPr>
          <w:rFonts w:ascii="Arial" w:cs="Arial" w:eastAsia="Arial" w:hAnsi="Arial"/>
          <w:sz w:val="21"/>
          <w:szCs w:val="21"/>
          <w:color w:val="auto"/>
        </w:rPr>
        <w:t>commercial-scale. These validation studies will demonstrate that the preparation process consistently produces solutions meeting predefined limits for parameters indicative of homogeneity, such as pH, conductivity, osmolality, and turbidity. Where vessels of equivalent design and construction exist within the manufacturing facility, validation of media and buffer preparation will be performed on one representative vessel on at least three consecutive and successful executions.</w:t>
      </w:r>
    </w:p>
    <w:p>
      <w:pPr>
        <w:spacing w:after="0" w:line="71" w:lineRule="exact"/>
        <w:rPr>
          <w:rFonts w:ascii="Arial" w:cs="Arial" w:eastAsia="Arial" w:hAnsi="Arial"/>
          <w:sz w:val="21"/>
          <w:szCs w:val="21"/>
          <w:color w:val="auto"/>
        </w:rPr>
      </w:pPr>
    </w:p>
    <w:p>
      <w:pPr>
        <w:ind w:left="860" w:hanging="352"/>
        <w:spacing w:after="0"/>
        <w:tabs>
          <w:tab w:leader="none" w:pos="860" w:val="left"/>
        </w:tabs>
        <w:numPr>
          <w:ilvl w:val="0"/>
          <w:numId w:val="192"/>
        </w:numPr>
        <w:rPr>
          <w:rFonts w:ascii="Arial" w:cs="Arial" w:eastAsia="Arial" w:hAnsi="Arial"/>
          <w:sz w:val="19"/>
          <w:szCs w:val="19"/>
          <w:color w:val="auto"/>
        </w:rPr>
      </w:pPr>
      <w:r>
        <w:rPr>
          <w:rFonts w:ascii="Arial" w:cs="Arial" w:eastAsia="Arial" w:hAnsi="Arial"/>
          <w:sz w:val="19"/>
          <w:szCs w:val="19"/>
          <w:i w:val="1"/>
          <w:iCs w:val="1"/>
          <w:color w:val="auto"/>
        </w:rPr>
        <w:t>Medium Storage Validation</w:t>
      </w:r>
      <w:r>
        <w:rPr>
          <w:rFonts w:ascii="Arial" w:cs="Arial" w:eastAsia="Arial" w:hAnsi="Arial"/>
          <w:sz w:val="19"/>
          <w:szCs w:val="19"/>
          <w:color w:val="auto"/>
        </w:rPr>
        <w:t>: Medium storage validation will be separated into preparation hold and post-</w:t>
      </w:r>
    </w:p>
    <w:p>
      <w:pPr>
        <w:spacing w:after="0" w:line="55" w:lineRule="exact"/>
        <w:rPr>
          <w:rFonts w:ascii="Arial" w:cs="Arial" w:eastAsia="Arial" w:hAnsi="Arial"/>
          <w:sz w:val="19"/>
          <w:szCs w:val="19"/>
          <w:color w:val="auto"/>
        </w:rPr>
      </w:pPr>
    </w:p>
    <w:p>
      <w:pPr>
        <w:jc w:val="both"/>
        <w:ind w:left="840"/>
        <w:spacing w:after="0" w:line="256" w:lineRule="auto"/>
        <w:rPr>
          <w:rFonts w:ascii="Arial" w:cs="Arial" w:eastAsia="Arial" w:hAnsi="Arial"/>
          <w:sz w:val="19"/>
          <w:szCs w:val="19"/>
          <w:color w:val="auto"/>
        </w:rPr>
      </w:pPr>
      <w:r>
        <w:rPr>
          <w:rFonts w:ascii="Arial" w:cs="Arial" w:eastAsia="Arial" w:hAnsi="Arial"/>
          <w:sz w:val="21"/>
          <w:szCs w:val="21"/>
          <w:color w:val="auto"/>
        </w:rPr>
        <w:t>filtration storage, and has two components: microbial control and chemical stability. Pre-filtration microbial control is specific to the raw materials and the environment, and post-filtration microbial control is specific to each storage container and the ability of the storage container to maintain a microbial free condition. Maximum storage times for medium solutions with respect to microbial control will be validated as necessary at commercial scale, through preparation and storage of medium for extended storage times pre- and post-filtration. Validation will be achieved by demonstrating microbial control for a number of consecutive attempts established in the relevant validation protocol. Solutions will be prepared, stored for defined periods and tested for bioburden and endotoxin. Chemical stability of medium may be performed at small-scale to demonstrate storage conditions maintain integrity of chemical components. Bracketing approaches may be used to cover the different feeds and medium used, provided the individual protocol justifies the bracket.</w:t>
      </w:r>
    </w:p>
    <w:p>
      <w:pPr>
        <w:spacing w:after="0" w:line="78" w:lineRule="exact"/>
        <w:rPr>
          <w:rFonts w:ascii="Arial" w:cs="Arial" w:eastAsia="Arial" w:hAnsi="Arial"/>
          <w:sz w:val="19"/>
          <w:szCs w:val="19"/>
          <w:color w:val="auto"/>
        </w:rPr>
      </w:pPr>
    </w:p>
    <w:p>
      <w:pPr>
        <w:ind w:left="860" w:hanging="352"/>
        <w:spacing w:after="0"/>
        <w:tabs>
          <w:tab w:leader="none" w:pos="860" w:val="left"/>
        </w:tabs>
        <w:numPr>
          <w:ilvl w:val="0"/>
          <w:numId w:val="192"/>
        </w:numPr>
        <w:rPr>
          <w:rFonts w:ascii="Arial" w:cs="Arial" w:eastAsia="Arial" w:hAnsi="Arial"/>
          <w:sz w:val="19"/>
          <w:szCs w:val="19"/>
          <w:color w:val="auto"/>
        </w:rPr>
      </w:pPr>
      <w:r>
        <w:rPr>
          <w:rFonts w:ascii="Arial" w:cs="Arial" w:eastAsia="Arial" w:hAnsi="Arial"/>
          <w:sz w:val="19"/>
          <w:szCs w:val="19"/>
          <w:i w:val="1"/>
          <w:iCs w:val="1"/>
          <w:color w:val="auto"/>
        </w:rPr>
        <w:t xml:space="preserve">Buffer Storage Validation: </w:t>
      </w:r>
      <w:r>
        <w:rPr>
          <w:rFonts w:ascii="Arial" w:cs="Arial" w:eastAsia="Arial" w:hAnsi="Arial"/>
          <w:sz w:val="19"/>
          <w:szCs w:val="19"/>
          <w:color w:val="auto"/>
        </w:rPr>
        <w:t>Buffer storage validation is separated into preparation hold and post-filtration</w:t>
      </w:r>
    </w:p>
    <w:p>
      <w:pPr>
        <w:spacing w:after="0" w:line="55" w:lineRule="exact"/>
        <w:rPr>
          <w:rFonts w:ascii="Arial" w:cs="Arial" w:eastAsia="Arial" w:hAnsi="Arial"/>
          <w:sz w:val="19"/>
          <w:szCs w:val="19"/>
          <w:color w:val="auto"/>
        </w:rPr>
      </w:pPr>
    </w:p>
    <w:p>
      <w:pPr>
        <w:jc w:val="both"/>
        <w:ind w:left="840"/>
        <w:spacing w:after="0" w:line="244" w:lineRule="auto"/>
        <w:rPr>
          <w:rFonts w:ascii="Arial" w:cs="Arial" w:eastAsia="Arial" w:hAnsi="Arial"/>
          <w:sz w:val="19"/>
          <w:szCs w:val="19"/>
          <w:color w:val="auto"/>
        </w:rPr>
      </w:pPr>
      <w:r>
        <w:rPr>
          <w:rFonts w:ascii="Arial" w:cs="Arial" w:eastAsia="Arial" w:hAnsi="Arial"/>
          <w:sz w:val="22"/>
          <w:szCs w:val="22"/>
          <w:color w:val="auto"/>
        </w:rPr>
        <w:t>storage, and has two components: microbial control and chemical stability. Preparation holds are dependent on the solution composition. The worst- case solution for growth is determined using a risk-based approach, and post-filtration microbial control is specific to each vessel and the ability of a vessel to maintain a microbial free condition. Maximum storage times for buffer solutions will be validated as necessary at commercial-scale for microbial control, through preparation and storage of a non-growth inhibiting buffer for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080"/>
        <w:spacing w:after="0"/>
        <w:rPr>
          <w:sz w:val="20"/>
          <w:szCs w:val="20"/>
          <w:color w:val="auto"/>
        </w:rPr>
      </w:pPr>
      <w:r>
        <w:rPr>
          <w:rFonts w:ascii="Arial" w:cs="Arial" w:eastAsia="Arial" w:hAnsi="Arial"/>
          <w:sz w:val="20"/>
          <w:szCs w:val="20"/>
          <w:color w:val="auto"/>
        </w:rPr>
        <w:t>CONFIDENTIAL/PROPRIETARY</w:t>
      </w:r>
    </w:p>
    <w:p>
      <w:pPr>
        <w:sectPr>
          <w:pgSz w:w="11900" w:h="16838" w:orient="portrait"/>
          <w:cols w:equalWidth="0" w:num="1">
            <w:col w:w="10120"/>
          </w:cols>
          <w:pgMar w:left="1440" w:top="861" w:right="339" w:bottom="1440" w:gutter="0" w:footer="0" w:header="0"/>
        </w:sectPr>
      </w:pPr>
    </w:p>
    <w:bookmarkStart w:id="240" w:name="page241"/>
    <w:bookmarkEnd w:id="240"/>
    <w:p>
      <w:pPr>
        <w:jc w:val="both"/>
        <w:ind w:left="840"/>
        <w:spacing w:after="0" w:line="259" w:lineRule="auto"/>
        <w:rPr>
          <w:sz w:val="20"/>
          <w:szCs w:val="20"/>
          <w:color w:val="auto"/>
        </w:rPr>
      </w:pPr>
      <w:r>
        <w:rPr>
          <w:rFonts w:ascii="Arial" w:cs="Arial" w:eastAsia="Arial" w:hAnsi="Arial"/>
          <w:sz w:val="21"/>
          <w:szCs w:val="21"/>
          <w:color w:val="auto"/>
        </w:rPr>
        <w:t>extended storage times pre- and post-filtration. Validation will be achieved by demonstrating microbial control for a number of consecutive attempts established by the protocol. Buffer hold validation in stainless steel vessels will require ongoing evaluation and monitoring; however, buffer hold validation in disposable bioprocess containers may be shortened, if appropriate, by a bracketing approach. Solutions will be prepared, held and monitored over time for bioburden, endotoxin. Chemical stability of buffers may be performed at small-scale to demonstrate that storage conditions maintain integrity of chemical components. Bracketing approaches may be used to cover the large number of buffers used, provided the individual protocol justifies the bracket.</w:t>
      </w:r>
    </w:p>
    <w:p>
      <w:pPr>
        <w:spacing w:after="0" w:line="75" w:lineRule="exact"/>
        <w:rPr>
          <w:sz w:val="20"/>
          <w:szCs w:val="20"/>
          <w:color w:val="auto"/>
        </w:rPr>
      </w:pPr>
    </w:p>
    <w:p>
      <w:pPr>
        <w:jc w:val="both"/>
        <w:ind w:left="840" w:hanging="332"/>
        <w:spacing w:after="0" w:line="250" w:lineRule="auto"/>
        <w:tabs>
          <w:tab w:leader="none" w:pos="903" w:val="left"/>
        </w:tabs>
        <w:numPr>
          <w:ilvl w:val="0"/>
          <w:numId w:val="193"/>
        </w:numPr>
        <w:rPr>
          <w:rFonts w:ascii="Arial" w:cs="Arial" w:eastAsia="Arial" w:hAnsi="Arial"/>
          <w:sz w:val="22"/>
          <w:szCs w:val="22"/>
          <w:color w:val="auto"/>
        </w:rPr>
      </w:pPr>
      <w:r>
        <w:rPr>
          <w:rFonts w:ascii="Arial" w:cs="Arial" w:eastAsia="Arial" w:hAnsi="Arial"/>
          <w:sz w:val="22"/>
          <w:szCs w:val="22"/>
          <w:i w:val="1"/>
          <w:iCs w:val="1"/>
          <w:color w:val="auto"/>
        </w:rPr>
        <w:t>Chromatography Column Sanitization and Storage Validation</w:t>
      </w:r>
      <w:r>
        <w:rPr>
          <w:rFonts w:ascii="Arial" w:cs="Arial" w:eastAsia="Arial" w:hAnsi="Arial"/>
          <w:sz w:val="22"/>
          <w:szCs w:val="22"/>
          <w:color w:val="auto"/>
        </w:rPr>
        <w:t>: Any newly required studies will be</w:t>
      </w:r>
      <w:r>
        <w:rPr>
          <w:rFonts w:ascii="Arial" w:cs="Arial" w:eastAsia="Arial" w:hAnsi="Arial"/>
          <w:sz w:val="22"/>
          <w:szCs w:val="22"/>
          <w:i w:val="1"/>
          <w:iCs w:val="1"/>
          <w:color w:val="auto"/>
        </w:rPr>
        <w:t xml:space="preserve"> </w:t>
      </w:r>
      <w:r>
        <w:rPr>
          <w:rFonts w:ascii="Arial" w:cs="Arial" w:eastAsia="Arial" w:hAnsi="Arial"/>
          <w:sz w:val="22"/>
          <w:szCs w:val="22"/>
          <w:color w:val="auto"/>
        </w:rPr>
        <w:t>performed to validate the cleaning and storage procedures for [* * *] chromatography columns used in the manufacture of the prototypes. In addition, the maximum allowable storage period following cleaning will be established for each of the chromatography resins.</w:t>
      </w:r>
    </w:p>
    <w:p>
      <w:pPr>
        <w:spacing w:after="0" w:line="79" w:lineRule="exact"/>
        <w:rPr>
          <w:rFonts w:ascii="Arial" w:cs="Arial" w:eastAsia="Arial" w:hAnsi="Arial"/>
          <w:sz w:val="22"/>
          <w:szCs w:val="22"/>
          <w:color w:val="auto"/>
        </w:rPr>
      </w:pPr>
    </w:p>
    <w:p>
      <w:pPr>
        <w:jc w:val="both"/>
        <w:ind w:left="840" w:hanging="332"/>
        <w:spacing w:after="0" w:line="246" w:lineRule="auto"/>
        <w:tabs>
          <w:tab w:leader="none" w:pos="930" w:val="left"/>
        </w:tabs>
        <w:numPr>
          <w:ilvl w:val="0"/>
          <w:numId w:val="193"/>
        </w:numPr>
        <w:rPr>
          <w:rFonts w:ascii="Arial" w:cs="Arial" w:eastAsia="Arial" w:hAnsi="Arial"/>
          <w:sz w:val="22"/>
          <w:szCs w:val="22"/>
          <w:color w:val="auto"/>
        </w:rPr>
      </w:pPr>
      <w:r>
        <w:rPr>
          <w:rFonts w:ascii="Arial" w:cs="Arial" w:eastAsia="Arial" w:hAnsi="Arial"/>
          <w:sz w:val="22"/>
          <w:szCs w:val="22"/>
          <w:i w:val="1"/>
          <w:iCs w:val="1"/>
          <w:color w:val="auto"/>
        </w:rPr>
        <w:t>Chromatography Column Cleaning Validation</w:t>
      </w:r>
      <w:r>
        <w:rPr>
          <w:rFonts w:ascii="Arial" w:cs="Arial" w:eastAsia="Arial" w:hAnsi="Arial"/>
          <w:sz w:val="22"/>
          <w:szCs w:val="22"/>
          <w:color w:val="auto"/>
        </w:rPr>
        <w:t>: The efficacy of the solutions used to clean the</w:t>
      </w:r>
      <w:r>
        <w:rPr>
          <w:rFonts w:ascii="Arial" w:cs="Arial" w:eastAsia="Arial" w:hAnsi="Arial"/>
          <w:sz w:val="22"/>
          <w:szCs w:val="22"/>
          <w:i w:val="1"/>
          <w:iCs w:val="1"/>
          <w:color w:val="auto"/>
        </w:rPr>
        <w:t xml:space="preserve"> </w:t>
      </w:r>
      <w:r>
        <w:rPr>
          <w:rFonts w:ascii="Arial" w:cs="Arial" w:eastAsia="Arial" w:hAnsi="Arial"/>
          <w:sz w:val="22"/>
          <w:szCs w:val="22"/>
          <w:color w:val="auto"/>
        </w:rPr>
        <w:t>chromatography columns will be examined as necessary over three consecutive executions during commercial scale manufacturing of each of the prototypes. The effectiveness of the cleaning procedures will be assessed by sampling the post cleaning (post-use) Water for Injection (WFI) flush effluent; at approximately [* * *] into the flush for bioburden and endotoxin levels (the purpose of which is to demonstrate microbial control). In addition, Total Organic Carbon (TOC) will be measured to verify the absence of lot to lot protein carry over.</w:t>
      </w:r>
    </w:p>
    <w:p>
      <w:pPr>
        <w:spacing w:after="0" w:line="88" w:lineRule="exact"/>
        <w:rPr>
          <w:rFonts w:ascii="Arial" w:cs="Arial" w:eastAsia="Arial" w:hAnsi="Arial"/>
          <w:sz w:val="22"/>
          <w:szCs w:val="22"/>
          <w:color w:val="auto"/>
        </w:rPr>
      </w:pPr>
    </w:p>
    <w:p>
      <w:pPr>
        <w:jc w:val="both"/>
        <w:ind w:left="840" w:hanging="332"/>
        <w:spacing w:after="0" w:line="246" w:lineRule="auto"/>
        <w:tabs>
          <w:tab w:leader="none" w:pos="944" w:val="left"/>
        </w:tabs>
        <w:numPr>
          <w:ilvl w:val="0"/>
          <w:numId w:val="193"/>
        </w:numPr>
        <w:rPr>
          <w:rFonts w:ascii="Arial" w:cs="Arial" w:eastAsia="Arial" w:hAnsi="Arial"/>
          <w:sz w:val="22"/>
          <w:szCs w:val="22"/>
          <w:color w:val="auto"/>
        </w:rPr>
      </w:pPr>
      <w:r>
        <w:rPr>
          <w:rFonts w:ascii="Arial" w:cs="Arial" w:eastAsia="Arial" w:hAnsi="Arial"/>
          <w:sz w:val="22"/>
          <w:szCs w:val="22"/>
          <w:i w:val="1"/>
          <w:iCs w:val="1"/>
          <w:color w:val="auto"/>
        </w:rPr>
        <w:t>Chromatography Column Storage Validation</w:t>
      </w:r>
      <w:r>
        <w:rPr>
          <w:rFonts w:ascii="Arial" w:cs="Arial" w:eastAsia="Arial" w:hAnsi="Arial"/>
          <w:sz w:val="22"/>
          <w:szCs w:val="22"/>
          <w:color w:val="auto"/>
        </w:rPr>
        <w:t>: The efficacy of the solutions used to store the</w:t>
      </w:r>
      <w:r>
        <w:rPr>
          <w:rFonts w:ascii="Arial" w:cs="Arial" w:eastAsia="Arial" w:hAnsi="Arial"/>
          <w:sz w:val="22"/>
          <w:szCs w:val="22"/>
          <w:i w:val="1"/>
          <w:iCs w:val="1"/>
          <w:color w:val="auto"/>
        </w:rPr>
        <w:t xml:space="preserve"> </w:t>
      </w:r>
      <w:r>
        <w:rPr>
          <w:rFonts w:ascii="Arial" w:cs="Arial" w:eastAsia="Arial" w:hAnsi="Arial"/>
          <w:sz w:val="22"/>
          <w:szCs w:val="22"/>
          <w:color w:val="auto"/>
        </w:rPr>
        <w:t>chromatography columns will be examined, as necessary, over three consecutive executions during commercial scale manufacturing of each of the prototypes. The effectiveness of the cleaning and storage procedures will be assessed by sampling the post storage (pre-use) WFI flush effluent for bioburden, endotoxin levels and TOC. The maximum allowable storage period for each column will be established based on the shortest of the three consecutive executions for which the column remained in the storage solution.</w:t>
      </w:r>
    </w:p>
    <w:p>
      <w:pPr>
        <w:spacing w:after="0" w:line="88" w:lineRule="exact"/>
        <w:rPr>
          <w:rFonts w:ascii="Arial" w:cs="Arial" w:eastAsia="Arial" w:hAnsi="Arial"/>
          <w:sz w:val="22"/>
          <w:szCs w:val="22"/>
          <w:color w:val="auto"/>
        </w:rPr>
      </w:pPr>
    </w:p>
    <w:p>
      <w:pPr>
        <w:jc w:val="both"/>
        <w:ind w:left="840" w:hanging="332"/>
        <w:spacing w:after="0" w:line="259" w:lineRule="auto"/>
        <w:tabs>
          <w:tab w:leader="none" w:pos="890" w:val="left"/>
        </w:tabs>
        <w:numPr>
          <w:ilvl w:val="0"/>
          <w:numId w:val="193"/>
        </w:numPr>
        <w:rPr>
          <w:rFonts w:ascii="Arial" w:cs="Arial" w:eastAsia="Arial" w:hAnsi="Arial"/>
          <w:sz w:val="21"/>
          <w:szCs w:val="21"/>
          <w:color w:val="auto"/>
        </w:rPr>
      </w:pPr>
      <w:r>
        <w:rPr>
          <w:rFonts w:ascii="Arial" w:cs="Arial" w:eastAsia="Arial" w:hAnsi="Arial"/>
          <w:sz w:val="21"/>
          <w:szCs w:val="21"/>
          <w:i w:val="1"/>
          <w:iCs w:val="1"/>
          <w:color w:val="auto"/>
        </w:rPr>
        <w:t>Establishment of In-Process Control (IPC) Program</w:t>
      </w:r>
      <w:r>
        <w:rPr>
          <w:rFonts w:ascii="Arial" w:cs="Arial" w:eastAsia="Arial" w:hAnsi="Arial"/>
          <w:sz w:val="21"/>
          <w:szCs w:val="21"/>
          <w:color w:val="auto"/>
        </w:rPr>
        <w:t>: The IPC program will utilize Statistical Process</w:t>
      </w:r>
      <w:r>
        <w:rPr>
          <w:rFonts w:ascii="Arial" w:cs="Arial" w:eastAsia="Arial" w:hAnsi="Arial"/>
          <w:sz w:val="21"/>
          <w:szCs w:val="21"/>
          <w:i w:val="1"/>
          <w:iCs w:val="1"/>
          <w:color w:val="auto"/>
        </w:rPr>
        <w:t xml:space="preserve"> </w:t>
      </w:r>
      <w:r>
        <w:rPr>
          <w:rFonts w:ascii="Arial" w:cs="Arial" w:eastAsia="Arial" w:hAnsi="Arial"/>
          <w:sz w:val="21"/>
          <w:szCs w:val="21"/>
          <w:color w:val="auto"/>
        </w:rPr>
        <w:t>Control (SPC) to monitor critical and general process parameters, and critical and general quality attributes for each lot manufactured. On completion of quality and control activities, the IPC development report will establish the set of parameters and attributes to be monitored, and justify appropriate action limits for each. Upon approval of the development report, a Process Performance Monitoring (PPM) Plan will be generated containing the list of IPCs, historical data, selection of monitoring tools and response to signal strategy, statistical summary, and visualization of the IPCs. The IPC development report and PPM Plan will be further updated as laboratory and production scale characterization and validation data is gained, once defined production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080"/>
        <w:spacing w:after="0"/>
        <w:rPr>
          <w:sz w:val="20"/>
          <w:szCs w:val="20"/>
          <w:color w:val="auto"/>
        </w:rPr>
      </w:pPr>
      <w:r>
        <w:rPr>
          <w:rFonts w:ascii="Arial" w:cs="Arial" w:eastAsia="Arial" w:hAnsi="Arial"/>
          <w:sz w:val="20"/>
          <w:szCs w:val="20"/>
          <w:color w:val="auto"/>
        </w:rPr>
        <w:t>CONFIDENTIAL/PROPRIETARY</w:t>
      </w:r>
    </w:p>
    <w:p>
      <w:pPr>
        <w:sectPr>
          <w:pgSz w:w="11900" w:h="16838" w:orient="portrait"/>
          <w:cols w:equalWidth="0" w:num="1">
            <w:col w:w="10120"/>
          </w:cols>
          <w:pgMar w:left="1440" w:top="861" w:right="339" w:bottom="1440" w:gutter="0" w:footer="0" w:header="0"/>
        </w:sectPr>
      </w:pPr>
    </w:p>
    <w:bookmarkStart w:id="241" w:name="page242"/>
    <w:bookmarkEnd w:id="241"/>
    <w:p>
      <w:pPr>
        <w:jc w:val="both"/>
        <w:ind w:left="980"/>
        <w:spacing w:after="0" w:line="297" w:lineRule="auto"/>
        <w:rPr>
          <w:sz w:val="20"/>
          <w:szCs w:val="20"/>
          <w:color w:val="auto"/>
        </w:rPr>
      </w:pPr>
      <w:r>
        <w:rPr>
          <w:rFonts w:ascii="Arial" w:cs="Arial" w:eastAsia="Arial" w:hAnsi="Arial"/>
          <w:sz w:val="19"/>
          <w:szCs w:val="19"/>
          <w:color w:val="auto"/>
        </w:rPr>
        <w:t>milestones are achieved, and then annually afterward. The annual updates will assess the overall state of process control and include process capability analysis and assessment of evidence of special cause variation for all applicable IPCs. Process data for individual lots will be monitored through [* * *] PPM meetings, where any trend signals are identified and responded to. These meetings will be attended by subject matter experts from departments including, but not limited to, [* * *]</w:t>
      </w:r>
    </w:p>
    <w:p>
      <w:pPr>
        <w:spacing w:after="0" w:line="33" w:lineRule="exact"/>
        <w:rPr>
          <w:sz w:val="20"/>
          <w:szCs w:val="20"/>
          <w:color w:val="auto"/>
        </w:rPr>
      </w:pPr>
    </w:p>
    <w:p>
      <w:pPr>
        <w:ind w:left="320" w:hanging="320"/>
        <w:spacing w:after="0"/>
        <w:tabs>
          <w:tab w:leader="none" w:pos="320" w:val="left"/>
        </w:tabs>
        <w:numPr>
          <w:ilvl w:val="0"/>
          <w:numId w:val="194"/>
        </w:numPr>
        <w:rPr>
          <w:rFonts w:ascii="Courier New" w:cs="Courier New" w:eastAsia="Courier New" w:hAnsi="Courier New"/>
          <w:sz w:val="22"/>
          <w:szCs w:val="22"/>
          <w:color w:val="auto"/>
        </w:rPr>
      </w:pPr>
      <w:r>
        <w:rPr>
          <w:rFonts w:ascii="Arial" w:cs="Arial" w:eastAsia="Arial" w:hAnsi="Arial"/>
          <w:sz w:val="22"/>
          <w:szCs w:val="22"/>
          <w:b w:val="1"/>
          <w:bCs w:val="1"/>
          <w:color w:val="auto"/>
        </w:rPr>
        <w:t>Master Cell Bank (MCB) Genetic Characterization</w:t>
      </w:r>
      <w:r>
        <w:rPr>
          <w:rFonts w:ascii="Arial" w:cs="Arial" w:eastAsia="Arial" w:hAnsi="Arial"/>
          <w:sz w:val="22"/>
          <w:szCs w:val="22"/>
          <w:color w:val="auto"/>
        </w:rPr>
        <w:t>: [* **]</w:t>
      </w:r>
    </w:p>
    <w:p>
      <w:pPr>
        <w:spacing w:after="0" w:line="119" w:lineRule="exact"/>
        <w:rPr>
          <w:rFonts w:ascii="Courier New" w:cs="Courier New" w:eastAsia="Courier New" w:hAnsi="Courier New"/>
          <w:sz w:val="22"/>
          <w:szCs w:val="22"/>
          <w:color w:val="auto"/>
        </w:rPr>
      </w:pPr>
    </w:p>
    <w:p>
      <w:pPr>
        <w:ind w:left="320" w:hanging="320"/>
        <w:spacing w:after="0"/>
        <w:tabs>
          <w:tab w:leader="none" w:pos="320" w:val="left"/>
        </w:tabs>
        <w:numPr>
          <w:ilvl w:val="0"/>
          <w:numId w:val="194"/>
        </w:numPr>
        <w:rPr>
          <w:rFonts w:ascii="Courier New" w:cs="Courier New" w:eastAsia="Courier New" w:hAnsi="Courier New"/>
          <w:sz w:val="22"/>
          <w:szCs w:val="22"/>
          <w:color w:val="auto"/>
        </w:rPr>
      </w:pPr>
      <w:r>
        <w:rPr>
          <w:rFonts w:ascii="Arial" w:cs="Arial" w:eastAsia="Arial" w:hAnsi="Arial"/>
          <w:sz w:val="22"/>
          <w:szCs w:val="22"/>
          <w:b w:val="1"/>
          <w:bCs w:val="1"/>
          <w:color w:val="auto"/>
        </w:rPr>
        <w:t>Working Cell Bank (WCB) Genetic Characterization</w:t>
      </w:r>
      <w:r>
        <w:rPr>
          <w:rFonts w:ascii="Arial" w:cs="Arial" w:eastAsia="Arial" w:hAnsi="Arial"/>
          <w:sz w:val="22"/>
          <w:szCs w:val="22"/>
          <w:color w:val="auto"/>
        </w:rPr>
        <w:t>: [* * *]</w:t>
      </w:r>
    </w:p>
    <w:p>
      <w:pPr>
        <w:spacing w:after="0" w:line="119" w:lineRule="exact"/>
        <w:rPr>
          <w:rFonts w:ascii="Courier New" w:cs="Courier New" w:eastAsia="Courier New" w:hAnsi="Courier New"/>
          <w:sz w:val="22"/>
          <w:szCs w:val="22"/>
          <w:color w:val="auto"/>
        </w:rPr>
      </w:pPr>
    </w:p>
    <w:p>
      <w:pPr>
        <w:jc w:val="both"/>
        <w:ind w:left="320" w:hanging="320"/>
        <w:spacing w:after="0" w:line="247" w:lineRule="auto"/>
        <w:tabs>
          <w:tab w:leader="none" w:pos="315" w:val="left"/>
        </w:tabs>
        <w:numPr>
          <w:ilvl w:val="0"/>
          <w:numId w:val="194"/>
        </w:numPr>
        <w:rPr>
          <w:rFonts w:ascii="Courier New" w:cs="Courier New" w:eastAsia="Courier New" w:hAnsi="Courier New"/>
          <w:sz w:val="22"/>
          <w:szCs w:val="22"/>
          <w:color w:val="auto"/>
        </w:rPr>
      </w:pPr>
      <w:r>
        <w:rPr>
          <w:rFonts w:ascii="Arial" w:cs="Arial" w:eastAsia="Arial" w:hAnsi="Arial"/>
          <w:sz w:val="22"/>
          <w:szCs w:val="22"/>
          <w:b w:val="1"/>
          <w:bCs w:val="1"/>
          <w:color w:val="auto"/>
        </w:rPr>
        <w:t>DS/FDS/DP Registration Stability</w:t>
      </w:r>
      <w:r>
        <w:rPr>
          <w:rFonts w:ascii="Arial" w:cs="Arial" w:eastAsia="Arial" w:hAnsi="Arial"/>
          <w:sz w:val="22"/>
          <w:szCs w:val="22"/>
          <w:color w:val="auto"/>
        </w:rPr>
        <w:t>: Stability studies for DS/FDS/DP will be initiated and executed according to</w:t>
      </w:r>
      <w:r>
        <w:rPr>
          <w:rFonts w:ascii="Arial" w:cs="Arial" w:eastAsia="Arial" w:hAnsi="Arial"/>
          <w:sz w:val="22"/>
          <w:szCs w:val="22"/>
          <w:b w:val="1"/>
          <w:bCs w:val="1"/>
          <w:color w:val="auto"/>
        </w:rPr>
        <w:t xml:space="preserve"> </w:t>
      </w:r>
      <w:r>
        <w:rPr>
          <w:rFonts w:ascii="Arial" w:cs="Arial" w:eastAsia="Arial" w:hAnsi="Arial"/>
          <w:sz w:val="22"/>
          <w:szCs w:val="22"/>
          <w:color w:val="auto"/>
        </w:rPr>
        <w:t>stability protocols, International Council for Harmonisation (ICH) guidelines and internal procedures. Quality and control lots will be stored and monitored at the routine long term storage condition per the Specification for [* * *]. Samples will also be stored and monitored at Accelerated [* * *] condition for 6 months, and Stress [* * *] condition for [* * *] for the evaluation and identification of degradation pathways of the molecule. Stability studies performed on the quality and control lots will support the shelf life of each prototype, and confirm that the manufacturing process is suitable for commercial-scale manufacture. All testing will be conducted in a GMP Quality Control (QC) Laboratory. Any Out of Specification (OOS) or Out of Trend (OOT) results will be investigated.</w:t>
      </w:r>
    </w:p>
    <w:p>
      <w:pPr>
        <w:spacing w:after="0" w:line="80" w:lineRule="exact"/>
        <w:rPr>
          <w:rFonts w:ascii="Courier New" w:cs="Courier New" w:eastAsia="Courier New" w:hAnsi="Courier New"/>
          <w:sz w:val="22"/>
          <w:szCs w:val="22"/>
          <w:color w:val="auto"/>
        </w:rPr>
      </w:pPr>
    </w:p>
    <w:p>
      <w:pPr>
        <w:jc w:val="both"/>
        <w:ind w:left="320" w:hanging="320"/>
        <w:spacing w:after="0" w:line="306" w:lineRule="auto"/>
        <w:tabs>
          <w:tab w:leader="none" w:pos="315" w:val="left"/>
        </w:tabs>
        <w:numPr>
          <w:ilvl w:val="0"/>
          <w:numId w:val="194"/>
        </w:numPr>
        <w:rPr>
          <w:rFonts w:ascii="Courier New" w:cs="Courier New" w:eastAsia="Courier New" w:hAnsi="Courier New"/>
          <w:sz w:val="19"/>
          <w:szCs w:val="19"/>
          <w:color w:val="auto"/>
        </w:rPr>
      </w:pPr>
      <w:r>
        <w:rPr>
          <w:rFonts w:ascii="Arial" w:cs="Arial" w:eastAsia="Arial" w:hAnsi="Arial"/>
          <w:sz w:val="19"/>
          <w:szCs w:val="19"/>
          <w:b w:val="1"/>
          <w:bCs w:val="1"/>
          <w:color w:val="auto"/>
        </w:rPr>
        <w:t>DS/FDS/DP Shipping Validation</w:t>
      </w:r>
      <w:r>
        <w:rPr>
          <w:rFonts w:ascii="Arial" w:cs="Arial" w:eastAsia="Arial" w:hAnsi="Arial"/>
          <w:sz w:val="19"/>
          <w:szCs w:val="19"/>
          <w:color w:val="auto"/>
        </w:rPr>
        <w:t>: Shipping Validation by actual transport will be performed on the DS/FDS/DP</w:t>
      </w:r>
      <w:r>
        <w:rPr>
          <w:rFonts w:ascii="Arial" w:cs="Arial" w:eastAsia="Arial" w:hAnsi="Arial"/>
          <w:sz w:val="19"/>
          <w:szCs w:val="19"/>
          <w:b w:val="1"/>
          <w:bCs w:val="1"/>
          <w:color w:val="auto"/>
        </w:rPr>
        <w:t xml:space="preserve"> </w:t>
      </w:r>
      <w:r>
        <w:rPr>
          <w:rFonts w:ascii="Arial" w:cs="Arial" w:eastAsia="Arial" w:hAnsi="Arial"/>
          <w:sz w:val="19"/>
          <w:szCs w:val="19"/>
          <w:color w:val="auto"/>
        </w:rPr>
        <w:t>of each prototype to cover a distance and duration that will exceed routine shipment to the intended fill site. Successful shipping validation of intended shipping lanes is based on the ability of the container to maintain the product at a specified temperature, to preserve product quality, and meet specifications.</w:t>
      </w:r>
    </w:p>
    <w:p>
      <w:pPr>
        <w:spacing w:after="0" w:line="25" w:lineRule="exact"/>
        <w:rPr>
          <w:rFonts w:ascii="Courier New" w:cs="Courier New" w:eastAsia="Courier New" w:hAnsi="Courier New"/>
          <w:sz w:val="19"/>
          <w:szCs w:val="19"/>
          <w:color w:val="auto"/>
        </w:rPr>
      </w:pPr>
    </w:p>
    <w:p>
      <w:pPr>
        <w:jc w:val="both"/>
        <w:ind w:left="320" w:hanging="320"/>
        <w:spacing w:after="0" w:line="306" w:lineRule="auto"/>
        <w:tabs>
          <w:tab w:leader="none" w:pos="315" w:val="left"/>
        </w:tabs>
        <w:numPr>
          <w:ilvl w:val="0"/>
          <w:numId w:val="194"/>
        </w:numPr>
        <w:rPr>
          <w:rFonts w:ascii="Courier New" w:cs="Courier New" w:eastAsia="Courier New" w:hAnsi="Courier New"/>
          <w:sz w:val="19"/>
          <w:szCs w:val="19"/>
          <w:color w:val="auto"/>
        </w:rPr>
      </w:pPr>
      <w:r>
        <w:rPr>
          <w:rFonts w:ascii="Arial" w:cs="Arial" w:eastAsia="Arial" w:hAnsi="Arial"/>
          <w:sz w:val="19"/>
          <w:szCs w:val="19"/>
          <w:b w:val="1"/>
          <w:bCs w:val="1"/>
          <w:color w:val="auto"/>
        </w:rPr>
        <w:t>DS/FDS/DP Photostability Studies</w:t>
      </w:r>
      <w:r>
        <w:rPr>
          <w:rFonts w:ascii="Arial" w:cs="Arial" w:eastAsia="Arial" w:hAnsi="Arial"/>
          <w:sz w:val="19"/>
          <w:szCs w:val="19"/>
          <w:color w:val="auto"/>
        </w:rPr>
        <w:t>: To determine overall photosensitivity of DS/FDS/DP per ICH requirements,</w:t>
      </w:r>
      <w:r>
        <w:rPr>
          <w:rFonts w:ascii="Arial" w:cs="Arial" w:eastAsia="Arial" w:hAnsi="Arial"/>
          <w:sz w:val="19"/>
          <w:szCs w:val="19"/>
          <w:b w:val="1"/>
          <w:bCs w:val="1"/>
          <w:color w:val="auto"/>
        </w:rPr>
        <w:t xml:space="preserve"> </w:t>
      </w:r>
      <w:r>
        <w:rPr>
          <w:rFonts w:ascii="Arial" w:cs="Arial" w:eastAsia="Arial" w:hAnsi="Arial"/>
          <w:sz w:val="19"/>
          <w:szCs w:val="19"/>
          <w:color w:val="auto"/>
        </w:rPr>
        <w:t>a study will be performed at [* * *] under [* * *] and [* * *] light. Samples will be oriented for maximum light exposure using container closures designed for direct exposure, immediate pack/marketing pack, and a foil covered control. Testing will then be performed on [* * *] sample sets for stability indicating attributes.</w:t>
      </w:r>
    </w:p>
    <w:p>
      <w:pPr>
        <w:spacing w:after="0" w:line="25" w:lineRule="exact"/>
        <w:rPr>
          <w:rFonts w:ascii="Courier New" w:cs="Courier New" w:eastAsia="Courier New" w:hAnsi="Courier New"/>
          <w:sz w:val="19"/>
          <w:szCs w:val="19"/>
          <w:color w:val="auto"/>
        </w:rPr>
      </w:pPr>
    </w:p>
    <w:p>
      <w:pPr>
        <w:jc w:val="both"/>
        <w:ind w:left="320" w:hanging="320"/>
        <w:spacing w:after="0" w:line="294" w:lineRule="auto"/>
        <w:tabs>
          <w:tab w:leader="none" w:pos="328" w:val="left"/>
        </w:tabs>
        <w:numPr>
          <w:ilvl w:val="0"/>
          <w:numId w:val="194"/>
        </w:numPr>
        <w:rPr>
          <w:rFonts w:ascii="Courier New" w:cs="Courier New" w:eastAsia="Courier New" w:hAnsi="Courier New"/>
          <w:sz w:val="19"/>
          <w:szCs w:val="19"/>
          <w:color w:val="auto"/>
        </w:rPr>
      </w:pPr>
      <w:r>
        <w:rPr>
          <w:rFonts w:ascii="Arial" w:cs="Arial" w:eastAsia="Arial" w:hAnsi="Arial"/>
          <w:sz w:val="19"/>
          <w:szCs w:val="19"/>
          <w:b w:val="1"/>
          <w:bCs w:val="1"/>
          <w:color w:val="auto"/>
        </w:rPr>
        <w:t>QC Reference Standard Production and Stability</w:t>
      </w:r>
      <w:r>
        <w:rPr>
          <w:rFonts w:ascii="Arial" w:cs="Arial" w:eastAsia="Arial" w:hAnsi="Arial"/>
          <w:sz w:val="19"/>
          <w:szCs w:val="19"/>
          <w:color w:val="auto"/>
        </w:rPr>
        <w:t>: Reference standards for the individual DS/FDS/DP GMP</w:t>
      </w:r>
      <w:r>
        <w:rPr>
          <w:rFonts w:ascii="Arial" w:cs="Arial" w:eastAsia="Arial" w:hAnsi="Arial"/>
          <w:sz w:val="19"/>
          <w:szCs w:val="19"/>
          <w:b w:val="1"/>
          <w:bCs w:val="1"/>
          <w:color w:val="auto"/>
        </w:rPr>
        <w:t xml:space="preserve"> </w:t>
      </w:r>
      <w:r>
        <w:rPr>
          <w:rFonts w:ascii="Arial" w:cs="Arial" w:eastAsia="Arial" w:hAnsi="Arial"/>
          <w:sz w:val="19"/>
          <w:szCs w:val="19"/>
          <w:color w:val="auto"/>
        </w:rPr>
        <w:t>lots will be generated according to internal standard operating procedures. The DS/FDS/DP for each prototype will be filled as a product reference standard. The first manufactured lot (lead lot) will be sub-aliquoted into single use vials, stored and routinely monitored at [* * *] by Offeror’s Quality Control personnel. The reference standard will be qualified prior to use, according to specifications. A Certificate of Qualification (CofQ) will be issued for each individual reference standard at the time of initial qualification and following recertification testing. A stability study to monitor the critical quality attributes of each reference standard will also be conducted.</w:t>
      </w:r>
    </w:p>
    <w:p>
      <w:pPr>
        <w:spacing w:after="0" w:line="36" w:lineRule="exact"/>
        <w:rPr>
          <w:rFonts w:ascii="Courier New" w:cs="Courier New" w:eastAsia="Courier New" w:hAnsi="Courier New"/>
          <w:sz w:val="19"/>
          <w:szCs w:val="19"/>
          <w:color w:val="auto"/>
        </w:rPr>
      </w:pPr>
    </w:p>
    <w:p>
      <w:pPr>
        <w:ind w:left="320" w:hanging="320"/>
        <w:spacing w:after="0" w:line="276" w:lineRule="auto"/>
        <w:tabs>
          <w:tab w:leader="none" w:pos="382" w:val="left"/>
        </w:tabs>
        <w:numPr>
          <w:ilvl w:val="0"/>
          <w:numId w:val="194"/>
        </w:numPr>
        <w:rPr>
          <w:rFonts w:ascii="Courier New" w:cs="Courier New" w:eastAsia="Courier New" w:hAnsi="Courier New"/>
          <w:sz w:val="22"/>
          <w:szCs w:val="22"/>
          <w:color w:val="auto"/>
        </w:rPr>
      </w:pPr>
      <w:r>
        <w:rPr>
          <w:rFonts w:ascii="Arial" w:cs="Arial" w:eastAsia="Arial" w:hAnsi="Arial"/>
          <w:sz w:val="22"/>
          <w:szCs w:val="22"/>
          <w:b w:val="1"/>
          <w:bCs w:val="1"/>
          <w:color w:val="auto"/>
        </w:rPr>
        <w:t>Assay Validation</w:t>
      </w:r>
      <w:r>
        <w:rPr>
          <w:rFonts w:ascii="Arial" w:cs="Arial" w:eastAsia="Arial" w:hAnsi="Arial"/>
          <w:sz w:val="22"/>
          <w:szCs w:val="22"/>
          <w:color w:val="auto"/>
        </w:rPr>
        <w:t>: Will be performed as necessary to support any applicable EUA or other regulatory</w:t>
      </w:r>
      <w:r>
        <w:rPr>
          <w:rFonts w:ascii="Arial" w:cs="Arial" w:eastAsia="Arial" w:hAnsi="Arial"/>
          <w:sz w:val="22"/>
          <w:szCs w:val="22"/>
          <w:b w:val="1"/>
          <w:bCs w:val="1"/>
          <w:color w:val="auto"/>
        </w:rPr>
        <w:t xml:space="preserve"> </w:t>
      </w:r>
      <w:r>
        <w:rPr>
          <w:rFonts w:ascii="Arial" w:cs="Arial" w:eastAsia="Arial" w:hAnsi="Arial"/>
          <w:sz w:val="22"/>
          <w:szCs w:val="22"/>
          <w:color w:val="auto"/>
        </w:rPr>
        <w:t>requirements.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CONFIDENTIAL/PROPRIETARY</w:t>
      </w:r>
    </w:p>
    <w:p>
      <w:pPr>
        <w:sectPr>
          <w:pgSz w:w="11900" w:h="16838" w:orient="portrait"/>
          <w:cols w:equalWidth="0" w:num="1">
            <w:col w:w="10260"/>
          </w:cols>
          <w:pgMar w:left="1300" w:top="861" w:right="339" w:bottom="1440" w:gutter="0" w:footer="0" w:header="0"/>
        </w:sectPr>
      </w:pPr>
    </w:p>
    <w:bookmarkStart w:id="242" w:name="page243"/>
    <w:bookmarkEnd w:id="242"/>
    <w:p>
      <w:pPr>
        <w:ind w:left="1300" w:hanging="320"/>
        <w:spacing w:after="0" w:line="276" w:lineRule="auto"/>
        <w:tabs>
          <w:tab w:leader="none" w:pos="1295" w:val="left"/>
        </w:tabs>
        <w:numPr>
          <w:ilvl w:val="0"/>
          <w:numId w:val="195"/>
        </w:numPr>
        <w:rPr>
          <w:rFonts w:ascii="Courier New" w:cs="Courier New" w:eastAsia="Courier New" w:hAnsi="Courier New"/>
          <w:sz w:val="22"/>
          <w:szCs w:val="22"/>
          <w:color w:val="auto"/>
        </w:rPr>
      </w:pPr>
      <w:r>
        <w:rPr>
          <w:rFonts w:ascii="Arial" w:cs="Arial" w:eastAsia="Arial" w:hAnsi="Arial"/>
          <w:sz w:val="22"/>
          <w:szCs w:val="22"/>
          <w:b w:val="1"/>
          <w:bCs w:val="1"/>
          <w:color w:val="auto"/>
        </w:rPr>
        <w:t>Manufacturing</w:t>
      </w:r>
      <w:r>
        <w:rPr>
          <w:rFonts w:ascii="Arial" w:cs="Arial" w:eastAsia="Arial" w:hAnsi="Arial"/>
          <w:sz w:val="22"/>
          <w:szCs w:val="22"/>
          <w:color w:val="auto"/>
        </w:rPr>
        <w:t>: Following the completion of the activities described above, Offeror will manufacture prototypes</w:t>
      </w:r>
      <w:r>
        <w:rPr>
          <w:rFonts w:ascii="Arial" w:cs="Arial" w:eastAsia="Arial" w:hAnsi="Arial"/>
          <w:sz w:val="22"/>
          <w:szCs w:val="22"/>
          <w:b w:val="1"/>
          <w:bCs w:val="1"/>
          <w:color w:val="auto"/>
        </w:rPr>
        <w:t xml:space="preserve"> </w:t>
      </w:r>
      <w:r>
        <w:rPr>
          <w:rFonts w:ascii="Arial" w:cs="Arial" w:eastAsia="Arial" w:hAnsi="Arial"/>
          <w:sz w:val="22"/>
          <w:szCs w:val="22"/>
          <w:color w:val="auto"/>
        </w:rPr>
        <w:t>at scale in order to achieve the intended scope of the contract.</w:t>
      </w:r>
    </w:p>
    <w:p>
      <w:pPr>
        <w:spacing w:after="0" w:line="43" w:lineRule="exact"/>
        <w:rPr>
          <w:rFonts w:ascii="Courier New" w:cs="Courier New" w:eastAsia="Courier New" w:hAnsi="Courier New"/>
          <w:sz w:val="22"/>
          <w:szCs w:val="22"/>
          <w:color w:val="auto"/>
        </w:rPr>
      </w:pPr>
    </w:p>
    <w:p>
      <w:pPr>
        <w:jc w:val="both"/>
        <w:ind w:left="1300" w:hanging="320"/>
        <w:spacing w:after="0" w:line="259" w:lineRule="auto"/>
        <w:tabs>
          <w:tab w:leader="none" w:pos="1308" w:val="left"/>
        </w:tabs>
        <w:numPr>
          <w:ilvl w:val="0"/>
          <w:numId w:val="195"/>
        </w:numPr>
        <w:rPr>
          <w:rFonts w:ascii="Courier New" w:cs="Courier New" w:eastAsia="Courier New" w:hAnsi="Courier New"/>
          <w:sz w:val="22"/>
          <w:szCs w:val="22"/>
          <w:color w:val="auto"/>
        </w:rPr>
      </w:pPr>
      <w:r>
        <w:rPr>
          <w:rFonts w:ascii="Arial" w:cs="Arial" w:eastAsia="Arial" w:hAnsi="Arial"/>
          <w:sz w:val="22"/>
          <w:szCs w:val="22"/>
          <w:b w:val="1"/>
          <w:bCs w:val="1"/>
          <w:color w:val="auto"/>
        </w:rPr>
        <w:t>Label/Pack</w:t>
      </w:r>
      <w:r>
        <w:rPr>
          <w:rFonts w:ascii="Arial" w:cs="Arial" w:eastAsia="Arial" w:hAnsi="Arial"/>
          <w:sz w:val="22"/>
          <w:szCs w:val="22"/>
          <w:color w:val="auto"/>
        </w:rPr>
        <w:t>: Labeling and packaging of investigational product for clinical studies or for use under an EUA or</w:t>
      </w:r>
      <w:r>
        <w:rPr>
          <w:rFonts w:ascii="Arial" w:cs="Arial" w:eastAsia="Arial" w:hAnsi="Arial"/>
          <w:sz w:val="22"/>
          <w:szCs w:val="22"/>
          <w:b w:val="1"/>
          <w:bCs w:val="1"/>
          <w:color w:val="auto"/>
        </w:rPr>
        <w:t xml:space="preserve"> </w:t>
      </w:r>
      <w:r>
        <w:rPr>
          <w:rFonts w:ascii="Arial" w:cs="Arial" w:eastAsia="Arial" w:hAnsi="Arial"/>
          <w:sz w:val="22"/>
          <w:szCs w:val="22"/>
          <w:color w:val="auto"/>
        </w:rPr>
        <w:t>approval, will be completed at a GMP contract manufacturing organization managed by Offeror’s External Manufacturing group.</w:t>
      </w:r>
    </w:p>
    <w:p>
      <w:pPr>
        <w:spacing w:after="0" w:line="64" w:lineRule="exact"/>
        <w:rPr>
          <w:rFonts w:ascii="Courier New" w:cs="Courier New" w:eastAsia="Courier New" w:hAnsi="Courier New"/>
          <w:sz w:val="22"/>
          <w:szCs w:val="22"/>
          <w:color w:val="auto"/>
        </w:rPr>
      </w:pPr>
    </w:p>
    <w:p>
      <w:pPr>
        <w:jc w:val="both"/>
        <w:ind w:left="1300" w:hanging="320"/>
        <w:spacing w:after="0" w:line="266" w:lineRule="auto"/>
        <w:tabs>
          <w:tab w:leader="none" w:pos="1349" w:val="left"/>
        </w:tabs>
        <w:numPr>
          <w:ilvl w:val="0"/>
          <w:numId w:val="195"/>
        </w:numPr>
        <w:rPr>
          <w:rFonts w:ascii="Courier New" w:cs="Courier New" w:eastAsia="Courier New" w:hAnsi="Courier New"/>
          <w:sz w:val="21"/>
          <w:szCs w:val="21"/>
          <w:color w:val="auto"/>
        </w:rPr>
      </w:pPr>
      <w:r>
        <w:rPr>
          <w:rFonts w:ascii="Arial" w:cs="Arial" w:eastAsia="Arial" w:hAnsi="Arial"/>
          <w:sz w:val="21"/>
          <w:szCs w:val="21"/>
          <w:b w:val="1"/>
          <w:bCs w:val="1"/>
          <w:color w:val="auto"/>
        </w:rPr>
        <w:t xml:space="preserve">Storage </w:t>
      </w:r>
      <w:r>
        <w:rPr>
          <w:rFonts w:ascii="Arial" w:cs="Arial" w:eastAsia="Arial" w:hAnsi="Arial"/>
          <w:sz w:val="21"/>
          <w:szCs w:val="21"/>
          <w:b w:val="1"/>
          <w:bCs w:val="1"/>
          <w:i w:val="1"/>
          <w:iCs w:val="1"/>
          <w:color w:val="auto"/>
        </w:rPr>
        <w:t>and Distribution</w:t>
      </w:r>
      <w:r>
        <w:rPr>
          <w:rFonts w:ascii="Arial" w:cs="Arial" w:eastAsia="Arial" w:hAnsi="Arial"/>
          <w:sz w:val="21"/>
          <w:szCs w:val="21"/>
          <w:color w:val="auto"/>
        </w:rPr>
        <w:t>: Packaged and labeled material storage will be managed by Offeror’s External</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Manufacturing group </w:t>
      </w:r>
      <w:r>
        <w:rPr>
          <w:rFonts w:ascii="Arial" w:cs="Arial" w:eastAsia="Arial" w:hAnsi="Arial"/>
          <w:sz w:val="21"/>
          <w:szCs w:val="21"/>
          <w:b w:val="1"/>
          <w:bCs w:val="1"/>
          <w:i w:val="1"/>
          <w:iCs w:val="1"/>
          <w:color w:val="auto"/>
        </w:rPr>
        <w:t>and, if an EUA is granted, the Distributor will store and distribute the product at the</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direction of the Government (i.e., the Government will direct the Distributor as to where the product is to be distributed and in what quantities, and Regeneron will not be responsible for, or involved in, such direction). The process and obligations are illustrated in Figure 1 below</w:t>
      </w:r>
      <w:r>
        <w:rPr>
          <w:rFonts w:ascii="Arial" w:cs="Arial" w:eastAsia="Arial" w:hAnsi="Arial"/>
          <w:sz w:val="21"/>
          <w:szCs w:val="21"/>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Figure 1 – Distribution Process: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247"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19"/>
          <w:szCs w:val="19"/>
          <w:b w:val="1"/>
          <w:bCs w:val="1"/>
          <w:color w:val="auto"/>
        </w:rPr>
        <w:t>Management and Reporting</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3.2.1</w:t>
      </w:r>
      <w:r>
        <w:rPr>
          <w:sz w:val="20"/>
          <w:szCs w:val="20"/>
          <w:color w:val="auto"/>
        </w:rPr>
        <w:tab/>
      </w:r>
      <w:r>
        <w:rPr>
          <w:rFonts w:ascii="Arial" w:cs="Arial" w:eastAsia="Arial" w:hAnsi="Arial"/>
          <w:sz w:val="19"/>
          <w:szCs w:val="19"/>
          <w:b w:val="1"/>
          <w:bCs w:val="1"/>
          <w:color w:val="auto"/>
        </w:rPr>
        <w:t>Program Management</w:t>
      </w:r>
    </w:p>
    <w:p>
      <w:pPr>
        <w:spacing w:after="0" w:line="253"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Below are the individuals currently assigned to key roles on the project team. Regeneron reserves the right to make personnel changes which will be communicated accordingly.</w:t>
      </w:r>
    </w:p>
    <w:p>
      <w:pPr>
        <w:spacing w:after="0" w:line="202" w:lineRule="exact"/>
        <w:rPr>
          <w:sz w:val="20"/>
          <w:szCs w:val="20"/>
          <w:color w:val="auto"/>
        </w:rPr>
      </w:pPr>
    </w:p>
    <w:p>
      <w:pPr>
        <w:jc w:val="both"/>
        <w:ind w:left="980" w:right="20" w:hanging="324"/>
        <w:spacing w:after="0" w:line="253" w:lineRule="auto"/>
        <w:tabs>
          <w:tab w:leader="none" w:pos="968" w:val="left"/>
        </w:tabs>
        <w:numPr>
          <w:ilvl w:val="0"/>
          <w:numId w:val="196"/>
        </w:numPr>
        <w:rPr>
          <w:rFonts w:ascii="Arial" w:cs="Arial" w:eastAsia="Arial" w:hAnsi="Arial"/>
          <w:sz w:val="22"/>
          <w:szCs w:val="22"/>
          <w:color w:val="auto"/>
        </w:rPr>
      </w:pPr>
      <w:r>
        <w:rPr>
          <w:rFonts w:ascii="Arial" w:cs="Arial" w:eastAsia="Arial" w:hAnsi="Arial"/>
          <w:sz w:val="22"/>
          <w:szCs w:val="22"/>
          <w:color w:val="auto"/>
        </w:rPr>
        <w:t>Regeneron will manage, integrate and coordinate all activities, including utilizing Regeneron’s state-of-the-art technical and administrative infrastructure to ensure efficient planning, initiation, implementation and direction of contracted activities.</w:t>
      </w:r>
    </w:p>
    <w:p>
      <w:pPr>
        <w:spacing w:after="0" w:line="63" w:lineRule="exact"/>
        <w:rPr>
          <w:rFonts w:ascii="Arial" w:cs="Arial" w:eastAsia="Arial" w:hAnsi="Arial"/>
          <w:sz w:val="22"/>
          <w:szCs w:val="22"/>
          <w:color w:val="auto"/>
        </w:rPr>
      </w:pPr>
    </w:p>
    <w:p>
      <w:pPr>
        <w:ind w:left="980" w:hanging="324"/>
        <w:spacing w:after="0"/>
        <w:tabs>
          <w:tab w:leader="none" w:pos="98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The [* * *], is responsible for guiding the project approach and scope of this Program.</w:t>
      </w:r>
    </w:p>
    <w:p>
      <w:pPr>
        <w:spacing w:after="0" w:line="233" w:lineRule="exact"/>
        <w:rPr>
          <w:rFonts w:ascii="Arial" w:cs="Arial" w:eastAsia="Arial" w:hAnsi="Arial"/>
          <w:sz w:val="22"/>
          <w:szCs w:val="22"/>
          <w:color w:val="auto"/>
        </w:rPr>
      </w:pPr>
    </w:p>
    <w:p>
      <w:pPr>
        <w:jc w:val="both"/>
        <w:ind w:left="980" w:hanging="324"/>
        <w:spacing w:after="0"/>
        <w:tabs>
          <w:tab w:leader="none" w:pos="968" w:val="left"/>
        </w:tabs>
        <w:numPr>
          <w:ilvl w:val="0"/>
          <w:numId w:val="196"/>
        </w:numPr>
        <w:rPr>
          <w:rFonts w:ascii="Arial" w:cs="Arial" w:eastAsia="Arial" w:hAnsi="Arial"/>
          <w:sz w:val="22"/>
          <w:szCs w:val="22"/>
          <w:color w:val="auto"/>
        </w:rPr>
      </w:pPr>
      <w:r>
        <w:rPr>
          <w:rFonts w:ascii="Arial" w:cs="Arial" w:eastAsia="Arial" w:hAnsi="Arial"/>
          <w:sz w:val="22"/>
          <w:szCs w:val="22"/>
          <w:color w:val="auto"/>
        </w:rPr>
        <w:t>[* * *], will serve as Lead PI for this Program. The PI will be responsible for project management, communication, tracking, monitoring and reporting on status and progress, and modification to the project requirements and timelines, including any projects undertaken by subcontractors.</w:t>
      </w:r>
    </w:p>
    <w:p>
      <w:pPr>
        <w:spacing w:after="0" w:line="213" w:lineRule="exact"/>
        <w:rPr>
          <w:rFonts w:ascii="Arial" w:cs="Arial" w:eastAsia="Arial" w:hAnsi="Arial"/>
          <w:sz w:val="22"/>
          <w:szCs w:val="22"/>
          <w:color w:val="auto"/>
        </w:rPr>
      </w:pPr>
    </w:p>
    <w:p>
      <w:pPr>
        <w:jc w:val="both"/>
        <w:ind w:left="980" w:hanging="324"/>
        <w:spacing w:after="0"/>
        <w:tabs>
          <w:tab w:leader="none" w:pos="98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A [* * *], will be responsible for monitoring and tracking day-to-day progress and timelines, coordinating communication and project activities, costs incurred, and program management for this Program. The contract deliverables list identifies all contract deliverables and reporting requirements for this contract.</w:t>
      </w:r>
    </w:p>
    <w:p>
      <w:pPr>
        <w:spacing w:after="0" w:line="213" w:lineRule="exact"/>
        <w:rPr>
          <w:rFonts w:ascii="Arial" w:cs="Arial" w:eastAsia="Arial" w:hAnsi="Arial"/>
          <w:sz w:val="22"/>
          <w:szCs w:val="22"/>
          <w:color w:val="auto"/>
        </w:rPr>
      </w:pPr>
    </w:p>
    <w:p>
      <w:pPr>
        <w:ind w:left="960" w:hanging="304"/>
        <w:spacing w:after="0"/>
        <w:tabs>
          <w:tab w:leader="none" w:pos="96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 * *], will provide development of compliant subcontracts, consulting, and other legal agreements.</w:t>
      </w:r>
    </w:p>
    <w:p>
      <w:pPr>
        <w:spacing w:after="0" w:line="246" w:lineRule="exact"/>
        <w:rPr>
          <w:rFonts w:ascii="Arial" w:cs="Arial" w:eastAsia="Arial" w:hAnsi="Arial"/>
          <w:sz w:val="22"/>
          <w:szCs w:val="22"/>
          <w:color w:val="auto"/>
        </w:rPr>
      </w:pPr>
    </w:p>
    <w:p>
      <w:pPr>
        <w:ind w:left="980" w:hanging="324"/>
        <w:spacing w:after="0" w:line="250" w:lineRule="auto"/>
        <w:tabs>
          <w:tab w:leader="none" w:pos="971" w:val="left"/>
        </w:tabs>
        <w:numPr>
          <w:ilvl w:val="0"/>
          <w:numId w:val="196"/>
        </w:numPr>
        <w:rPr>
          <w:rFonts w:ascii="Arial" w:cs="Arial" w:eastAsia="Arial" w:hAnsi="Arial"/>
          <w:sz w:val="22"/>
          <w:szCs w:val="22"/>
          <w:color w:val="auto"/>
        </w:rPr>
      </w:pPr>
      <w:r>
        <w:rPr>
          <w:rFonts w:ascii="Arial" w:cs="Arial" w:eastAsia="Arial" w:hAnsi="Arial"/>
          <w:sz w:val="22"/>
          <w:szCs w:val="22"/>
          <w:color w:val="auto"/>
        </w:rPr>
        <w:t>[* * *], will be responsible for financial management and reporting on all activities conducted by Regeneron and any subcontractors.</w:t>
      </w:r>
    </w:p>
    <w:p>
      <w:pPr>
        <w:spacing w:after="0" w:line="201" w:lineRule="exact"/>
        <w:rPr>
          <w:rFonts w:ascii="Arial" w:cs="Arial" w:eastAsia="Arial" w:hAnsi="Arial"/>
          <w:sz w:val="22"/>
          <w:szCs w:val="22"/>
          <w:color w:val="auto"/>
        </w:rPr>
      </w:pPr>
    </w:p>
    <w:p>
      <w:pPr>
        <w:ind w:left="980" w:hanging="324"/>
        <w:spacing w:after="0" w:line="250" w:lineRule="auto"/>
        <w:tabs>
          <w:tab w:leader="none" w:pos="98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A [* * *], will be responsible for facilitating the development of integrated CMC plans and for monitoring and tracking the progress of the CMC milestones.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CONFIDENTIAL/PROPRIETARY</w:t>
      </w:r>
    </w:p>
    <w:p>
      <w:pPr>
        <w:sectPr>
          <w:pgSz w:w="11900" w:h="16838" w:orient="portrait"/>
          <w:cols w:equalWidth="0" w:num="1">
            <w:col w:w="11240"/>
          </w:cols>
          <w:pgMar w:left="320" w:top="855" w:right="339" w:bottom="1440" w:gutter="0" w:footer="0" w:header="0"/>
        </w:sectPr>
      </w:pPr>
    </w:p>
    <w:bookmarkStart w:id="243" w:name="page244"/>
    <w:bookmarkEnd w:id="243"/>
    <w:p>
      <w:pPr>
        <w:ind w:left="980" w:hanging="324"/>
        <w:spacing w:after="0" w:line="250" w:lineRule="auto"/>
        <w:tabs>
          <w:tab w:leader="none" w:pos="98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A [* * *], will be responsible for management of batch disposition, oversight of discrepancy investigations, and to ensure all released product conforms to GMP standards.</w:t>
      </w:r>
    </w:p>
    <w:p>
      <w:pPr>
        <w:spacing w:after="0" w:line="201" w:lineRule="exact"/>
        <w:rPr>
          <w:rFonts w:ascii="Arial" w:cs="Arial" w:eastAsia="Arial" w:hAnsi="Arial"/>
          <w:sz w:val="22"/>
          <w:szCs w:val="22"/>
          <w:color w:val="auto"/>
        </w:rPr>
      </w:pPr>
    </w:p>
    <w:p>
      <w:pPr>
        <w:ind w:left="980" w:hanging="324"/>
        <w:spacing w:after="0"/>
        <w:tabs>
          <w:tab w:leader="none" w:pos="980" w:val="left"/>
        </w:tabs>
        <w:numPr>
          <w:ilvl w:val="0"/>
          <w:numId w:val="197"/>
        </w:numPr>
        <w:rPr>
          <w:rFonts w:ascii="Arial" w:cs="Arial" w:eastAsia="Arial" w:hAnsi="Arial"/>
          <w:sz w:val="19"/>
          <w:szCs w:val="19"/>
          <w:color w:val="auto"/>
        </w:rPr>
      </w:pPr>
      <w:r>
        <w:rPr>
          <w:rFonts w:ascii="Arial" w:cs="Arial" w:eastAsia="Arial" w:hAnsi="Arial"/>
          <w:sz w:val="19"/>
          <w:szCs w:val="19"/>
          <w:color w:val="auto"/>
        </w:rPr>
        <w:t>A [* * *], will be responsible for analytical method development, method transfer and specification development.</w:t>
      </w:r>
    </w:p>
    <w:p>
      <w:pPr>
        <w:spacing w:after="0" w:line="267" w:lineRule="exact"/>
        <w:rPr>
          <w:rFonts w:ascii="Arial" w:cs="Arial" w:eastAsia="Arial" w:hAnsi="Arial"/>
          <w:sz w:val="19"/>
          <w:szCs w:val="19"/>
          <w:color w:val="auto"/>
        </w:rPr>
      </w:pPr>
    </w:p>
    <w:p>
      <w:pPr>
        <w:jc w:val="both"/>
        <w:ind w:left="980" w:hanging="324"/>
        <w:spacing w:after="0" w:line="238" w:lineRule="auto"/>
        <w:tabs>
          <w:tab w:leader="none" w:pos="972" w:val="left"/>
        </w:tabs>
        <w:numPr>
          <w:ilvl w:val="0"/>
          <w:numId w:val="197"/>
        </w:numPr>
        <w:rPr>
          <w:rFonts w:ascii="Arial" w:cs="Arial" w:eastAsia="Arial" w:hAnsi="Arial"/>
          <w:sz w:val="22"/>
          <w:szCs w:val="22"/>
          <w:color w:val="auto"/>
        </w:rPr>
      </w:pPr>
      <w:r>
        <w:rPr>
          <w:rFonts w:ascii="Arial" w:cs="Arial" w:eastAsia="Arial" w:hAnsi="Arial"/>
          <w:sz w:val="22"/>
          <w:szCs w:val="22"/>
          <w:color w:val="auto"/>
        </w:rPr>
        <w:t>A [* * *], will be responsible for ensuring Regeneron quality, preclinical, and clinical drug development programs are conducted in compliance with regulations governing pharmaceutical drug development, and with project specific regulatory commitments/requirements ,and will serve as the liaison for communications with the US Food and Drug Administration.</w:t>
      </w:r>
    </w:p>
    <w:p>
      <w:pPr>
        <w:spacing w:after="0" w:line="225" w:lineRule="exact"/>
        <w:rPr>
          <w:rFonts w:ascii="Arial" w:cs="Arial" w:eastAsia="Arial" w:hAnsi="Arial"/>
          <w:sz w:val="22"/>
          <w:szCs w:val="22"/>
          <w:color w:val="auto"/>
        </w:rPr>
      </w:pPr>
    </w:p>
    <w:p>
      <w:pPr>
        <w:ind w:left="980" w:right="20" w:hanging="324"/>
        <w:spacing w:after="0" w:line="250" w:lineRule="auto"/>
        <w:tabs>
          <w:tab w:leader="none" w:pos="98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Regeneron shall provide Quarterly Progress Reports, which shall include a description of the activities during the reporting period and the activities planned for the ensuing reporting period.</w:t>
      </w:r>
    </w:p>
    <w:p>
      <w:pPr>
        <w:spacing w:after="0" w:line="201" w:lineRule="exact"/>
        <w:rPr>
          <w:rFonts w:ascii="Arial" w:cs="Arial" w:eastAsia="Arial" w:hAnsi="Arial"/>
          <w:sz w:val="22"/>
          <w:szCs w:val="22"/>
          <w:color w:val="auto"/>
        </w:rPr>
      </w:pPr>
    </w:p>
    <w:p>
      <w:pPr>
        <w:ind w:left="980" w:hanging="324"/>
        <w:spacing w:after="0" w:line="250" w:lineRule="auto"/>
        <w:tabs>
          <w:tab w:leader="none" w:pos="972" w:val="left"/>
        </w:tabs>
        <w:numPr>
          <w:ilvl w:val="0"/>
          <w:numId w:val="197"/>
        </w:numPr>
        <w:rPr>
          <w:rFonts w:ascii="Arial" w:cs="Arial" w:eastAsia="Arial" w:hAnsi="Arial"/>
          <w:sz w:val="22"/>
          <w:szCs w:val="22"/>
          <w:color w:val="auto"/>
        </w:rPr>
      </w:pPr>
      <w:r>
        <w:rPr>
          <w:rFonts w:ascii="Arial" w:cs="Arial" w:eastAsia="Arial" w:hAnsi="Arial"/>
          <w:sz w:val="22"/>
          <w:szCs w:val="22"/>
          <w:color w:val="auto"/>
        </w:rPr>
        <w:t>Regeneron shall provide Annual Progress Reports, which shall include a summation of the activities during the reporting period, and the activities planned for the ensuing reporting period.</w:t>
      </w:r>
    </w:p>
    <w:p>
      <w:pPr>
        <w:spacing w:after="0" w:line="201" w:lineRule="exact"/>
        <w:rPr>
          <w:rFonts w:ascii="Arial" w:cs="Arial" w:eastAsia="Arial" w:hAnsi="Arial"/>
          <w:sz w:val="22"/>
          <w:szCs w:val="22"/>
          <w:color w:val="auto"/>
        </w:rPr>
      </w:pPr>
    </w:p>
    <w:p>
      <w:pPr>
        <w:jc w:val="both"/>
        <w:ind w:left="980" w:hanging="324"/>
        <w:spacing w:after="0"/>
        <w:tabs>
          <w:tab w:leader="none" w:pos="972" w:val="left"/>
        </w:tabs>
        <w:numPr>
          <w:ilvl w:val="0"/>
          <w:numId w:val="197"/>
        </w:numPr>
        <w:rPr>
          <w:rFonts w:ascii="Arial" w:cs="Arial" w:eastAsia="Arial" w:hAnsi="Arial"/>
          <w:sz w:val="22"/>
          <w:szCs w:val="22"/>
          <w:color w:val="auto"/>
        </w:rPr>
      </w:pPr>
      <w:r>
        <w:rPr>
          <w:rFonts w:ascii="Arial" w:cs="Arial" w:eastAsia="Arial" w:hAnsi="Arial"/>
          <w:sz w:val="22"/>
          <w:szCs w:val="22"/>
          <w:color w:val="auto"/>
        </w:rPr>
        <w:t>Regeneron shall provide Draft and Final Reports, which shall include a summation of the work performed and results obtained for execution of various studies or technical work packages during the entire contract period of performance. This report shall describe the results achieved.</w:t>
      </w:r>
    </w:p>
    <w:p>
      <w:pPr>
        <w:spacing w:after="0" w:line="213" w:lineRule="exact"/>
        <w:rPr>
          <w:rFonts w:ascii="Arial" w:cs="Arial" w:eastAsia="Arial" w:hAnsi="Arial"/>
          <w:sz w:val="22"/>
          <w:szCs w:val="22"/>
          <w:color w:val="auto"/>
        </w:rPr>
      </w:pPr>
    </w:p>
    <w:p>
      <w:pPr>
        <w:jc w:val="both"/>
        <w:ind w:left="980" w:hanging="324"/>
        <w:spacing w:after="0" w:line="273" w:lineRule="auto"/>
        <w:tabs>
          <w:tab w:leader="none" w:pos="980" w:val="left"/>
        </w:tabs>
        <w:numPr>
          <w:ilvl w:val="0"/>
          <w:numId w:val="197"/>
        </w:numPr>
        <w:rPr>
          <w:rFonts w:ascii="Arial" w:cs="Arial" w:eastAsia="Arial" w:hAnsi="Arial"/>
          <w:sz w:val="19"/>
          <w:szCs w:val="19"/>
          <w:color w:val="auto"/>
        </w:rPr>
      </w:pPr>
      <w:r>
        <w:rPr>
          <w:rFonts w:ascii="Arial" w:cs="Arial" w:eastAsia="Arial" w:hAnsi="Arial"/>
          <w:sz w:val="19"/>
          <w:szCs w:val="19"/>
          <w:color w:val="auto"/>
        </w:rPr>
        <w:t>Regeneron shall participate in regular meetings to coordinate and oversee the contract effort, as directed by a single point of contact established by the Government. Such meetings may include, but are not limited to, meetings of Regeneron and subcontractors to discuss clinical manufacturing progress, product development, scale-up manufacturing development, preclinical/clinical study designs and regulatory issues, meetings with individual contractors and other Health and Human Services (HHS) officials to discuss the technical, regulatory, and ethical aspects of the program, and meetings with technical consultants to discuss technical data provided by Regeneron. Regeneron shall also consult with the Government as required in connection with meetings and submissions to regulatory agencies, including the FDA. The Government will establish a single point of contact for regular meetings and coordinate all requests for information through such point of contact, such that Regeneron shall not be required to attend multiple meetings with different Government agencies for the same (or similar) subject matter, or respond to multiple requests for information or materials concerning the same (or similar) subject matter.</w:t>
      </w:r>
    </w:p>
    <w:p>
      <w:pPr>
        <w:spacing w:after="0" w:line="182" w:lineRule="exact"/>
        <w:rPr>
          <w:rFonts w:ascii="Arial" w:cs="Arial" w:eastAsia="Arial" w:hAnsi="Arial"/>
          <w:sz w:val="19"/>
          <w:szCs w:val="19"/>
          <w:color w:val="auto"/>
        </w:rPr>
      </w:pPr>
    </w:p>
    <w:p>
      <w:pPr>
        <w:ind w:left="980" w:right="20" w:hanging="324"/>
        <w:spacing w:after="0" w:line="250" w:lineRule="auto"/>
        <w:tabs>
          <w:tab w:leader="none" w:pos="98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 xml:space="preserve">Regeneron shall participate in teleconferences at an agreed upon frequency between Regeneron and </w:t>
      </w:r>
      <w:r>
        <w:rPr>
          <w:rFonts w:ascii="Arial" w:cs="Arial" w:eastAsia="Arial" w:hAnsi="Arial"/>
          <w:sz w:val="22"/>
          <w:szCs w:val="22"/>
          <w:b w:val="1"/>
          <w:bCs w:val="1"/>
          <w:i w:val="1"/>
          <w:iCs w:val="1"/>
          <w:color w:val="auto"/>
        </w:rPr>
        <w:t>the Government</w:t>
      </w:r>
      <w:r>
        <w:rPr>
          <w:rFonts w:ascii="Arial" w:cs="Arial" w:eastAsia="Arial" w:hAnsi="Arial"/>
          <w:sz w:val="22"/>
          <w:szCs w:val="22"/>
          <w:color w:val="auto"/>
        </w:rPr>
        <w:t xml:space="preserve"> to review technical progress.</w:t>
      </w:r>
    </w:p>
    <w:p>
      <w:pPr>
        <w:spacing w:after="0" w:line="20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3.2.2</w:t>
      </w:r>
      <w:r>
        <w:rPr>
          <w:sz w:val="20"/>
          <w:szCs w:val="20"/>
          <w:color w:val="auto"/>
        </w:rPr>
        <w:tab/>
      </w:r>
      <w:r>
        <w:rPr>
          <w:rFonts w:ascii="Arial" w:cs="Arial" w:eastAsia="Arial" w:hAnsi="Arial"/>
          <w:sz w:val="19"/>
          <w:szCs w:val="19"/>
          <w:b w:val="1"/>
          <w:bCs w:val="1"/>
          <w:color w:val="auto"/>
        </w:rPr>
        <w:t>Integrated Master Schedule (IMS)</w:t>
      </w:r>
    </w:p>
    <w:p>
      <w:pPr>
        <w:spacing w:after="0" w:line="27" w:lineRule="exact"/>
        <w:rPr>
          <w:sz w:val="20"/>
          <w:szCs w:val="20"/>
          <w:color w:val="auto"/>
        </w:rPr>
      </w:pPr>
    </w:p>
    <w:p>
      <w:pPr>
        <w:jc w:val="both"/>
        <w:ind w:left="660"/>
        <w:spacing w:after="0" w:line="259" w:lineRule="auto"/>
        <w:rPr>
          <w:sz w:val="20"/>
          <w:szCs w:val="20"/>
          <w:color w:val="auto"/>
        </w:rPr>
      </w:pPr>
      <w:r>
        <w:rPr>
          <w:rFonts w:ascii="Arial" w:cs="Arial" w:eastAsia="Arial" w:hAnsi="Arial"/>
          <w:sz w:val="21"/>
          <w:szCs w:val="21"/>
          <w:color w:val="auto"/>
        </w:rPr>
        <w:t>Regeneron will provide an Integrated Master Schedule within [* * *] of the award, and shall update such schedule to reflect any material changes. Within an agreed upon timeframe of the effective date of the contract, Regeneron will make any agreed upon changes between Regeneron and Agreements Officer and/or Project Officer at the Government. The IMS shall be incorporated into the contract and will be used to monitor</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CONFIDENTIAL/PROPRIETARY</w:t>
      </w:r>
    </w:p>
    <w:p>
      <w:pPr>
        <w:sectPr>
          <w:pgSz w:w="11900" w:h="16838" w:orient="portrait"/>
          <w:cols w:equalWidth="0" w:num="1">
            <w:col w:w="11240"/>
          </w:cols>
          <w:pgMar w:left="320" w:top="847" w:right="339" w:bottom="1440" w:gutter="0" w:footer="0" w:header="0"/>
        </w:sectPr>
      </w:pPr>
    </w:p>
    <w:bookmarkStart w:id="244" w:name="page245"/>
    <w:bookmarkEnd w:id="244"/>
    <w:p>
      <w:pPr>
        <w:jc w:val="both"/>
        <w:ind w:left="660" w:right="20"/>
        <w:spacing w:after="0" w:line="287" w:lineRule="auto"/>
        <w:rPr>
          <w:sz w:val="20"/>
          <w:szCs w:val="20"/>
          <w:color w:val="auto"/>
        </w:rPr>
      </w:pPr>
      <w:r>
        <w:rPr>
          <w:rFonts w:ascii="Arial" w:cs="Arial" w:eastAsia="Arial" w:hAnsi="Arial"/>
          <w:sz w:val="21"/>
          <w:szCs w:val="21"/>
          <w:color w:val="auto"/>
        </w:rPr>
        <w:t>performance of the contract. Regeneron shall include the key milestones and Go/No-Go decision gates. The IMS for the period of performance will be accepted by the Government [* * *] of the Government’s receipt of such IMS.</w:t>
      </w:r>
    </w:p>
    <w:p>
      <w:pPr>
        <w:spacing w:after="0" w:line="17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3.2.3</w:t>
      </w:r>
      <w:r>
        <w:rPr>
          <w:sz w:val="20"/>
          <w:szCs w:val="20"/>
          <w:color w:val="auto"/>
        </w:rPr>
        <w:tab/>
      </w:r>
      <w:r>
        <w:rPr>
          <w:rFonts w:ascii="Arial" w:cs="Arial" w:eastAsia="Arial" w:hAnsi="Arial"/>
          <w:sz w:val="19"/>
          <w:szCs w:val="19"/>
          <w:b w:val="1"/>
          <w:bCs w:val="1"/>
          <w:color w:val="auto"/>
        </w:rPr>
        <w:t>Reporting</w:t>
      </w:r>
    </w:p>
    <w:p>
      <w:pPr>
        <w:spacing w:after="0" w:line="27" w:lineRule="exact"/>
        <w:rPr>
          <w:sz w:val="20"/>
          <w:szCs w:val="20"/>
          <w:color w:val="auto"/>
        </w:rPr>
      </w:pPr>
    </w:p>
    <w:p>
      <w:pPr>
        <w:jc w:val="both"/>
        <w:ind w:left="660"/>
        <w:spacing w:after="0" w:line="292" w:lineRule="auto"/>
        <w:rPr>
          <w:sz w:val="20"/>
          <w:szCs w:val="20"/>
          <w:color w:val="auto"/>
        </w:rPr>
      </w:pPr>
      <w:r>
        <w:rPr>
          <w:rFonts w:ascii="Arial" w:cs="Arial" w:eastAsia="Arial" w:hAnsi="Arial"/>
          <w:sz w:val="19"/>
          <w:szCs w:val="19"/>
          <w:color w:val="auto"/>
        </w:rPr>
        <w:t>On completion of a stage of the product development, as defined in the agreed upon IMS and Integrated Master Plan, Regeneron shall prepare and submit to the Project Officer and the Agreements Officer, reports from time to time that contain (i) reasonable detail, documentation and analysis to support successful completion of the stage according to the predetermined qualitative and quantitative criteria, and (ii) a description of the next stage of product development to be initiated, and a request for approval to proceed to the next stage of product development.</w:t>
      </w:r>
    </w:p>
    <w:p>
      <w:pPr>
        <w:spacing w:after="0" w:line="17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3.2.4</w:t>
      </w:r>
      <w:r>
        <w:rPr>
          <w:sz w:val="20"/>
          <w:szCs w:val="20"/>
          <w:color w:val="auto"/>
        </w:rPr>
        <w:tab/>
      </w:r>
      <w:r>
        <w:rPr>
          <w:rFonts w:ascii="Arial" w:cs="Arial" w:eastAsia="Arial" w:hAnsi="Arial"/>
          <w:sz w:val="19"/>
          <w:szCs w:val="19"/>
          <w:b w:val="1"/>
          <w:bCs w:val="1"/>
          <w:color w:val="auto"/>
        </w:rPr>
        <w:t>Data Management</w:t>
      </w:r>
    </w:p>
    <w:p>
      <w:pPr>
        <w:spacing w:after="0" w:line="27" w:lineRule="exact"/>
        <w:rPr>
          <w:sz w:val="20"/>
          <w:szCs w:val="20"/>
          <w:color w:val="auto"/>
        </w:rPr>
      </w:pPr>
    </w:p>
    <w:p>
      <w:pPr>
        <w:jc w:val="both"/>
        <w:ind w:left="660"/>
        <w:spacing w:after="0" w:line="245" w:lineRule="auto"/>
        <w:rPr>
          <w:sz w:val="20"/>
          <w:szCs w:val="20"/>
          <w:color w:val="auto"/>
        </w:rPr>
      </w:pPr>
      <w:r>
        <w:rPr>
          <w:rFonts w:ascii="Arial" w:cs="Arial" w:eastAsia="Arial" w:hAnsi="Arial"/>
          <w:sz w:val="22"/>
          <w:szCs w:val="22"/>
          <w:color w:val="auto"/>
        </w:rPr>
        <w:t>Regeneron will utilize existing systems to implement data management and quality control systems/procedures, including transmission, storage, confidentiality, and retrieval of contract data. Provide analysis of data generated with contract funding to the Project Officer or Agreements Officer, upon request.</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3.2.5</w:t>
      </w:r>
      <w:r>
        <w:rPr>
          <w:sz w:val="20"/>
          <w:szCs w:val="20"/>
          <w:color w:val="auto"/>
        </w:rPr>
        <w:tab/>
      </w:r>
      <w:r>
        <w:rPr>
          <w:rFonts w:ascii="Arial" w:cs="Arial" w:eastAsia="Arial" w:hAnsi="Arial"/>
          <w:sz w:val="19"/>
          <w:szCs w:val="19"/>
          <w:b w:val="1"/>
          <w:bCs w:val="1"/>
          <w:color w:val="auto"/>
        </w:rPr>
        <w:t>Technical and Financial Reporting</w:t>
      </w:r>
    </w:p>
    <w:p>
      <w:pPr>
        <w:spacing w:after="0" w:line="253"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22"/>
          <w:szCs w:val="22"/>
          <w:color w:val="auto"/>
        </w:rPr>
        <w:t>Technical Reports are described in Section 3.3.1 k., l. and m. They are also listed in the milestone schedule and deliverables table in Section 5 of this Statement of Work.</w:t>
      </w:r>
    </w:p>
    <w:p>
      <w:pPr>
        <w:spacing w:after="0" w:line="202" w:lineRule="exact"/>
        <w:rPr>
          <w:sz w:val="20"/>
          <w:szCs w:val="20"/>
          <w:color w:val="auto"/>
        </w:rPr>
      </w:pPr>
    </w:p>
    <w:p>
      <w:pPr>
        <w:jc w:val="both"/>
        <w:ind w:left="660"/>
        <w:spacing w:after="0" w:line="302" w:lineRule="auto"/>
        <w:rPr>
          <w:sz w:val="20"/>
          <w:szCs w:val="20"/>
          <w:color w:val="auto"/>
        </w:rPr>
      </w:pPr>
      <w:r>
        <w:rPr>
          <w:rFonts w:ascii="Arial" w:cs="Arial" w:eastAsia="Arial" w:hAnsi="Arial"/>
          <w:sz w:val="19"/>
          <w:szCs w:val="19"/>
          <w:color w:val="auto"/>
        </w:rPr>
        <w:t xml:space="preserve">For Financial Reporting, firm fixed price </w:t>
      </w:r>
      <w:r>
        <w:rPr>
          <w:rFonts w:ascii="Arial" w:cs="Arial" w:eastAsia="Arial" w:hAnsi="Arial"/>
          <w:sz w:val="19"/>
          <w:szCs w:val="19"/>
          <w:b w:val="1"/>
          <w:bCs w:val="1"/>
          <w:i w:val="1"/>
          <w:iCs w:val="1"/>
          <w:color w:val="auto"/>
        </w:rPr>
        <w:t>or cost-reimbursement</w:t>
      </w:r>
      <w:r>
        <w:rPr>
          <w:rFonts w:ascii="Arial" w:cs="Arial" w:eastAsia="Arial" w:hAnsi="Arial"/>
          <w:sz w:val="19"/>
          <w:szCs w:val="19"/>
          <w:color w:val="auto"/>
        </w:rPr>
        <w:t xml:space="preserve"> invoices will be submitted on a quarterly </w:t>
      </w:r>
      <w:r>
        <w:rPr>
          <w:rFonts w:ascii="Arial" w:cs="Arial" w:eastAsia="Arial" w:hAnsi="Arial"/>
          <w:sz w:val="19"/>
          <w:szCs w:val="19"/>
          <w:b w:val="1"/>
          <w:bCs w:val="1"/>
          <w:i w:val="1"/>
          <w:iCs w:val="1"/>
          <w:color w:val="auto"/>
        </w:rPr>
        <w:t>or monthly</w:t>
      </w:r>
      <w:r>
        <w:rPr>
          <w:rFonts w:ascii="Arial" w:cs="Arial" w:eastAsia="Arial" w:hAnsi="Arial"/>
          <w:sz w:val="19"/>
          <w:szCs w:val="19"/>
          <w:color w:val="auto"/>
        </w:rPr>
        <w:t xml:space="preserve"> basis, as described in Section 5 below. Invoices will include data and technical reports sufficient to support the accomplishment of each milestone, as appropriate, during the invoicing period. Regeneron will provide quarterly Financial Status Reports outlining billed vs. budgeted activity for each period, and in aggregate for the contract.</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i w:val="1"/>
          <w:iCs w:val="1"/>
          <w:color w:val="auto"/>
        </w:rPr>
        <w:t>3.2.6</w:t>
      </w:r>
      <w:r>
        <w:rPr>
          <w:sz w:val="20"/>
          <w:szCs w:val="20"/>
          <w:color w:val="auto"/>
        </w:rPr>
        <w:tab/>
      </w:r>
      <w:r>
        <w:rPr>
          <w:rFonts w:ascii="Arial" w:cs="Arial" w:eastAsia="Arial" w:hAnsi="Arial"/>
          <w:sz w:val="18"/>
          <w:szCs w:val="18"/>
          <w:b w:val="1"/>
          <w:bCs w:val="1"/>
          <w:i w:val="1"/>
          <w:iCs w:val="1"/>
          <w:color w:val="auto"/>
        </w:rPr>
        <w:t>Product Development Manufacturing Reports and Projections</w:t>
      </w:r>
    </w:p>
    <w:p>
      <w:pPr>
        <w:spacing w:after="0" w:line="247" w:lineRule="exact"/>
        <w:rPr>
          <w:sz w:val="20"/>
          <w:szCs w:val="20"/>
          <w:color w:val="auto"/>
        </w:rPr>
      </w:pPr>
    </w:p>
    <w:p>
      <w:pPr>
        <w:jc w:val="both"/>
        <w:ind w:left="660"/>
        <w:spacing w:after="0" w:line="259" w:lineRule="auto"/>
        <w:rPr>
          <w:sz w:val="20"/>
          <w:szCs w:val="20"/>
          <w:color w:val="auto"/>
        </w:rPr>
      </w:pPr>
      <w:r>
        <w:rPr>
          <w:rFonts w:ascii="Arial" w:cs="Arial" w:eastAsia="Arial" w:hAnsi="Arial"/>
          <w:sz w:val="21"/>
          <w:szCs w:val="21"/>
          <w:b w:val="1"/>
          <w:bCs w:val="1"/>
          <w:i w:val="1"/>
          <w:iCs w:val="1"/>
          <w:color w:val="auto"/>
        </w:rPr>
        <w:t xml:space="preserve">Regeneron will provide manufacturing reports and manufacturing dose tracking projections/actuals, in the format and having the content mutually agreed upon by the Government and Regeneron. Regeneron will update the reports </w:t>
      </w:r>
      <w:r>
        <w:rPr>
          <w:rFonts w:ascii="Arial" w:cs="Arial" w:eastAsia="Arial" w:hAnsi="Arial"/>
          <w:sz w:val="21"/>
          <w:szCs w:val="21"/>
          <w:b w:val="1"/>
          <w:bCs w:val="1"/>
          <w:color w:val="auto"/>
        </w:rPr>
        <w:t>[* *</w:t>
      </w:r>
      <w:r>
        <w:rPr>
          <w:rFonts w:ascii="Arial" w:cs="Arial" w:eastAsia="Arial" w:hAnsi="Arial"/>
          <w:sz w:val="21"/>
          <w:szCs w:val="21"/>
          <w:b w:val="1"/>
          <w:bCs w:val="1"/>
          <w:i w:val="1"/>
          <w:iCs w:val="1"/>
          <w:color w:val="auto"/>
        </w:rPr>
        <w:t xml:space="preserve"> </w:t>
      </w:r>
      <w:r>
        <w:rPr>
          <w:rFonts w:ascii="Arial" w:cs="Arial" w:eastAsia="Arial" w:hAnsi="Arial"/>
          <w:sz w:val="21"/>
          <w:szCs w:val="21"/>
          <w:b w:val="1"/>
          <w:bCs w:val="1"/>
          <w:color w:val="auto"/>
        </w:rPr>
        <w:t xml:space="preserve">*] </w:t>
      </w:r>
      <w:r>
        <w:rPr>
          <w:rFonts w:ascii="Arial" w:cs="Arial" w:eastAsia="Arial" w:hAnsi="Arial"/>
          <w:sz w:val="21"/>
          <w:szCs w:val="21"/>
          <w:b w:val="1"/>
          <w:bCs w:val="1"/>
          <w:i w:val="1"/>
          <w:iCs w:val="1"/>
          <w:color w:val="auto"/>
        </w:rPr>
        <w:t>during manufacturing campaigns and upon manufacturing deliverable submission during COVID-19 response</w:t>
      </w:r>
      <w:r>
        <w:rPr>
          <w:rFonts w:ascii="Arial" w:cs="Arial" w:eastAsia="Arial" w:hAnsi="Arial"/>
          <w:sz w:val="21"/>
          <w:szCs w:val="21"/>
          <w:b w:val="1"/>
          <w:bCs w:val="1"/>
          <w:color w:val="auto"/>
        </w:rPr>
        <w:t xml:space="preserve"> </w:t>
      </w:r>
      <w:r>
        <w:rPr>
          <w:rFonts w:ascii="Arial" w:cs="Arial" w:eastAsia="Arial" w:hAnsi="Arial"/>
          <w:sz w:val="21"/>
          <w:szCs w:val="21"/>
          <w:b w:val="1"/>
          <w:bCs w:val="1"/>
          <w:i w:val="1"/>
          <w:iCs w:val="1"/>
          <w:color w:val="auto"/>
        </w:rPr>
        <w:t xml:space="preserve">operations (where a Public Health Emergency has been declared), with the first deliverable submission within </w:t>
      </w:r>
      <w:r>
        <w:rPr>
          <w:rFonts w:ascii="Arial" w:cs="Arial" w:eastAsia="Arial" w:hAnsi="Arial"/>
          <w:sz w:val="18"/>
          <w:szCs w:val="18"/>
          <w:color w:val="auto"/>
        </w:rPr>
        <w:t>[* * *]</w:t>
      </w:r>
      <w:r>
        <w:rPr>
          <w:rFonts w:ascii="Arial" w:cs="Arial" w:eastAsia="Arial" w:hAnsi="Arial"/>
          <w:sz w:val="21"/>
          <w:szCs w:val="21"/>
          <w:b w:val="1"/>
          <w:bCs w:val="1"/>
          <w:i w:val="1"/>
          <w:iCs w:val="1"/>
          <w:color w:val="auto"/>
        </w:rPr>
        <w:t xml:space="preserve"> of award/modification. For clarity, the reports described in this Section 3.2.6 apply to Formulated Drug Substance and Drug Product prior to delivery and acceptance by the Government. Tracking reports for product following delivery and acceptance, shall be set forth in the Memorandum of Understanding between Regeneron, the Distributor, and the Government.</w:t>
      </w:r>
    </w:p>
    <w:p>
      <w:pPr>
        <w:spacing w:after="0" w:line="20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4.0</w:t>
      </w:r>
      <w:r>
        <w:rPr>
          <w:sz w:val="20"/>
          <w:szCs w:val="20"/>
          <w:color w:val="auto"/>
        </w:rPr>
        <w:tab/>
      </w:r>
      <w:r>
        <w:rPr>
          <w:rFonts w:ascii="Arial" w:cs="Arial" w:eastAsia="Arial" w:hAnsi="Arial"/>
          <w:sz w:val="21"/>
          <w:szCs w:val="21"/>
          <w:b w:val="1"/>
          <w:bCs w:val="1"/>
          <w:color w:val="auto"/>
        </w:rPr>
        <w:t>DELIVERABLES</w:t>
      </w:r>
    </w:p>
    <w:p>
      <w:pPr>
        <w:spacing w:after="0" w:line="253"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Offeror assumed [* * *]; Filled/Finished Drug Product Deliveries [* * *]. Regeneron shall have the right to provide deliverables directly to the Government and not to the Consortium Management Firm (CMF).</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CONFIDENTIAL/PROPRIETARY</w:t>
      </w:r>
    </w:p>
    <w:p>
      <w:pPr>
        <w:sectPr>
          <w:pgSz w:w="11900" w:h="16838" w:orient="portrait"/>
          <w:cols w:equalWidth="0" w:num="1">
            <w:col w:w="11240"/>
          </w:cols>
          <w:pgMar w:left="320" w:top="861" w:right="339" w:bottom="1440" w:gutter="0" w:footer="0" w:header="0"/>
        </w:sectPr>
      </w:pPr>
    </w:p>
    <w:bookmarkStart w:id="245" w:name="page246"/>
    <w:bookmarkEnd w:id="245"/>
    <w:p>
      <w:pPr>
        <w:jc w:val="center"/>
        <w:ind w:right="-219"/>
        <w:spacing w:after="0"/>
        <w:rPr>
          <w:sz w:val="20"/>
          <w:szCs w:val="20"/>
          <w:color w:val="auto"/>
        </w:rPr>
      </w:pPr>
      <w:r>
        <w:rPr>
          <w:rFonts w:ascii="Arial" w:cs="Arial" w:eastAsia="Arial" w:hAnsi="Arial"/>
          <w:sz w:val="22"/>
          <w:szCs w:val="22"/>
          <w:b w:val="1"/>
          <w:bCs w:val="1"/>
          <w:u w:val="single" w:color="auto"/>
          <w:color w:val="auto"/>
        </w:rPr>
        <w:t xml:space="preserve">Deliverable Table (June 2020 - </w:t>
      </w:r>
      <w:r>
        <w:rPr>
          <w:rFonts w:ascii="Arial" w:cs="Arial" w:eastAsia="Arial" w:hAnsi="Arial"/>
          <w:sz w:val="22"/>
          <w:szCs w:val="22"/>
          <w:b w:val="1"/>
          <w:bCs w:val="1"/>
          <w:i w:val="1"/>
          <w:iCs w:val="1"/>
          <w:u w:val="single" w:color="auto"/>
          <w:color w:val="auto"/>
        </w:rPr>
        <w:t>November</w:t>
      </w:r>
      <w:r>
        <w:rPr>
          <w:rFonts w:ascii="Arial" w:cs="Arial" w:eastAsia="Arial" w:hAnsi="Arial"/>
          <w:sz w:val="22"/>
          <w:szCs w:val="22"/>
          <w:b w:val="1"/>
          <w:bCs w:val="1"/>
          <w:u w:val="single" w:color="auto"/>
          <w:color w:val="auto"/>
        </w:rPr>
        <w:t xml:space="preserve"> 2021)</w:t>
      </w: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3320" w:type="dxa"/>
            <w:vAlign w:val="bottom"/>
            <w:tcBorders>
              <w:top w:val="single" w:sz="8" w:color="auto"/>
              <w:left w:val="single" w:sz="8" w:color="auto"/>
              <w:bottom w:val="single" w:sz="8" w:color="auto"/>
              <w:right w:val="single" w:sz="8" w:color="auto"/>
            </w:tcBorders>
            <w:shd w:val="clear" w:color="auto" w:fill="D9CBA7"/>
          </w:tcPr>
          <w:p>
            <w:pPr>
              <w:ind w:left="1140"/>
              <w:spacing w:after="0"/>
              <w:rPr>
                <w:sz w:val="20"/>
                <w:szCs w:val="20"/>
                <w:color w:val="auto"/>
              </w:rPr>
            </w:pPr>
            <w:r>
              <w:rPr>
                <w:rFonts w:ascii="Arial" w:cs="Arial" w:eastAsia="Arial" w:hAnsi="Arial"/>
                <w:sz w:val="22"/>
                <w:szCs w:val="22"/>
                <w:b w:val="1"/>
                <w:bCs w:val="1"/>
                <w:color w:val="auto"/>
              </w:rPr>
              <w:t>Deliverable</w:t>
            </w:r>
          </w:p>
        </w:tc>
        <w:tc>
          <w:tcPr>
            <w:tcW w:w="2440" w:type="dxa"/>
            <w:vAlign w:val="bottom"/>
            <w:tcBorders>
              <w:top w:val="single" w:sz="8" w:color="auto"/>
              <w:bottom w:val="single" w:sz="8" w:color="auto"/>
              <w:right w:val="single" w:sz="8" w:color="auto"/>
            </w:tcBorders>
            <w:shd w:val="clear" w:color="auto" w:fill="D9CBA7"/>
          </w:tcPr>
          <w:p>
            <w:pPr>
              <w:jc w:val="center"/>
              <w:spacing w:after="0"/>
              <w:rPr>
                <w:sz w:val="20"/>
                <w:szCs w:val="20"/>
                <w:color w:val="auto"/>
              </w:rPr>
            </w:pPr>
            <w:r>
              <w:rPr>
                <w:rFonts w:ascii="Arial" w:cs="Arial" w:eastAsia="Arial" w:hAnsi="Arial"/>
                <w:sz w:val="22"/>
                <w:szCs w:val="22"/>
                <w:b w:val="1"/>
                <w:bCs w:val="1"/>
                <w:color w:val="auto"/>
                <w:w w:val="90"/>
              </w:rPr>
              <w:t>Due Date</w:t>
            </w:r>
          </w:p>
        </w:tc>
        <w:tc>
          <w:tcPr>
            <w:tcW w:w="3400" w:type="dxa"/>
            <w:vAlign w:val="bottom"/>
            <w:tcBorders>
              <w:top w:val="single" w:sz="8" w:color="auto"/>
              <w:bottom w:val="single" w:sz="8" w:color="auto"/>
              <w:right w:val="single" w:sz="8" w:color="auto"/>
            </w:tcBorders>
            <w:shd w:val="clear" w:color="auto" w:fill="D9CBA7"/>
          </w:tcPr>
          <w:p>
            <w:pPr>
              <w:jc w:val="center"/>
              <w:spacing w:after="0"/>
              <w:rPr>
                <w:sz w:val="20"/>
                <w:szCs w:val="20"/>
                <w:color w:val="auto"/>
              </w:rPr>
            </w:pPr>
            <w:r>
              <w:rPr>
                <w:rFonts w:ascii="Arial" w:cs="Arial" w:eastAsia="Arial" w:hAnsi="Arial"/>
                <w:sz w:val="22"/>
                <w:szCs w:val="22"/>
                <w:b w:val="1"/>
                <w:bCs w:val="1"/>
                <w:color w:val="auto"/>
                <w:w w:val="89"/>
              </w:rPr>
              <w:t>Total Program Funds</w:t>
            </w:r>
          </w:p>
        </w:tc>
        <w:tc>
          <w:tcPr>
            <w:tcW w:w="1880" w:type="dxa"/>
            <w:vAlign w:val="bottom"/>
            <w:tcBorders>
              <w:top w:val="single" w:sz="8" w:color="auto"/>
              <w:bottom w:val="single" w:sz="8" w:color="auto"/>
              <w:right w:val="single" w:sz="8" w:color="auto"/>
            </w:tcBorders>
            <w:shd w:val="clear" w:color="auto" w:fill="D9CBA7"/>
          </w:tcPr>
          <w:p>
            <w:pPr>
              <w:jc w:val="center"/>
              <w:spacing w:after="0"/>
              <w:rPr>
                <w:sz w:val="20"/>
                <w:szCs w:val="20"/>
                <w:color w:val="auto"/>
              </w:rPr>
            </w:pPr>
            <w:r>
              <w:rPr>
                <w:rFonts w:ascii="Arial" w:cs="Arial" w:eastAsia="Arial" w:hAnsi="Arial"/>
                <w:sz w:val="22"/>
                <w:szCs w:val="22"/>
                <w:b w:val="1"/>
                <w:bCs w:val="1"/>
                <w:color w:val="auto"/>
                <w:w w:val="89"/>
              </w:rPr>
              <w:t>Data Rights</w:t>
            </w:r>
          </w:p>
        </w:tc>
        <w:tc>
          <w:tcPr>
            <w:tcW w:w="0" w:type="dxa"/>
            <w:vAlign w:val="bottom"/>
          </w:tcPr>
          <w:p>
            <w:pPr>
              <w:spacing w:after="0"/>
              <w:rPr>
                <w:sz w:val="1"/>
                <w:szCs w:val="1"/>
                <w:color w:val="auto"/>
              </w:rPr>
            </w:pPr>
          </w:p>
        </w:tc>
      </w:tr>
      <w:tr>
        <w:trPr>
          <w:trHeight w:val="276"/>
        </w:trPr>
        <w:tc>
          <w:tcPr>
            <w:tcW w:w="3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2"/>
                <w:szCs w:val="22"/>
                <w:color w:val="auto"/>
              </w:rPr>
              <w:t>Project Kick-Off; Deliverable</w:t>
            </w:r>
          </w:p>
        </w:tc>
        <w:tc>
          <w:tcPr>
            <w:tcW w:w="2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3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3"/>
              </w:rPr>
              <w:t>*Specially</w:t>
            </w:r>
          </w:p>
        </w:tc>
        <w:tc>
          <w:tcPr>
            <w:tcW w:w="0" w:type="dxa"/>
            <w:vAlign w:val="bottom"/>
          </w:tcPr>
          <w:p>
            <w:pPr>
              <w:spacing w:after="0"/>
              <w:rPr>
                <w:sz w:val="1"/>
                <w:szCs w:val="1"/>
                <w:color w:val="auto"/>
              </w:rPr>
            </w:pPr>
          </w:p>
        </w:tc>
      </w:tr>
      <w:tr>
        <w:trPr>
          <w:trHeight w:val="139"/>
        </w:trPr>
        <w:tc>
          <w:tcPr>
            <w:tcW w:w="3320" w:type="dxa"/>
            <w:vAlign w:val="bottom"/>
            <w:tcBorders>
              <w:left w:val="single" w:sz="8" w:color="auto"/>
              <w:right w:val="single" w:sz="8" w:color="auto"/>
            </w:tcBorders>
            <w:vMerge w:val="continue"/>
          </w:tcPr>
          <w:p>
            <w:pPr>
              <w:spacing w:after="0"/>
              <w:rPr>
                <w:sz w:val="12"/>
                <w:szCs w:val="12"/>
                <w:color w:val="auto"/>
              </w:rPr>
            </w:pPr>
          </w:p>
        </w:tc>
        <w:tc>
          <w:tcPr>
            <w:tcW w:w="2440" w:type="dxa"/>
            <w:vAlign w:val="bottom"/>
            <w:tcBorders>
              <w:right w:val="single" w:sz="8" w:color="auto"/>
            </w:tcBorders>
            <w:vMerge w:val="continue"/>
          </w:tcPr>
          <w:p>
            <w:pPr>
              <w:spacing w:after="0"/>
              <w:rPr>
                <w:sz w:val="12"/>
                <w:szCs w:val="12"/>
                <w:color w:val="auto"/>
              </w:rPr>
            </w:pPr>
          </w:p>
        </w:tc>
        <w:tc>
          <w:tcPr>
            <w:tcW w:w="3400" w:type="dxa"/>
            <w:vAlign w:val="bottom"/>
            <w:tcBorders>
              <w:right w:val="single" w:sz="8" w:color="auto"/>
            </w:tcBorders>
            <w:vMerge w:val="continue"/>
          </w:tcPr>
          <w:p>
            <w:pPr>
              <w:spacing w:after="0"/>
              <w:rPr>
                <w:sz w:val="12"/>
                <w:szCs w:val="12"/>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Negotiated</w:t>
            </w:r>
          </w:p>
        </w:tc>
        <w:tc>
          <w:tcPr>
            <w:tcW w:w="0" w:type="dxa"/>
            <w:vAlign w:val="bottom"/>
          </w:tcPr>
          <w:p>
            <w:pPr>
              <w:spacing w:after="0"/>
              <w:rPr>
                <w:sz w:val="1"/>
                <w:szCs w:val="1"/>
                <w:color w:val="auto"/>
              </w:rPr>
            </w:pPr>
          </w:p>
        </w:tc>
      </w:tr>
      <w:tr>
        <w:trPr>
          <w:trHeight w:val="146"/>
        </w:trPr>
        <w:tc>
          <w:tcPr>
            <w:tcW w:w="3320" w:type="dxa"/>
            <w:vAlign w:val="bottom"/>
            <w:tcBorders>
              <w:left w:val="single" w:sz="8" w:color="auto"/>
              <w:bottom w:val="single" w:sz="8" w:color="auto"/>
              <w:right w:val="single" w:sz="8" w:color="auto"/>
            </w:tcBorders>
          </w:tcPr>
          <w:p>
            <w:pPr>
              <w:spacing w:after="0"/>
              <w:rPr>
                <w:sz w:val="12"/>
                <w:szCs w:val="12"/>
                <w:color w:val="auto"/>
              </w:rPr>
            </w:pPr>
          </w:p>
        </w:tc>
        <w:tc>
          <w:tcPr>
            <w:tcW w:w="2440" w:type="dxa"/>
            <w:vAlign w:val="bottom"/>
            <w:tcBorders>
              <w:bottom w:val="single" w:sz="8" w:color="auto"/>
              <w:right w:val="single" w:sz="8" w:color="auto"/>
            </w:tcBorders>
          </w:tcPr>
          <w:p>
            <w:pPr>
              <w:spacing w:after="0"/>
              <w:rPr>
                <w:sz w:val="12"/>
                <w:szCs w:val="12"/>
                <w:color w:val="auto"/>
              </w:rPr>
            </w:pPr>
          </w:p>
        </w:tc>
        <w:tc>
          <w:tcPr>
            <w:tcW w:w="3400" w:type="dxa"/>
            <w:vAlign w:val="bottom"/>
            <w:tcBorders>
              <w:bottom w:val="single" w:sz="8" w:color="auto"/>
              <w:right w:val="single" w:sz="8" w:color="auto"/>
            </w:tcBorders>
          </w:tcPr>
          <w:p>
            <w:pPr>
              <w:spacing w:after="0"/>
              <w:rPr>
                <w:sz w:val="12"/>
                <w:szCs w:val="12"/>
                <w:color w:val="auto"/>
              </w:rPr>
            </w:pPr>
          </w:p>
        </w:tc>
        <w:tc>
          <w:tcPr>
            <w:tcW w:w="188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6"/>
        </w:trPr>
        <w:tc>
          <w:tcPr>
            <w:tcW w:w="3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2"/>
                <w:szCs w:val="22"/>
                <w:color w:val="auto"/>
              </w:rPr>
              <w:t>DS/FDS Bulk GMP Lot [* * *]</w:t>
            </w:r>
          </w:p>
        </w:tc>
        <w:tc>
          <w:tcPr>
            <w:tcW w:w="2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3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3"/>
              </w:rPr>
              <w:t>*Specially</w:t>
            </w:r>
          </w:p>
        </w:tc>
        <w:tc>
          <w:tcPr>
            <w:tcW w:w="0" w:type="dxa"/>
            <w:vAlign w:val="bottom"/>
          </w:tcPr>
          <w:p>
            <w:pPr>
              <w:spacing w:after="0"/>
              <w:rPr>
                <w:sz w:val="1"/>
                <w:szCs w:val="1"/>
                <w:color w:val="auto"/>
              </w:rPr>
            </w:pPr>
          </w:p>
        </w:tc>
      </w:tr>
      <w:tr>
        <w:trPr>
          <w:trHeight w:val="139"/>
        </w:trPr>
        <w:tc>
          <w:tcPr>
            <w:tcW w:w="3320" w:type="dxa"/>
            <w:vAlign w:val="bottom"/>
            <w:tcBorders>
              <w:left w:val="single" w:sz="8" w:color="auto"/>
              <w:right w:val="single" w:sz="8" w:color="auto"/>
            </w:tcBorders>
            <w:vMerge w:val="continue"/>
          </w:tcPr>
          <w:p>
            <w:pPr>
              <w:spacing w:after="0"/>
              <w:rPr>
                <w:sz w:val="12"/>
                <w:szCs w:val="12"/>
                <w:color w:val="auto"/>
              </w:rPr>
            </w:pPr>
          </w:p>
        </w:tc>
        <w:tc>
          <w:tcPr>
            <w:tcW w:w="2440" w:type="dxa"/>
            <w:vAlign w:val="bottom"/>
            <w:tcBorders>
              <w:right w:val="single" w:sz="8" w:color="auto"/>
            </w:tcBorders>
            <w:vMerge w:val="continue"/>
          </w:tcPr>
          <w:p>
            <w:pPr>
              <w:spacing w:after="0"/>
              <w:rPr>
                <w:sz w:val="12"/>
                <w:szCs w:val="12"/>
                <w:color w:val="auto"/>
              </w:rPr>
            </w:pPr>
          </w:p>
        </w:tc>
        <w:tc>
          <w:tcPr>
            <w:tcW w:w="3400" w:type="dxa"/>
            <w:vAlign w:val="bottom"/>
            <w:tcBorders>
              <w:right w:val="single" w:sz="8" w:color="auto"/>
            </w:tcBorders>
            <w:vMerge w:val="continue"/>
          </w:tcPr>
          <w:p>
            <w:pPr>
              <w:spacing w:after="0"/>
              <w:rPr>
                <w:sz w:val="12"/>
                <w:szCs w:val="12"/>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Negotiated</w:t>
            </w:r>
          </w:p>
        </w:tc>
        <w:tc>
          <w:tcPr>
            <w:tcW w:w="0" w:type="dxa"/>
            <w:vAlign w:val="bottom"/>
          </w:tcPr>
          <w:p>
            <w:pPr>
              <w:spacing w:after="0"/>
              <w:rPr>
                <w:sz w:val="1"/>
                <w:szCs w:val="1"/>
                <w:color w:val="auto"/>
              </w:rPr>
            </w:pPr>
          </w:p>
        </w:tc>
      </w:tr>
      <w:tr>
        <w:trPr>
          <w:trHeight w:val="145"/>
        </w:trPr>
        <w:tc>
          <w:tcPr>
            <w:tcW w:w="3320" w:type="dxa"/>
            <w:vAlign w:val="bottom"/>
            <w:tcBorders>
              <w:left w:val="single" w:sz="8" w:color="auto"/>
              <w:bottom w:val="single" w:sz="8" w:color="auto"/>
              <w:right w:val="single" w:sz="8" w:color="auto"/>
            </w:tcBorders>
          </w:tcPr>
          <w:p>
            <w:pPr>
              <w:spacing w:after="0"/>
              <w:rPr>
                <w:sz w:val="12"/>
                <w:szCs w:val="12"/>
                <w:color w:val="auto"/>
              </w:rPr>
            </w:pPr>
          </w:p>
        </w:tc>
        <w:tc>
          <w:tcPr>
            <w:tcW w:w="2440" w:type="dxa"/>
            <w:vAlign w:val="bottom"/>
            <w:tcBorders>
              <w:bottom w:val="single" w:sz="8" w:color="auto"/>
              <w:right w:val="single" w:sz="8" w:color="auto"/>
            </w:tcBorders>
          </w:tcPr>
          <w:p>
            <w:pPr>
              <w:spacing w:after="0"/>
              <w:rPr>
                <w:sz w:val="12"/>
                <w:szCs w:val="12"/>
                <w:color w:val="auto"/>
              </w:rPr>
            </w:pPr>
          </w:p>
        </w:tc>
        <w:tc>
          <w:tcPr>
            <w:tcW w:w="3400" w:type="dxa"/>
            <w:vAlign w:val="bottom"/>
            <w:tcBorders>
              <w:bottom w:val="single" w:sz="8" w:color="auto"/>
              <w:right w:val="single" w:sz="8" w:color="auto"/>
            </w:tcBorders>
          </w:tcPr>
          <w:p>
            <w:pPr>
              <w:spacing w:after="0"/>
              <w:rPr>
                <w:sz w:val="12"/>
                <w:szCs w:val="12"/>
                <w:color w:val="auto"/>
              </w:rPr>
            </w:pPr>
          </w:p>
        </w:tc>
        <w:tc>
          <w:tcPr>
            <w:tcW w:w="188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6"/>
        </w:trPr>
        <w:tc>
          <w:tcPr>
            <w:tcW w:w="3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2"/>
                <w:szCs w:val="22"/>
                <w:color w:val="auto"/>
              </w:rPr>
              <w:t xml:space="preserve">DS/FDS Bulk GMP Lot </w:t>
            </w:r>
            <w:r>
              <w:rPr>
                <w:rFonts w:ascii="Arial" w:cs="Arial" w:eastAsia="Arial" w:hAnsi="Arial"/>
                <w:sz w:val="19"/>
                <w:szCs w:val="19"/>
                <w:color w:val="auto"/>
              </w:rPr>
              <w:t>[* * *]</w:t>
            </w:r>
          </w:p>
        </w:tc>
        <w:tc>
          <w:tcPr>
            <w:tcW w:w="2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3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3"/>
              </w:rPr>
              <w:t>*Specially</w:t>
            </w:r>
          </w:p>
        </w:tc>
        <w:tc>
          <w:tcPr>
            <w:tcW w:w="0" w:type="dxa"/>
            <w:vAlign w:val="bottom"/>
          </w:tcPr>
          <w:p>
            <w:pPr>
              <w:spacing w:after="0"/>
              <w:rPr>
                <w:sz w:val="1"/>
                <w:szCs w:val="1"/>
                <w:color w:val="auto"/>
              </w:rPr>
            </w:pPr>
          </w:p>
        </w:tc>
      </w:tr>
      <w:tr>
        <w:trPr>
          <w:trHeight w:val="139"/>
        </w:trPr>
        <w:tc>
          <w:tcPr>
            <w:tcW w:w="3320" w:type="dxa"/>
            <w:vAlign w:val="bottom"/>
            <w:tcBorders>
              <w:left w:val="single" w:sz="8" w:color="auto"/>
              <w:right w:val="single" w:sz="8" w:color="auto"/>
            </w:tcBorders>
            <w:vMerge w:val="continue"/>
          </w:tcPr>
          <w:p>
            <w:pPr>
              <w:spacing w:after="0"/>
              <w:rPr>
                <w:sz w:val="12"/>
                <w:szCs w:val="12"/>
                <w:color w:val="auto"/>
              </w:rPr>
            </w:pPr>
          </w:p>
        </w:tc>
        <w:tc>
          <w:tcPr>
            <w:tcW w:w="2440" w:type="dxa"/>
            <w:vAlign w:val="bottom"/>
            <w:tcBorders>
              <w:right w:val="single" w:sz="8" w:color="auto"/>
            </w:tcBorders>
            <w:vMerge w:val="continue"/>
          </w:tcPr>
          <w:p>
            <w:pPr>
              <w:spacing w:after="0"/>
              <w:rPr>
                <w:sz w:val="12"/>
                <w:szCs w:val="12"/>
                <w:color w:val="auto"/>
              </w:rPr>
            </w:pPr>
          </w:p>
        </w:tc>
        <w:tc>
          <w:tcPr>
            <w:tcW w:w="3400" w:type="dxa"/>
            <w:vAlign w:val="bottom"/>
            <w:tcBorders>
              <w:right w:val="single" w:sz="8" w:color="auto"/>
            </w:tcBorders>
            <w:vMerge w:val="continue"/>
          </w:tcPr>
          <w:p>
            <w:pPr>
              <w:spacing w:after="0"/>
              <w:rPr>
                <w:sz w:val="12"/>
                <w:szCs w:val="12"/>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Negotiated</w:t>
            </w:r>
          </w:p>
        </w:tc>
        <w:tc>
          <w:tcPr>
            <w:tcW w:w="0" w:type="dxa"/>
            <w:vAlign w:val="bottom"/>
          </w:tcPr>
          <w:p>
            <w:pPr>
              <w:spacing w:after="0"/>
              <w:rPr>
                <w:sz w:val="1"/>
                <w:szCs w:val="1"/>
                <w:color w:val="auto"/>
              </w:rPr>
            </w:pPr>
          </w:p>
        </w:tc>
      </w:tr>
      <w:tr>
        <w:trPr>
          <w:trHeight w:val="146"/>
        </w:trPr>
        <w:tc>
          <w:tcPr>
            <w:tcW w:w="3320" w:type="dxa"/>
            <w:vAlign w:val="bottom"/>
            <w:tcBorders>
              <w:left w:val="single" w:sz="8" w:color="auto"/>
              <w:bottom w:val="single" w:sz="8" w:color="auto"/>
              <w:right w:val="single" w:sz="8" w:color="auto"/>
            </w:tcBorders>
          </w:tcPr>
          <w:p>
            <w:pPr>
              <w:spacing w:after="0"/>
              <w:rPr>
                <w:sz w:val="12"/>
                <w:szCs w:val="12"/>
                <w:color w:val="auto"/>
              </w:rPr>
            </w:pPr>
          </w:p>
        </w:tc>
        <w:tc>
          <w:tcPr>
            <w:tcW w:w="2440" w:type="dxa"/>
            <w:vAlign w:val="bottom"/>
            <w:tcBorders>
              <w:bottom w:val="single" w:sz="8" w:color="auto"/>
              <w:right w:val="single" w:sz="8" w:color="auto"/>
            </w:tcBorders>
          </w:tcPr>
          <w:p>
            <w:pPr>
              <w:spacing w:after="0"/>
              <w:rPr>
                <w:sz w:val="12"/>
                <w:szCs w:val="12"/>
                <w:color w:val="auto"/>
              </w:rPr>
            </w:pPr>
          </w:p>
        </w:tc>
        <w:tc>
          <w:tcPr>
            <w:tcW w:w="3400" w:type="dxa"/>
            <w:vAlign w:val="bottom"/>
            <w:tcBorders>
              <w:bottom w:val="single" w:sz="8" w:color="auto"/>
              <w:right w:val="single" w:sz="8" w:color="auto"/>
            </w:tcBorders>
          </w:tcPr>
          <w:p>
            <w:pPr>
              <w:spacing w:after="0"/>
              <w:rPr>
                <w:sz w:val="12"/>
                <w:szCs w:val="12"/>
                <w:color w:val="auto"/>
              </w:rPr>
            </w:pPr>
          </w:p>
        </w:tc>
        <w:tc>
          <w:tcPr>
            <w:tcW w:w="188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6"/>
        </w:trPr>
        <w:tc>
          <w:tcPr>
            <w:tcW w:w="3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2"/>
                <w:szCs w:val="22"/>
                <w:b w:val="1"/>
                <w:bCs w:val="1"/>
                <w:i w:val="1"/>
                <w:iCs w:val="1"/>
                <w:color w:val="auto"/>
              </w:rPr>
              <w:t xml:space="preserve">DS/FDS Bulk GMP Lot </w:t>
            </w:r>
            <w:r>
              <w:rPr>
                <w:rFonts w:ascii="Arial" w:cs="Arial" w:eastAsia="Arial" w:hAnsi="Arial"/>
                <w:sz w:val="19"/>
                <w:szCs w:val="19"/>
                <w:color w:val="auto"/>
              </w:rPr>
              <w:t>[* * *]</w:t>
            </w:r>
          </w:p>
        </w:tc>
        <w:tc>
          <w:tcPr>
            <w:tcW w:w="2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3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i w:val="1"/>
                <w:iCs w:val="1"/>
                <w:color w:val="auto"/>
                <w:w w:val="86"/>
              </w:rPr>
              <w:t>*Specially</w:t>
            </w:r>
          </w:p>
        </w:tc>
        <w:tc>
          <w:tcPr>
            <w:tcW w:w="0" w:type="dxa"/>
            <w:vAlign w:val="bottom"/>
          </w:tcPr>
          <w:p>
            <w:pPr>
              <w:spacing w:after="0"/>
              <w:rPr>
                <w:sz w:val="1"/>
                <w:szCs w:val="1"/>
                <w:color w:val="auto"/>
              </w:rPr>
            </w:pPr>
          </w:p>
        </w:tc>
      </w:tr>
      <w:tr>
        <w:trPr>
          <w:trHeight w:val="139"/>
        </w:trPr>
        <w:tc>
          <w:tcPr>
            <w:tcW w:w="3320" w:type="dxa"/>
            <w:vAlign w:val="bottom"/>
            <w:tcBorders>
              <w:left w:val="single" w:sz="8" w:color="auto"/>
              <w:right w:val="single" w:sz="8" w:color="auto"/>
            </w:tcBorders>
            <w:vMerge w:val="continue"/>
          </w:tcPr>
          <w:p>
            <w:pPr>
              <w:spacing w:after="0"/>
              <w:rPr>
                <w:sz w:val="12"/>
                <w:szCs w:val="12"/>
                <w:color w:val="auto"/>
              </w:rPr>
            </w:pPr>
          </w:p>
        </w:tc>
        <w:tc>
          <w:tcPr>
            <w:tcW w:w="2440" w:type="dxa"/>
            <w:vAlign w:val="bottom"/>
            <w:tcBorders>
              <w:right w:val="single" w:sz="8" w:color="auto"/>
            </w:tcBorders>
            <w:vMerge w:val="continue"/>
          </w:tcPr>
          <w:p>
            <w:pPr>
              <w:spacing w:after="0"/>
              <w:rPr>
                <w:sz w:val="12"/>
                <w:szCs w:val="12"/>
                <w:color w:val="auto"/>
              </w:rPr>
            </w:pPr>
          </w:p>
        </w:tc>
        <w:tc>
          <w:tcPr>
            <w:tcW w:w="3400" w:type="dxa"/>
            <w:vAlign w:val="bottom"/>
            <w:tcBorders>
              <w:right w:val="single" w:sz="8" w:color="auto"/>
            </w:tcBorders>
            <w:vMerge w:val="continue"/>
          </w:tcPr>
          <w:p>
            <w:pPr>
              <w:spacing w:after="0"/>
              <w:rPr>
                <w:sz w:val="12"/>
                <w:szCs w:val="12"/>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i w:val="1"/>
                <w:iCs w:val="1"/>
                <w:color w:val="auto"/>
                <w:w w:val="84"/>
              </w:rPr>
              <w:t>Negotiated</w:t>
            </w:r>
          </w:p>
        </w:tc>
        <w:tc>
          <w:tcPr>
            <w:tcW w:w="0" w:type="dxa"/>
            <w:vAlign w:val="bottom"/>
          </w:tcPr>
          <w:p>
            <w:pPr>
              <w:spacing w:after="0"/>
              <w:rPr>
                <w:sz w:val="1"/>
                <w:szCs w:val="1"/>
                <w:color w:val="auto"/>
              </w:rPr>
            </w:pPr>
          </w:p>
        </w:tc>
      </w:tr>
      <w:tr>
        <w:trPr>
          <w:trHeight w:val="145"/>
        </w:trPr>
        <w:tc>
          <w:tcPr>
            <w:tcW w:w="3320" w:type="dxa"/>
            <w:vAlign w:val="bottom"/>
            <w:tcBorders>
              <w:left w:val="single" w:sz="8" w:color="auto"/>
              <w:bottom w:val="single" w:sz="8" w:color="auto"/>
              <w:right w:val="single" w:sz="8" w:color="auto"/>
            </w:tcBorders>
          </w:tcPr>
          <w:p>
            <w:pPr>
              <w:spacing w:after="0"/>
              <w:rPr>
                <w:sz w:val="12"/>
                <w:szCs w:val="12"/>
                <w:color w:val="auto"/>
              </w:rPr>
            </w:pPr>
          </w:p>
        </w:tc>
        <w:tc>
          <w:tcPr>
            <w:tcW w:w="2440" w:type="dxa"/>
            <w:vAlign w:val="bottom"/>
            <w:tcBorders>
              <w:bottom w:val="single" w:sz="8" w:color="auto"/>
              <w:right w:val="single" w:sz="8" w:color="auto"/>
            </w:tcBorders>
          </w:tcPr>
          <w:p>
            <w:pPr>
              <w:spacing w:after="0"/>
              <w:rPr>
                <w:sz w:val="12"/>
                <w:szCs w:val="12"/>
                <w:color w:val="auto"/>
              </w:rPr>
            </w:pPr>
          </w:p>
        </w:tc>
        <w:tc>
          <w:tcPr>
            <w:tcW w:w="3400" w:type="dxa"/>
            <w:vAlign w:val="bottom"/>
            <w:tcBorders>
              <w:bottom w:val="single" w:sz="8" w:color="auto"/>
              <w:right w:val="single" w:sz="8" w:color="auto"/>
            </w:tcBorders>
          </w:tcPr>
          <w:p>
            <w:pPr>
              <w:spacing w:after="0"/>
              <w:rPr>
                <w:sz w:val="12"/>
                <w:szCs w:val="12"/>
                <w:color w:val="auto"/>
              </w:rPr>
            </w:pPr>
          </w:p>
        </w:tc>
        <w:tc>
          <w:tcPr>
            <w:tcW w:w="188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6"/>
        </w:trPr>
        <w:tc>
          <w:tcPr>
            <w:tcW w:w="3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2"/>
                <w:szCs w:val="22"/>
                <w:b w:val="1"/>
                <w:bCs w:val="1"/>
                <w:i w:val="1"/>
                <w:iCs w:val="1"/>
                <w:color w:val="auto"/>
              </w:rPr>
              <w:t xml:space="preserve">DS/FDS Bulk GMP Lot </w:t>
            </w:r>
            <w:r>
              <w:rPr>
                <w:rFonts w:ascii="Arial" w:cs="Arial" w:eastAsia="Arial" w:hAnsi="Arial"/>
                <w:sz w:val="19"/>
                <w:szCs w:val="19"/>
                <w:color w:val="auto"/>
              </w:rPr>
              <w:t>[* * *]</w:t>
            </w:r>
          </w:p>
        </w:tc>
        <w:tc>
          <w:tcPr>
            <w:tcW w:w="2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3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i w:val="1"/>
                <w:iCs w:val="1"/>
                <w:color w:val="auto"/>
                <w:w w:val="86"/>
              </w:rPr>
              <w:t>*Specially</w:t>
            </w:r>
          </w:p>
        </w:tc>
        <w:tc>
          <w:tcPr>
            <w:tcW w:w="0" w:type="dxa"/>
            <w:vAlign w:val="bottom"/>
          </w:tcPr>
          <w:p>
            <w:pPr>
              <w:spacing w:after="0"/>
              <w:rPr>
                <w:sz w:val="1"/>
                <w:szCs w:val="1"/>
                <w:color w:val="auto"/>
              </w:rPr>
            </w:pPr>
          </w:p>
        </w:tc>
      </w:tr>
      <w:tr>
        <w:trPr>
          <w:trHeight w:val="139"/>
        </w:trPr>
        <w:tc>
          <w:tcPr>
            <w:tcW w:w="3320" w:type="dxa"/>
            <w:vAlign w:val="bottom"/>
            <w:tcBorders>
              <w:left w:val="single" w:sz="8" w:color="auto"/>
              <w:right w:val="single" w:sz="8" w:color="auto"/>
            </w:tcBorders>
            <w:vMerge w:val="continue"/>
          </w:tcPr>
          <w:p>
            <w:pPr>
              <w:spacing w:after="0"/>
              <w:rPr>
                <w:sz w:val="12"/>
                <w:szCs w:val="12"/>
                <w:color w:val="auto"/>
              </w:rPr>
            </w:pPr>
          </w:p>
        </w:tc>
        <w:tc>
          <w:tcPr>
            <w:tcW w:w="2440" w:type="dxa"/>
            <w:vAlign w:val="bottom"/>
            <w:tcBorders>
              <w:right w:val="single" w:sz="8" w:color="auto"/>
            </w:tcBorders>
            <w:vMerge w:val="continue"/>
          </w:tcPr>
          <w:p>
            <w:pPr>
              <w:spacing w:after="0"/>
              <w:rPr>
                <w:sz w:val="12"/>
                <w:szCs w:val="12"/>
                <w:color w:val="auto"/>
              </w:rPr>
            </w:pPr>
          </w:p>
        </w:tc>
        <w:tc>
          <w:tcPr>
            <w:tcW w:w="3400" w:type="dxa"/>
            <w:vAlign w:val="bottom"/>
            <w:tcBorders>
              <w:right w:val="single" w:sz="8" w:color="auto"/>
            </w:tcBorders>
            <w:vMerge w:val="continue"/>
          </w:tcPr>
          <w:p>
            <w:pPr>
              <w:spacing w:after="0"/>
              <w:rPr>
                <w:sz w:val="12"/>
                <w:szCs w:val="12"/>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i w:val="1"/>
                <w:iCs w:val="1"/>
                <w:color w:val="auto"/>
                <w:w w:val="84"/>
              </w:rPr>
              <w:t>Negotiated</w:t>
            </w:r>
          </w:p>
        </w:tc>
        <w:tc>
          <w:tcPr>
            <w:tcW w:w="0" w:type="dxa"/>
            <w:vAlign w:val="bottom"/>
          </w:tcPr>
          <w:p>
            <w:pPr>
              <w:spacing w:after="0"/>
              <w:rPr>
                <w:sz w:val="1"/>
                <w:szCs w:val="1"/>
                <w:color w:val="auto"/>
              </w:rPr>
            </w:pPr>
          </w:p>
        </w:tc>
      </w:tr>
      <w:tr>
        <w:trPr>
          <w:trHeight w:val="145"/>
        </w:trPr>
        <w:tc>
          <w:tcPr>
            <w:tcW w:w="3320" w:type="dxa"/>
            <w:vAlign w:val="bottom"/>
            <w:tcBorders>
              <w:left w:val="single" w:sz="8" w:color="auto"/>
              <w:bottom w:val="single" w:sz="8" w:color="auto"/>
              <w:right w:val="single" w:sz="8" w:color="auto"/>
            </w:tcBorders>
          </w:tcPr>
          <w:p>
            <w:pPr>
              <w:spacing w:after="0"/>
              <w:rPr>
                <w:sz w:val="12"/>
                <w:szCs w:val="12"/>
                <w:color w:val="auto"/>
              </w:rPr>
            </w:pPr>
          </w:p>
        </w:tc>
        <w:tc>
          <w:tcPr>
            <w:tcW w:w="2440" w:type="dxa"/>
            <w:vAlign w:val="bottom"/>
            <w:tcBorders>
              <w:bottom w:val="single" w:sz="8" w:color="auto"/>
              <w:right w:val="single" w:sz="8" w:color="auto"/>
            </w:tcBorders>
          </w:tcPr>
          <w:p>
            <w:pPr>
              <w:spacing w:after="0"/>
              <w:rPr>
                <w:sz w:val="12"/>
                <w:szCs w:val="12"/>
                <w:color w:val="auto"/>
              </w:rPr>
            </w:pPr>
          </w:p>
        </w:tc>
        <w:tc>
          <w:tcPr>
            <w:tcW w:w="3400" w:type="dxa"/>
            <w:vAlign w:val="bottom"/>
            <w:tcBorders>
              <w:bottom w:val="single" w:sz="8" w:color="auto"/>
              <w:right w:val="single" w:sz="8" w:color="auto"/>
            </w:tcBorders>
          </w:tcPr>
          <w:p>
            <w:pPr>
              <w:spacing w:after="0"/>
              <w:rPr>
                <w:sz w:val="12"/>
                <w:szCs w:val="12"/>
                <w:color w:val="auto"/>
              </w:rPr>
            </w:pPr>
          </w:p>
        </w:tc>
        <w:tc>
          <w:tcPr>
            <w:tcW w:w="188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6"/>
        </w:trPr>
        <w:tc>
          <w:tcPr>
            <w:tcW w:w="3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2"/>
                <w:szCs w:val="22"/>
                <w:color w:val="auto"/>
              </w:rPr>
              <w:t xml:space="preserve">DS/FDS Bulk GMP Lot </w:t>
            </w:r>
            <w:r>
              <w:rPr>
                <w:rFonts w:ascii="Arial" w:cs="Arial" w:eastAsia="Arial" w:hAnsi="Arial"/>
                <w:sz w:val="19"/>
                <w:szCs w:val="19"/>
                <w:color w:val="auto"/>
              </w:rPr>
              <w:t>[* * *]</w:t>
            </w:r>
          </w:p>
        </w:tc>
        <w:tc>
          <w:tcPr>
            <w:tcW w:w="2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3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3"/>
              </w:rPr>
              <w:t>*Specially</w:t>
            </w:r>
          </w:p>
        </w:tc>
        <w:tc>
          <w:tcPr>
            <w:tcW w:w="0" w:type="dxa"/>
            <w:vAlign w:val="bottom"/>
          </w:tcPr>
          <w:p>
            <w:pPr>
              <w:spacing w:after="0"/>
              <w:rPr>
                <w:sz w:val="1"/>
                <w:szCs w:val="1"/>
                <w:color w:val="auto"/>
              </w:rPr>
            </w:pPr>
          </w:p>
        </w:tc>
      </w:tr>
      <w:tr>
        <w:trPr>
          <w:trHeight w:val="139"/>
        </w:trPr>
        <w:tc>
          <w:tcPr>
            <w:tcW w:w="3320" w:type="dxa"/>
            <w:vAlign w:val="bottom"/>
            <w:tcBorders>
              <w:left w:val="single" w:sz="8" w:color="auto"/>
              <w:right w:val="single" w:sz="8" w:color="auto"/>
            </w:tcBorders>
            <w:vMerge w:val="continue"/>
          </w:tcPr>
          <w:p>
            <w:pPr>
              <w:spacing w:after="0"/>
              <w:rPr>
                <w:sz w:val="12"/>
                <w:szCs w:val="12"/>
                <w:color w:val="auto"/>
              </w:rPr>
            </w:pPr>
          </w:p>
        </w:tc>
        <w:tc>
          <w:tcPr>
            <w:tcW w:w="2440" w:type="dxa"/>
            <w:vAlign w:val="bottom"/>
            <w:tcBorders>
              <w:right w:val="single" w:sz="8" w:color="auto"/>
            </w:tcBorders>
            <w:vMerge w:val="continue"/>
          </w:tcPr>
          <w:p>
            <w:pPr>
              <w:spacing w:after="0"/>
              <w:rPr>
                <w:sz w:val="12"/>
                <w:szCs w:val="12"/>
                <w:color w:val="auto"/>
              </w:rPr>
            </w:pPr>
          </w:p>
        </w:tc>
        <w:tc>
          <w:tcPr>
            <w:tcW w:w="3400" w:type="dxa"/>
            <w:vAlign w:val="bottom"/>
            <w:tcBorders>
              <w:right w:val="single" w:sz="8" w:color="auto"/>
            </w:tcBorders>
            <w:vMerge w:val="continue"/>
          </w:tcPr>
          <w:p>
            <w:pPr>
              <w:spacing w:after="0"/>
              <w:rPr>
                <w:sz w:val="12"/>
                <w:szCs w:val="12"/>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Negotiated</w:t>
            </w:r>
          </w:p>
        </w:tc>
        <w:tc>
          <w:tcPr>
            <w:tcW w:w="0" w:type="dxa"/>
            <w:vAlign w:val="bottom"/>
          </w:tcPr>
          <w:p>
            <w:pPr>
              <w:spacing w:after="0"/>
              <w:rPr>
                <w:sz w:val="1"/>
                <w:szCs w:val="1"/>
                <w:color w:val="auto"/>
              </w:rPr>
            </w:pPr>
          </w:p>
        </w:tc>
      </w:tr>
      <w:tr>
        <w:trPr>
          <w:trHeight w:val="145"/>
        </w:trPr>
        <w:tc>
          <w:tcPr>
            <w:tcW w:w="3320" w:type="dxa"/>
            <w:vAlign w:val="bottom"/>
            <w:tcBorders>
              <w:left w:val="single" w:sz="8" w:color="auto"/>
              <w:bottom w:val="single" w:sz="8" w:color="auto"/>
              <w:right w:val="single" w:sz="8" w:color="auto"/>
            </w:tcBorders>
          </w:tcPr>
          <w:p>
            <w:pPr>
              <w:spacing w:after="0"/>
              <w:rPr>
                <w:sz w:val="12"/>
                <w:szCs w:val="12"/>
                <w:color w:val="auto"/>
              </w:rPr>
            </w:pPr>
          </w:p>
        </w:tc>
        <w:tc>
          <w:tcPr>
            <w:tcW w:w="2440" w:type="dxa"/>
            <w:vAlign w:val="bottom"/>
            <w:tcBorders>
              <w:bottom w:val="single" w:sz="8" w:color="auto"/>
              <w:right w:val="single" w:sz="8" w:color="auto"/>
            </w:tcBorders>
          </w:tcPr>
          <w:p>
            <w:pPr>
              <w:spacing w:after="0"/>
              <w:rPr>
                <w:sz w:val="12"/>
                <w:szCs w:val="12"/>
                <w:color w:val="auto"/>
              </w:rPr>
            </w:pPr>
          </w:p>
        </w:tc>
        <w:tc>
          <w:tcPr>
            <w:tcW w:w="3400" w:type="dxa"/>
            <w:vAlign w:val="bottom"/>
            <w:tcBorders>
              <w:bottom w:val="single" w:sz="8" w:color="auto"/>
              <w:right w:val="single" w:sz="8" w:color="auto"/>
            </w:tcBorders>
          </w:tcPr>
          <w:p>
            <w:pPr>
              <w:spacing w:after="0"/>
              <w:rPr>
                <w:sz w:val="12"/>
                <w:szCs w:val="12"/>
                <w:color w:val="auto"/>
              </w:rPr>
            </w:pPr>
          </w:p>
        </w:tc>
        <w:tc>
          <w:tcPr>
            <w:tcW w:w="188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6"/>
        </w:trPr>
        <w:tc>
          <w:tcPr>
            <w:tcW w:w="3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2"/>
                <w:szCs w:val="22"/>
                <w:color w:val="auto"/>
              </w:rPr>
              <w:t xml:space="preserve">Fill Product </w:t>
            </w:r>
            <w:r>
              <w:rPr>
                <w:rFonts w:ascii="Arial" w:cs="Arial" w:eastAsia="Arial" w:hAnsi="Arial"/>
                <w:sz w:val="19"/>
                <w:szCs w:val="19"/>
                <w:color w:val="auto"/>
              </w:rPr>
              <w:t>[* * *]</w:t>
            </w:r>
          </w:p>
        </w:tc>
        <w:tc>
          <w:tcPr>
            <w:tcW w:w="2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3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3"/>
              </w:rPr>
              <w:t>*Specially</w:t>
            </w:r>
          </w:p>
        </w:tc>
        <w:tc>
          <w:tcPr>
            <w:tcW w:w="0" w:type="dxa"/>
            <w:vAlign w:val="bottom"/>
          </w:tcPr>
          <w:p>
            <w:pPr>
              <w:spacing w:after="0"/>
              <w:rPr>
                <w:sz w:val="1"/>
                <w:szCs w:val="1"/>
                <w:color w:val="auto"/>
              </w:rPr>
            </w:pPr>
          </w:p>
        </w:tc>
      </w:tr>
      <w:tr>
        <w:trPr>
          <w:trHeight w:val="139"/>
        </w:trPr>
        <w:tc>
          <w:tcPr>
            <w:tcW w:w="3320" w:type="dxa"/>
            <w:vAlign w:val="bottom"/>
            <w:tcBorders>
              <w:left w:val="single" w:sz="8" w:color="auto"/>
              <w:right w:val="single" w:sz="8" w:color="auto"/>
            </w:tcBorders>
            <w:vMerge w:val="continue"/>
          </w:tcPr>
          <w:p>
            <w:pPr>
              <w:spacing w:after="0"/>
              <w:rPr>
                <w:sz w:val="12"/>
                <w:szCs w:val="12"/>
                <w:color w:val="auto"/>
              </w:rPr>
            </w:pPr>
          </w:p>
        </w:tc>
        <w:tc>
          <w:tcPr>
            <w:tcW w:w="2440" w:type="dxa"/>
            <w:vAlign w:val="bottom"/>
            <w:tcBorders>
              <w:right w:val="single" w:sz="8" w:color="auto"/>
            </w:tcBorders>
            <w:vMerge w:val="continue"/>
          </w:tcPr>
          <w:p>
            <w:pPr>
              <w:spacing w:after="0"/>
              <w:rPr>
                <w:sz w:val="12"/>
                <w:szCs w:val="12"/>
                <w:color w:val="auto"/>
              </w:rPr>
            </w:pPr>
          </w:p>
        </w:tc>
        <w:tc>
          <w:tcPr>
            <w:tcW w:w="3400" w:type="dxa"/>
            <w:vAlign w:val="bottom"/>
            <w:tcBorders>
              <w:right w:val="single" w:sz="8" w:color="auto"/>
            </w:tcBorders>
            <w:vMerge w:val="continue"/>
          </w:tcPr>
          <w:p>
            <w:pPr>
              <w:spacing w:after="0"/>
              <w:rPr>
                <w:sz w:val="12"/>
                <w:szCs w:val="12"/>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Negotiated</w:t>
            </w:r>
          </w:p>
        </w:tc>
        <w:tc>
          <w:tcPr>
            <w:tcW w:w="0" w:type="dxa"/>
            <w:vAlign w:val="bottom"/>
          </w:tcPr>
          <w:p>
            <w:pPr>
              <w:spacing w:after="0"/>
              <w:rPr>
                <w:sz w:val="1"/>
                <w:szCs w:val="1"/>
                <w:color w:val="auto"/>
              </w:rPr>
            </w:pPr>
          </w:p>
        </w:tc>
      </w:tr>
      <w:tr>
        <w:trPr>
          <w:trHeight w:val="145"/>
        </w:trPr>
        <w:tc>
          <w:tcPr>
            <w:tcW w:w="3320" w:type="dxa"/>
            <w:vAlign w:val="bottom"/>
            <w:tcBorders>
              <w:left w:val="single" w:sz="8" w:color="auto"/>
              <w:bottom w:val="single" w:sz="8" w:color="auto"/>
              <w:right w:val="single" w:sz="8" w:color="auto"/>
            </w:tcBorders>
          </w:tcPr>
          <w:p>
            <w:pPr>
              <w:spacing w:after="0"/>
              <w:rPr>
                <w:sz w:val="12"/>
                <w:szCs w:val="12"/>
                <w:color w:val="auto"/>
              </w:rPr>
            </w:pPr>
          </w:p>
        </w:tc>
        <w:tc>
          <w:tcPr>
            <w:tcW w:w="2440" w:type="dxa"/>
            <w:vAlign w:val="bottom"/>
            <w:tcBorders>
              <w:bottom w:val="single" w:sz="8" w:color="auto"/>
              <w:right w:val="single" w:sz="8" w:color="auto"/>
            </w:tcBorders>
          </w:tcPr>
          <w:p>
            <w:pPr>
              <w:spacing w:after="0"/>
              <w:rPr>
                <w:sz w:val="12"/>
                <w:szCs w:val="12"/>
                <w:color w:val="auto"/>
              </w:rPr>
            </w:pPr>
          </w:p>
        </w:tc>
        <w:tc>
          <w:tcPr>
            <w:tcW w:w="3400" w:type="dxa"/>
            <w:vAlign w:val="bottom"/>
            <w:tcBorders>
              <w:bottom w:val="single" w:sz="8" w:color="auto"/>
              <w:right w:val="single" w:sz="8" w:color="auto"/>
            </w:tcBorders>
          </w:tcPr>
          <w:p>
            <w:pPr>
              <w:spacing w:after="0"/>
              <w:rPr>
                <w:sz w:val="12"/>
                <w:szCs w:val="12"/>
                <w:color w:val="auto"/>
              </w:rPr>
            </w:pPr>
          </w:p>
        </w:tc>
        <w:tc>
          <w:tcPr>
            <w:tcW w:w="188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6"/>
        </w:trPr>
        <w:tc>
          <w:tcPr>
            <w:tcW w:w="3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2"/>
                <w:szCs w:val="22"/>
                <w:color w:val="auto"/>
              </w:rPr>
              <w:t xml:space="preserve">Fill Product </w:t>
            </w:r>
            <w:r>
              <w:rPr>
                <w:rFonts w:ascii="Arial" w:cs="Arial" w:eastAsia="Arial" w:hAnsi="Arial"/>
                <w:sz w:val="19"/>
                <w:szCs w:val="19"/>
                <w:color w:val="auto"/>
              </w:rPr>
              <w:t>[* * *]</w:t>
            </w:r>
          </w:p>
        </w:tc>
        <w:tc>
          <w:tcPr>
            <w:tcW w:w="2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3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3"/>
              </w:rPr>
              <w:t>*Specially</w:t>
            </w:r>
          </w:p>
        </w:tc>
        <w:tc>
          <w:tcPr>
            <w:tcW w:w="0" w:type="dxa"/>
            <w:vAlign w:val="bottom"/>
          </w:tcPr>
          <w:p>
            <w:pPr>
              <w:spacing w:after="0"/>
              <w:rPr>
                <w:sz w:val="1"/>
                <w:szCs w:val="1"/>
                <w:color w:val="auto"/>
              </w:rPr>
            </w:pPr>
          </w:p>
        </w:tc>
      </w:tr>
      <w:tr>
        <w:trPr>
          <w:trHeight w:val="139"/>
        </w:trPr>
        <w:tc>
          <w:tcPr>
            <w:tcW w:w="3320" w:type="dxa"/>
            <w:vAlign w:val="bottom"/>
            <w:tcBorders>
              <w:left w:val="single" w:sz="8" w:color="auto"/>
              <w:right w:val="single" w:sz="8" w:color="auto"/>
            </w:tcBorders>
            <w:vMerge w:val="continue"/>
          </w:tcPr>
          <w:p>
            <w:pPr>
              <w:spacing w:after="0"/>
              <w:rPr>
                <w:sz w:val="12"/>
                <w:szCs w:val="12"/>
                <w:color w:val="auto"/>
              </w:rPr>
            </w:pPr>
          </w:p>
        </w:tc>
        <w:tc>
          <w:tcPr>
            <w:tcW w:w="2440" w:type="dxa"/>
            <w:vAlign w:val="bottom"/>
            <w:tcBorders>
              <w:right w:val="single" w:sz="8" w:color="auto"/>
            </w:tcBorders>
            <w:vMerge w:val="continue"/>
          </w:tcPr>
          <w:p>
            <w:pPr>
              <w:spacing w:after="0"/>
              <w:rPr>
                <w:sz w:val="12"/>
                <w:szCs w:val="12"/>
                <w:color w:val="auto"/>
              </w:rPr>
            </w:pPr>
          </w:p>
        </w:tc>
        <w:tc>
          <w:tcPr>
            <w:tcW w:w="3400" w:type="dxa"/>
            <w:vAlign w:val="bottom"/>
            <w:tcBorders>
              <w:right w:val="single" w:sz="8" w:color="auto"/>
            </w:tcBorders>
            <w:vMerge w:val="continue"/>
          </w:tcPr>
          <w:p>
            <w:pPr>
              <w:spacing w:after="0"/>
              <w:rPr>
                <w:sz w:val="12"/>
                <w:szCs w:val="12"/>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Negotiated</w:t>
            </w:r>
          </w:p>
        </w:tc>
        <w:tc>
          <w:tcPr>
            <w:tcW w:w="0" w:type="dxa"/>
            <w:vAlign w:val="bottom"/>
          </w:tcPr>
          <w:p>
            <w:pPr>
              <w:spacing w:after="0"/>
              <w:rPr>
                <w:sz w:val="1"/>
                <w:szCs w:val="1"/>
                <w:color w:val="auto"/>
              </w:rPr>
            </w:pPr>
          </w:p>
        </w:tc>
      </w:tr>
      <w:tr>
        <w:trPr>
          <w:trHeight w:val="145"/>
        </w:trPr>
        <w:tc>
          <w:tcPr>
            <w:tcW w:w="3320" w:type="dxa"/>
            <w:vAlign w:val="bottom"/>
            <w:tcBorders>
              <w:left w:val="single" w:sz="8" w:color="auto"/>
              <w:bottom w:val="single" w:sz="8" w:color="auto"/>
              <w:right w:val="single" w:sz="8" w:color="auto"/>
            </w:tcBorders>
          </w:tcPr>
          <w:p>
            <w:pPr>
              <w:spacing w:after="0"/>
              <w:rPr>
                <w:sz w:val="12"/>
                <w:szCs w:val="12"/>
                <w:color w:val="auto"/>
              </w:rPr>
            </w:pPr>
          </w:p>
        </w:tc>
        <w:tc>
          <w:tcPr>
            <w:tcW w:w="2440" w:type="dxa"/>
            <w:vAlign w:val="bottom"/>
            <w:tcBorders>
              <w:bottom w:val="single" w:sz="8" w:color="auto"/>
              <w:right w:val="single" w:sz="8" w:color="auto"/>
            </w:tcBorders>
          </w:tcPr>
          <w:p>
            <w:pPr>
              <w:spacing w:after="0"/>
              <w:rPr>
                <w:sz w:val="12"/>
                <w:szCs w:val="12"/>
                <w:color w:val="auto"/>
              </w:rPr>
            </w:pPr>
          </w:p>
        </w:tc>
        <w:tc>
          <w:tcPr>
            <w:tcW w:w="3400" w:type="dxa"/>
            <w:vAlign w:val="bottom"/>
            <w:tcBorders>
              <w:bottom w:val="single" w:sz="8" w:color="auto"/>
              <w:right w:val="single" w:sz="8" w:color="auto"/>
            </w:tcBorders>
          </w:tcPr>
          <w:p>
            <w:pPr>
              <w:spacing w:after="0"/>
              <w:rPr>
                <w:sz w:val="12"/>
                <w:szCs w:val="12"/>
                <w:color w:val="auto"/>
              </w:rPr>
            </w:pPr>
          </w:p>
        </w:tc>
        <w:tc>
          <w:tcPr>
            <w:tcW w:w="188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6"/>
        </w:trPr>
        <w:tc>
          <w:tcPr>
            <w:tcW w:w="3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2"/>
                <w:szCs w:val="22"/>
                <w:color w:val="auto"/>
              </w:rPr>
              <w:t xml:space="preserve">Fill Product </w:t>
            </w:r>
            <w:r>
              <w:rPr>
                <w:rFonts w:ascii="Arial" w:cs="Arial" w:eastAsia="Arial" w:hAnsi="Arial"/>
                <w:sz w:val="19"/>
                <w:szCs w:val="19"/>
                <w:color w:val="auto"/>
              </w:rPr>
              <w:t>[* * *]</w:t>
            </w:r>
          </w:p>
        </w:tc>
        <w:tc>
          <w:tcPr>
            <w:tcW w:w="2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3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3"/>
              </w:rPr>
              <w:t>*Specially</w:t>
            </w:r>
          </w:p>
        </w:tc>
        <w:tc>
          <w:tcPr>
            <w:tcW w:w="0" w:type="dxa"/>
            <w:vAlign w:val="bottom"/>
          </w:tcPr>
          <w:p>
            <w:pPr>
              <w:spacing w:after="0"/>
              <w:rPr>
                <w:sz w:val="1"/>
                <w:szCs w:val="1"/>
                <w:color w:val="auto"/>
              </w:rPr>
            </w:pPr>
          </w:p>
        </w:tc>
      </w:tr>
      <w:tr>
        <w:trPr>
          <w:trHeight w:val="139"/>
        </w:trPr>
        <w:tc>
          <w:tcPr>
            <w:tcW w:w="3320" w:type="dxa"/>
            <w:vAlign w:val="bottom"/>
            <w:tcBorders>
              <w:left w:val="single" w:sz="8" w:color="auto"/>
              <w:right w:val="single" w:sz="8" w:color="auto"/>
            </w:tcBorders>
            <w:vMerge w:val="continue"/>
          </w:tcPr>
          <w:p>
            <w:pPr>
              <w:spacing w:after="0"/>
              <w:rPr>
                <w:sz w:val="12"/>
                <w:szCs w:val="12"/>
                <w:color w:val="auto"/>
              </w:rPr>
            </w:pPr>
          </w:p>
        </w:tc>
        <w:tc>
          <w:tcPr>
            <w:tcW w:w="2440" w:type="dxa"/>
            <w:vAlign w:val="bottom"/>
            <w:tcBorders>
              <w:right w:val="single" w:sz="8" w:color="auto"/>
            </w:tcBorders>
            <w:vMerge w:val="continue"/>
          </w:tcPr>
          <w:p>
            <w:pPr>
              <w:spacing w:after="0"/>
              <w:rPr>
                <w:sz w:val="12"/>
                <w:szCs w:val="12"/>
                <w:color w:val="auto"/>
              </w:rPr>
            </w:pPr>
          </w:p>
        </w:tc>
        <w:tc>
          <w:tcPr>
            <w:tcW w:w="3400" w:type="dxa"/>
            <w:vAlign w:val="bottom"/>
            <w:tcBorders>
              <w:right w:val="single" w:sz="8" w:color="auto"/>
            </w:tcBorders>
            <w:vMerge w:val="continue"/>
          </w:tcPr>
          <w:p>
            <w:pPr>
              <w:spacing w:after="0"/>
              <w:rPr>
                <w:sz w:val="12"/>
                <w:szCs w:val="12"/>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Negotiated</w:t>
            </w:r>
          </w:p>
        </w:tc>
        <w:tc>
          <w:tcPr>
            <w:tcW w:w="0" w:type="dxa"/>
            <w:vAlign w:val="bottom"/>
          </w:tcPr>
          <w:p>
            <w:pPr>
              <w:spacing w:after="0"/>
              <w:rPr>
                <w:sz w:val="1"/>
                <w:szCs w:val="1"/>
                <w:color w:val="auto"/>
              </w:rPr>
            </w:pPr>
          </w:p>
        </w:tc>
      </w:tr>
      <w:tr>
        <w:trPr>
          <w:trHeight w:val="145"/>
        </w:trPr>
        <w:tc>
          <w:tcPr>
            <w:tcW w:w="3320" w:type="dxa"/>
            <w:vAlign w:val="bottom"/>
            <w:tcBorders>
              <w:left w:val="single" w:sz="8" w:color="auto"/>
              <w:bottom w:val="single" w:sz="8" w:color="auto"/>
              <w:right w:val="single" w:sz="8" w:color="auto"/>
            </w:tcBorders>
          </w:tcPr>
          <w:p>
            <w:pPr>
              <w:spacing w:after="0"/>
              <w:rPr>
                <w:sz w:val="12"/>
                <w:szCs w:val="12"/>
                <w:color w:val="auto"/>
              </w:rPr>
            </w:pPr>
          </w:p>
        </w:tc>
        <w:tc>
          <w:tcPr>
            <w:tcW w:w="2440" w:type="dxa"/>
            <w:vAlign w:val="bottom"/>
            <w:tcBorders>
              <w:bottom w:val="single" w:sz="8" w:color="auto"/>
              <w:right w:val="single" w:sz="8" w:color="auto"/>
            </w:tcBorders>
          </w:tcPr>
          <w:p>
            <w:pPr>
              <w:spacing w:after="0"/>
              <w:rPr>
                <w:sz w:val="12"/>
                <w:szCs w:val="12"/>
                <w:color w:val="auto"/>
              </w:rPr>
            </w:pPr>
          </w:p>
        </w:tc>
        <w:tc>
          <w:tcPr>
            <w:tcW w:w="3400" w:type="dxa"/>
            <w:vAlign w:val="bottom"/>
            <w:tcBorders>
              <w:bottom w:val="single" w:sz="8" w:color="auto"/>
              <w:right w:val="single" w:sz="8" w:color="auto"/>
            </w:tcBorders>
          </w:tcPr>
          <w:p>
            <w:pPr>
              <w:spacing w:after="0"/>
              <w:rPr>
                <w:sz w:val="12"/>
                <w:szCs w:val="12"/>
                <w:color w:val="auto"/>
              </w:rPr>
            </w:pPr>
          </w:p>
        </w:tc>
        <w:tc>
          <w:tcPr>
            <w:tcW w:w="188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6"/>
        </w:trPr>
        <w:tc>
          <w:tcPr>
            <w:tcW w:w="3320" w:type="dxa"/>
            <w:vAlign w:val="bottom"/>
            <w:tcBorders>
              <w:left w:val="single" w:sz="8" w:color="auto"/>
              <w:right w:val="single" w:sz="8" w:color="auto"/>
            </w:tcBorders>
          </w:tcPr>
          <w:p>
            <w:pPr>
              <w:spacing w:after="0"/>
              <w:rPr>
                <w:sz w:val="23"/>
                <w:szCs w:val="23"/>
                <w:color w:val="auto"/>
              </w:rPr>
            </w:pP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0" w:type="dxa"/>
            <w:vAlign w:val="bottom"/>
            <w:tcBorders>
              <w:right w:val="single" w:sz="8" w:color="auto"/>
            </w:tcBorders>
          </w:tcPr>
          <w:p>
            <w:pPr>
              <w:spacing w:after="0"/>
              <w:rPr>
                <w:sz w:val="23"/>
                <w:szCs w:val="23"/>
                <w:color w:val="auto"/>
              </w:rPr>
            </w:pP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i w:val="1"/>
                <w:iCs w:val="1"/>
                <w:color w:val="auto"/>
                <w:w w:val="86"/>
              </w:rPr>
              <w:t>*Specially</w:t>
            </w:r>
          </w:p>
        </w:tc>
        <w:tc>
          <w:tcPr>
            <w:tcW w:w="0" w:type="dxa"/>
            <w:vAlign w:val="bottom"/>
          </w:tcPr>
          <w:p>
            <w:pPr>
              <w:spacing w:after="0"/>
              <w:rPr>
                <w:sz w:val="1"/>
                <w:szCs w:val="1"/>
                <w:color w:val="auto"/>
              </w:rPr>
            </w:pPr>
          </w:p>
        </w:tc>
      </w:tr>
      <w:tr>
        <w:trPr>
          <w:trHeight w:val="285"/>
        </w:trPr>
        <w:tc>
          <w:tcPr>
            <w:tcW w:w="3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i w:val="1"/>
                <w:iCs w:val="1"/>
                <w:color w:val="auto"/>
              </w:rPr>
              <w:t xml:space="preserve">Fill Product </w:t>
            </w:r>
            <w:r>
              <w:rPr>
                <w:rFonts w:ascii="Arial" w:cs="Arial" w:eastAsia="Arial" w:hAnsi="Arial"/>
                <w:sz w:val="19"/>
                <w:szCs w:val="19"/>
                <w:color w:val="auto"/>
              </w:rPr>
              <w:t>[* * *]</w:t>
            </w:r>
          </w:p>
        </w:tc>
        <w:tc>
          <w:tcPr>
            <w:tcW w:w="2440" w:type="dxa"/>
            <w:vAlign w:val="bottom"/>
            <w:tcBorders>
              <w:bottom w:val="single" w:sz="8" w:color="auto"/>
              <w:right w:val="single" w:sz="8" w:color="auto"/>
            </w:tcBorders>
          </w:tcPr>
          <w:p>
            <w:pPr>
              <w:spacing w:after="0"/>
              <w:rPr>
                <w:sz w:val="24"/>
                <w:szCs w:val="24"/>
                <w:color w:val="auto"/>
              </w:rPr>
            </w:pP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i w:val="1"/>
                <w:iCs w:val="1"/>
                <w:color w:val="auto"/>
                <w:w w:val="84"/>
              </w:rPr>
              <w:t>Negotiated</w:t>
            </w:r>
          </w:p>
        </w:tc>
        <w:tc>
          <w:tcPr>
            <w:tcW w:w="0" w:type="dxa"/>
            <w:vAlign w:val="bottom"/>
          </w:tcPr>
          <w:p>
            <w:pPr>
              <w:spacing w:after="0"/>
              <w:rPr>
                <w:sz w:val="1"/>
                <w:szCs w:val="1"/>
                <w:color w:val="auto"/>
              </w:rPr>
            </w:pPr>
          </w:p>
        </w:tc>
      </w:tr>
      <w:tr>
        <w:trPr>
          <w:trHeight w:val="276"/>
        </w:trPr>
        <w:tc>
          <w:tcPr>
            <w:tcW w:w="3320" w:type="dxa"/>
            <w:vAlign w:val="bottom"/>
            <w:tcBorders>
              <w:left w:val="single" w:sz="8" w:color="auto"/>
              <w:right w:val="single" w:sz="8" w:color="auto"/>
            </w:tcBorders>
          </w:tcPr>
          <w:p>
            <w:pPr>
              <w:spacing w:after="0"/>
              <w:rPr>
                <w:sz w:val="23"/>
                <w:szCs w:val="23"/>
                <w:color w:val="auto"/>
              </w:rPr>
            </w:pP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0" w:type="dxa"/>
            <w:vAlign w:val="bottom"/>
            <w:tcBorders>
              <w:right w:val="single" w:sz="8" w:color="auto"/>
            </w:tcBorders>
          </w:tcPr>
          <w:p>
            <w:pPr>
              <w:spacing w:after="0"/>
              <w:rPr>
                <w:sz w:val="23"/>
                <w:szCs w:val="23"/>
                <w:color w:val="auto"/>
              </w:rPr>
            </w:pP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i w:val="1"/>
                <w:iCs w:val="1"/>
                <w:color w:val="auto"/>
                <w:w w:val="86"/>
              </w:rPr>
              <w:t>*Specially</w:t>
            </w:r>
          </w:p>
        </w:tc>
        <w:tc>
          <w:tcPr>
            <w:tcW w:w="0" w:type="dxa"/>
            <w:vAlign w:val="bottom"/>
          </w:tcPr>
          <w:p>
            <w:pPr>
              <w:spacing w:after="0"/>
              <w:rPr>
                <w:sz w:val="1"/>
                <w:szCs w:val="1"/>
                <w:color w:val="auto"/>
              </w:rPr>
            </w:pPr>
          </w:p>
        </w:tc>
      </w:tr>
      <w:tr>
        <w:trPr>
          <w:trHeight w:val="285"/>
        </w:trPr>
        <w:tc>
          <w:tcPr>
            <w:tcW w:w="3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i w:val="1"/>
                <w:iCs w:val="1"/>
                <w:color w:val="auto"/>
              </w:rPr>
              <w:t xml:space="preserve">Fill Product </w:t>
            </w:r>
            <w:r>
              <w:rPr>
                <w:rFonts w:ascii="Arial" w:cs="Arial" w:eastAsia="Arial" w:hAnsi="Arial"/>
                <w:sz w:val="19"/>
                <w:szCs w:val="19"/>
                <w:color w:val="auto"/>
              </w:rPr>
              <w:t>[* * *]</w:t>
            </w:r>
          </w:p>
        </w:tc>
        <w:tc>
          <w:tcPr>
            <w:tcW w:w="2440" w:type="dxa"/>
            <w:vAlign w:val="bottom"/>
            <w:tcBorders>
              <w:bottom w:val="single" w:sz="8" w:color="auto"/>
              <w:right w:val="single" w:sz="8" w:color="auto"/>
            </w:tcBorders>
          </w:tcPr>
          <w:p>
            <w:pPr>
              <w:spacing w:after="0"/>
              <w:rPr>
                <w:sz w:val="24"/>
                <w:szCs w:val="24"/>
                <w:color w:val="auto"/>
              </w:rPr>
            </w:pP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i w:val="1"/>
                <w:iCs w:val="1"/>
                <w:color w:val="auto"/>
                <w:w w:val="84"/>
              </w:rPr>
              <w:t>Negotiated</w:t>
            </w:r>
          </w:p>
        </w:tc>
        <w:tc>
          <w:tcPr>
            <w:tcW w:w="0" w:type="dxa"/>
            <w:vAlign w:val="bottom"/>
          </w:tcPr>
          <w:p>
            <w:pPr>
              <w:spacing w:after="0"/>
              <w:rPr>
                <w:sz w:val="1"/>
                <w:szCs w:val="1"/>
                <w:color w:val="auto"/>
              </w:rPr>
            </w:pPr>
          </w:p>
        </w:tc>
      </w:tr>
      <w:tr>
        <w:trPr>
          <w:trHeight w:val="276"/>
        </w:trPr>
        <w:tc>
          <w:tcPr>
            <w:tcW w:w="3320" w:type="dxa"/>
            <w:vAlign w:val="bottom"/>
            <w:tcBorders>
              <w:left w:val="single" w:sz="8" w:color="auto"/>
              <w:right w:val="single" w:sz="8" w:color="auto"/>
            </w:tcBorders>
          </w:tcPr>
          <w:p>
            <w:pPr>
              <w:spacing w:after="0"/>
              <w:rPr>
                <w:sz w:val="23"/>
                <w:szCs w:val="23"/>
                <w:color w:val="auto"/>
              </w:rPr>
            </w:pP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0" w:type="dxa"/>
            <w:vAlign w:val="bottom"/>
            <w:tcBorders>
              <w:right w:val="single" w:sz="8" w:color="auto"/>
            </w:tcBorders>
          </w:tcPr>
          <w:p>
            <w:pPr>
              <w:spacing w:after="0"/>
              <w:rPr>
                <w:sz w:val="23"/>
                <w:szCs w:val="23"/>
                <w:color w:val="auto"/>
              </w:rPr>
            </w:pP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i w:val="1"/>
                <w:iCs w:val="1"/>
                <w:color w:val="auto"/>
                <w:w w:val="86"/>
              </w:rPr>
              <w:t>*Specially</w:t>
            </w:r>
          </w:p>
        </w:tc>
        <w:tc>
          <w:tcPr>
            <w:tcW w:w="0" w:type="dxa"/>
            <w:vAlign w:val="bottom"/>
          </w:tcPr>
          <w:p>
            <w:pPr>
              <w:spacing w:after="0"/>
              <w:rPr>
                <w:sz w:val="1"/>
                <w:szCs w:val="1"/>
                <w:color w:val="auto"/>
              </w:rPr>
            </w:pPr>
          </w:p>
        </w:tc>
      </w:tr>
      <w:tr>
        <w:trPr>
          <w:trHeight w:val="285"/>
        </w:trPr>
        <w:tc>
          <w:tcPr>
            <w:tcW w:w="3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i w:val="1"/>
                <w:iCs w:val="1"/>
                <w:color w:val="auto"/>
              </w:rPr>
              <w:t xml:space="preserve">Fill Product </w:t>
            </w:r>
            <w:r>
              <w:rPr>
                <w:rFonts w:ascii="Arial" w:cs="Arial" w:eastAsia="Arial" w:hAnsi="Arial"/>
                <w:sz w:val="19"/>
                <w:szCs w:val="19"/>
                <w:color w:val="auto"/>
              </w:rPr>
              <w:t>[* * *]</w:t>
            </w:r>
          </w:p>
        </w:tc>
        <w:tc>
          <w:tcPr>
            <w:tcW w:w="2440" w:type="dxa"/>
            <w:vAlign w:val="bottom"/>
            <w:tcBorders>
              <w:bottom w:val="single" w:sz="8" w:color="auto"/>
              <w:right w:val="single" w:sz="8" w:color="auto"/>
            </w:tcBorders>
          </w:tcPr>
          <w:p>
            <w:pPr>
              <w:spacing w:after="0"/>
              <w:rPr>
                <w:sz w:val="24"/>
                <w:szCs w:val="24"/>
                <w:color w:val="auto"/>
              </w:rPr>
            </w:pP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i w:val="1"/>
                <w:iCs w:val="1"/>
                <w:color w:val="auto"/>
                <w:w w:val="84"/>
              </w:rPr>
              <w:t>Negotiated</w:t>
            </w:r>
          </w:p>
        </w:tc>
        <w:tc>
          <w:tcPr>
            <w:tcW w:w="0" w:type="dxa"/>
            <w:vAlign w:val="bottom"/>
          </w:tcPr>
          <w:p>
            <w:pPr>
              <w:spacing w:after="0"/>
              <w:rPr>
                <w:sz w:val="1"/>
                <w:szCs w:val="1"/>
                <w:color w:val="auto"/>
              </w:rPr>
            </w:pPr>
          </w:p>
        </w:tc>
      </w:tr>
      <w:tr>
        <w:trPr>
          <w:trHeight w:val="276"/>
        </w:trPr>
        <w:tc>
          <w:tcPr>
            <w:tcW w:w="3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2"/>
                <w:szCs w:val="22"/>
                <w:color w:val="auto"/>
              </w:rPr>
              <w:t>Package/Label Product</w:t>
            </w:r>
          </w:p>
        </w:tc>
        <w:tc>
          <w:tcPr>
            <w:tcW w:w="2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3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3"/>
              </w:rPr>
              <w:t>*Specially</w:t>
            </w:r>
          </w:p>
        </w:tc>
        <w:tc>
          <w:tcPr>
            <w:tcW w:w="0" w:type="dxa"/>
            <w:vAlign w:val="bottom"/>
          </w:tcPr>
          <w:p>
            <w:pPr>
              <w:spacing w:after="0"/>
              <w:rPr>
                <w:sz w:val="1"/>
                <w:szCs w:val="1"/>
                <w:color w:val="auto"/>
              </w:rPr>
            </w:pPr>
          </w:p>
        </w:tc>
      </w:tr>
      <w:tr>
        <w:trPr>
          <w:trHeight w:val="139"/>
        </w:trPr>
        <w:tc>
          <w:tcPr>
            <w:tcW w:w="3320" w:type="dxa"/>
            <w:vAlign w:val="bottom"/>
            <w:tcBorders>
              <w:left w:val="single" w:sz="8" w:color="auto"/>
              <w:right w:val="single" w:sz="8" w:color="auto"/>
            </w:tcBorders>
            <w:vMerge w:val="continue"/>
          </w:tcPr>
          <w:p>
            <w:pPr>
              <w:spacing w:after="0"/>
              <w:rPr>
                <w:sz w:val="12"/>
                <w:szCs w:val="12"/>
                <w:color w:val="auto"/>
              </w:rPr>
            </w:pPr>
          </w:p>
        </w:tc>
        <w:tc>
          <w:tcPr>
            <w:tcW w:w="2440" w:type="dxa"/>
            <w:vAlign w:val="bottom"/>
            <w:tcBorders>
              <w:right w:val="single" w:sz="8" w:color="auto"/>
            </w:tcBorders>
            <w:vMerge w:val="continue"/>
          </w:tcPr>
          <w:p>
            <w:pPr>
              <w:spacing w:after="0"/>
              <w:rPr>
                <w:sz w:val="12"/>
                <w:szCs w:val="12"/>
                <w:color w:val="auto"/>
              </w:rPr>
            </w:pPr>
          </w:p>
        </w:tc>
        <w:tc>
          <w:tcPr>
            <w:tcW w:w="3400" w:type="dxa"/>
            <w:vAlign w:val="bottom"/>
            <w:tcBorders>
              <w:right w:val="single" w:sz="8" w:color="auto"/>
            </w:tcBorders>
            <w:vMerge w:val="continue"/>
          </w:tcPr>
          <w:p>
            <w:pPr>
              <w:spacing w:after="0"/>
              <w:rPr>
                <w:sz w:val="12"/>
                <w:szCs w:val="12"/>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Negotiated</w:t>
            </w:r>
          </w:p>
        </w:tc>
        <w:tc>
          <w:tcPr>
            <w:tcW w:w="0" w:type="dxa"/>
            <w:vAlign w:val="bottom"/>
          </w:tcPr>
          <w:p>
            <w:pPr>
              <w:spacing w:after="0"/>
              <w:rPr>
                <w:sz w:val="1"/>
                <w:szCs w:val="1"/>
                <w:color w:val="auto"/>
              </w:rPr>
            </w:pPr>
          </w:p>
        </w:tc>
      </w:tr>
      <w:tr>
        <w:trPr>
          <w:trHeight w:val="145"/>
        </w:trPr>
        <w:tc>
          <w:tcPr>
            <w:tcW w:w="3320" w:type="dxa"/>
            <w:vAlign w:val="bottom"/>
            <w:tcBorders>
              <w:left w:val="single" w:sz="8" w:color="auto"/>
              <w:bottom w:val="single" w:sz="8" w:color="auto"/>
              <w:right w:val="single" w:sz="8" w:color="auto"/>
            </w:tcBorders>
          </w:tcPr>
          <w:p>
            <w:pPr>
              <w:spacing w:after="0"/>
              <w:rPr>
                <w:sz w:val="12"/>
                <w:szCs w:val="12"/>
                <w:color w:val="auto"/>
              </w:rPr>
            </w:pPr>
          </w:p>
        </w:tc>
        <w:tc>
          <w:tcPr>
            <w:tcW w:w="2440" w:type="dxa"/>
            <w:vAlign w:val="bottom"/>
            <w:tcBorders>
              <w:bottom w:val="single" w:sz="8" w:color="auto"/>
              <w:right w:val="single" w:sz="8" w:color="auto"/>
            </w:tcBorders>
          </w:tcPr>
          <w:p>
            <w:pPr>
              <w:spacing w:after="0"/>
              <w:rPr>
                <w:sz w:val="12"/>
                <w:szCs w:val="12"/>
                <w:color w:val="auto"/>
              </w:rPr>
            </w:pPr>
          </w:p>
        </w:tc>
        <w:tc>
          <w:tcPr>
            <w:tcW w:w="3400" w:type="dxa"/>
            <w:vAlign w:val="bottom"/>
            <w:tcBorders>
              <w:bottom w:val="single" w:sz="8" w:color="auto"/>
              <w:right w:val="single" w:sz="8" w:color="auto"/>
            </w:tcBorders>
          </w:tcPr>
          <w:p>
            <w:pPr>
              <w:spacing w:after="0"/>
              <w:rPr>
                <w:sz w:val="12"/>
                <w:szCs w:val="12"/>
                <w:color w:val="auto"/>
              </w:rPr>
            </w:pPr>
          </w:p>
        </w:tc>
        <w:tc>
          <w:tcPr>
            <w:tcW w:w="188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6"/>
        </w:trPr>
        <w:tc>
          <w:tcPr>
            <w:tcW w:w="3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6"/>
              </w:rPr>
              <w:t xml:space="preserve">Storage of Drug Product in VMI </w:t>
            </w:r>
            <w:r>
              <w:rPr>
                <w:rFonts w:ascii="Arial" w:cs="Arial" w:eastAsia="Arial" w:hAnsi="Arial"/>
                <w:sz w:val="19"/>
                <w:szCs w:val="19"/>
                <w:color w:val="auto"/>
                <w:w w:val="96"/>
              </w:rPr>
              <w:t>[* *</w:t>
            </w:r>
          </w:p>
        </w:tc>
        <w:tc>
          <w:tcPr>
            <w:tcW w:w="2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3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3"/>
              </w:rPr>
              <w:t>*Specially</w:t>
            </w:r>
          </w:p>
        </w:tc>
        <w:tc>
          <w:tcPr>
            <w:tcW w:w="0" w:type="dxa"/>
            <w:vAlign w:val="bottom"/>
          </w:tcPr>
          <w:p>
            <w:pPr>
              <w:spacing w:after="0"/>
              <w:rPr>
                <w:sz w:val="1"/>
                <w:szCs w:val="1"/>
                <w:color w:val="auto"/>
              </w:rPr>
            </w:pPr>
          </w:p>
        </w:tc>
      </w:tr>
      <w:tr>
        <w:trPr>
          <w:trHeight w:val="120"/>
        </w:trPr>
        <w:tc>
          <w:tcPr>
            <w:tcW w:w="3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w:t>
            </w:r>
          </w:p>
        </w:tc>
        <w:tc>
          <w:tcPr>
            <w:tcW w:w="2440" w:type="dxa"/>
            <w:vAlign w:val="bottom"/>
            <w:tcBorders>
              <w:right w:val="single" w:sz="8" w:color="auto"/>
            </w:tcBorders>
            <w:vMerge w:val="continue"/>
          </w:tcPr>
          <w:p>
            <w:pPr>
              <w:spacing w:after="0"/>
              <w:rPr>
                <w:sz w:val="10"/>
                <w:szCs w:val="10"/>
                <w:color w:val="auto"/>
              </w:rPr>
            </w:pPr>
          </w:p>
        </w:tc>
        <w:tc>
          <w:tcPr>
            <w:tcW w:w="3400" w:type="dxa"/>
            <w:vAlign w:val="bottom"/>
            <w:tcBorders>
              <w:right w:val="single" w:sz="8" w:color="auto"/>
            </w:tcBorders>
            <w:vMerge w:val="continue"/>
          </w:tcPr>
          <w:p>
            <w:pPr>
              <w:spacing w:after="0"/>
              <w:rPr>
                <w:sz w:val="10"/>
                <w:szCs w:val="10"/>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Negotiated</w:t>
            </w:r>
          </w:p>
        </w:tc>
        <w:tc>
          <w:tcPr>
            <w:tcW w:w="0" w:type="dxa"/>
            <w:vAlign w:val="bottom"/>
          </w:tcPr>
          <w:p>
            <w:pPr>
              <w:spacing w:after="0"/>
              <w:rPr>
                <w:sz w:val="1"/>
                <w:szCs w:val="1"/>
                <w:color w:val="auto"/>
              </w:rPr>
            </w:pPr>
          </w:p>
        </w:tc>
      </w:tr>
      <w:tr>
        <w:trPr>
          <w:trHeight w:val="165"/>
        </w:trPr>
        <w:tc>
          <w:tcPr>
            <w:tcW w:w="332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2440" w:type="dxa"/>
            <w:vAlign w:val="bottom"/>
            <w:tcBorders>
              <w:bottom w:val="single" w:sz="8" w:color="auto"/>
              <w:right w:val="single" w:sz="8" w:color="auto"/>
            </w:tcBorders>
          </w:tcPr>
          <w:p>
            <w:pPr>
              <w:spacing w:after="0"/>
              <w:rPr>
                <w:sz w:val="14"/>
                <w:szCs w:val="14"/>
                <w:color w:val="auto"/>
              </w:rPr>
            </w:pPr>
          </w:p>
        </w:tc>
        <w:tc>
          <w:tcPr>
            <w:tcW w:w="3400" w:type="dxa"/>
            <w:vAlign w:val="bottom"/>
            <w:tcBorders>
              <w:bottom w:val="single" w:sz="8" w:color="auto"/>
              <w:right w:val="single" w:sz="8" w:color="auto"/>
            </w:tcBorders>
          </w:tcPr>
          <w:p>
            <w:pPr>
              <w:spacing w:after="0"/>
              <w:rPr>
                <w:sz w:val="14"/>
                <w:szCs w:val="14"/>
                <w:color w:val="auto"/>
              </w:rPr>
            </w:pPr>
          </w:p>
        </w:tc>
        <w:tc>
          <w:tcPr>
            <w:tcW w:w="188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3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6"/>
              </w:rPr>
              <w:t xml:space="preserve">Storage of Drug Product in VMI </w:t>
            </w:r>
            <w:r>
              <w:rPr>
                <w:rFonts w:ascii="Arial" w:cs="Arial" w:eastAsia="Arial" w:hAnsi="Arial"/>
                <w:sz w:val="19"/>
                <w:szCs w:val="19"/>
                <w:color w:val="auto"/>
                <w:w w:val="96"/>
              </w:rPr>
              <w:t>[* *</w:t>
            </w:r>
          </w:p>
        </w:tc>
        <w:tc>
          <w:tcPr>
            <w:tcW w:w="2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3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3"/>
              </w:rPr>
              <w:t>*Specially</w:t>
            </w:r>
          </w:p>
        </w:tc>
        <w:tc>
          <w:tcPr>
            <w:tcW w:w="0" w:type="dxa"/>
            <w:vAlign w:val="bottom"/>
          </w:tcPr>
          <w:p>
            <w:pPr>
              <w:spacing w:after="0"/>
              <w:rPr>
                <w:sz w:val="1"/>
                <w:szCs w:val="1"/>
                <w:color w:val="auto"/>
              </w:rPr>
            </w:pPr>
          </w:p>
        </w:tc>
      </w:tr>
      <w:tr>
        <w:trPr>
          <w:trHeight w:val="120"/>
        </w:trPr>
        <w:tc>
          <w:tcPr>
            <w:tcW w:w="3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w:t>
            </w:r>
          </w:p>
        </w:tc>
        <w:tc>
          <w:tcPr>
            <w:tcW w:w="2440" w:type="dxa"/>
            <w:vAlign w:val="bottom"/>
            <w:tcBorders>
              <w:right w:val="single" w:sz="8" w:color="auto"/>
            </w:tcBorders>
            <w:vMerge w:val="continue"/>
          </w:tcPr>
          <w:p>
            <w:pPr>
              <w:spacing w:after="0"/>
              <w:rPr>
                <w:sz w:val="10"/>
                <w:szCs w:val="10"/>
                <w:color w:val="auto"/>
              </w:rPr>
            </w:pPr>
          </w:p>
        </w:tc>
        <w:tc>
          <w:tcPr>
            <w:tcW w:w="3400" w:type="dxa"/>
            <w:vAlign w:val="bottom"/>
            <w:tcBorders>
              <w:right w:val="single" w:sz="8" w:color="auto"/>
            </w:tcBorders>
            <w:vMerge w:val="continue"/>
          </w:tcPr>
          <w:p>
            <w:pPr>
              <w:spacing w:after="0"/>
              <w:rPr>
                <w:sz w:val="10"/>
                <w:szCs w:val="10"/>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Negotiated</w:t>
            </w:r>
          </w:p>
        </w:tc>
        <w:tc>
          <w:tcPr>
            <w:tcW w:w="0" w:type="dxa"/>
            <w:vAlign w:val="bottom"/>
          </w:tcPr>
          <w:p>
            <w:pPr>
              <w:spacing w:after="0"/>
              <w:rPr>
                <w:sz w:val="1"/>
                <w:szCs w:val="1"/>
                <w:color w:val="auto"/>
              </w:rPr>
            </w:pPr>
          </w:p>
        </w:tc>
      </w:tr>
      <w:tr>
        <w:trPr>
          <w:trHeight w:val="165"/>
        </w:trPr>
        <w:tc>
          <w:tcPr>
            <w:tcW w:w="332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2440" w:type="dxa"/>
            <w:vAlign w:val="bottom"/>
            <w:tcBorders>
              <w:bottom w:val="single" w:sz="8" w:color="auto"/>
              <w:right w:val="single" w:sz="8" w:color="auto"/>
            </w:tcBorders>
          </w:tcPr>
          <w:p>
            <w:pPr>
              <w:spacing w:after="0"/>
              <w:rPr>
                <w:sz w:val="14"/>
                <w:szCs w:val="14"/>
                <w:color w:val="auto"/>
              </w:rPr>
            </w:pPr>
          </w:p>
        </w:tc>
        <w:tc>
          <w:tcPr>
            <w:tcW w:w="3400" w:type="dxa"/>
            <w:vAlign w:val="bottom"/>
            <w:tcBorders>
              <w:bottom w:val="single" w:sz="8" w:color="auto"/>
              <w:right w:val="single" w:sz="8" w:color="auto"/>
            </w:tcBorders>
          </w:tcPr>
          <w:p>
            <w:pPr>
              <w:spacing w:after="0"/>
              <w:rPr>
                <w:sz w:val="14"/>
                <w:szCs w:val="14"/>
                <w:color w:val="auto"/>
              </w:rPr>
            </w:pPr>
          </w:p>
        </w:tc>
        <w:tc>
          <w:tcPr>
            <w:tcW w:w="188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3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6"/>
              </w:rPr>
              <w:t xml:space="preserve">Storage of Drug Product in VMI </w:t>
            </w:r>
            <w:r>
              <w:rPr>
                <w:rFonts w:ascii="Arial" w:cs="Arial" w:eastAsia="Arial" w:hAnsi="Arial"/>
                <w:sz w:val="19"/>
                <w:szCs w:val="19"/>
                <w:color w:val="auto"/>
                <w:w w:val="96"/>
              </w:rPr>
              <w:t>[* *</w:t>
            </w:r>
          </w:p>
        </w:tc>
        <w:tc>
          <w:tcPr>
            <w:tcW w:w="2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3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3"/>
              </w:rPr>
              <w:t>*Specially</w:t>
            </w:r>
          </w:p>
        </w:tc>
        <w:tc>
          <w:tcPr>
            <w:tcW w:w="0" w:type="dxa"/>
            <w:vAlign w:val="bottom"/>
          </w:tcPr>
          <w:p>
            <w:pPr>
              <w:spacing w:after="0"/>
              <w:rPr>
                <w:sz w:val="1"/>
                <w:szCs w:val="1"/>
                <w:color w:val="auto"/>
              </w:rPr>
            </w:pPr>
          </w:p>
        </w:tc>
      </w:tr>
      <w:tr>
        <w:trPr>
          <w:trHeight w:val="120"/>
        </w:trPr>
        <w:tc>
          <w:tcPr>
            <w:tcW w:w="3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w:t>
            </w:r>
          </w:p>
        </w:tc>
        <w:tc>
          <w:tcPr>
            <w:tcW w:w="2440" w:type="dxa"/>
            <w:vAlign w:val="bottom"/>
            <w:tcBorders>
              <w:right w:val="single" w:sz="8" w:color="auto"/>
            </w:tcBorders>
            <w:vMerge w:val="continue"/>
          </w:tcPr>
          <w:p>
            <w:pPr>
              <w:spacing w:after="0"/>
              <w:rPr>
                <w:sz w:val="10"/>
                <w:szCs w:val="10"/>
                <w:color w:val="auto"/>
              </w:rPr>
            </w:pPr>
          </w:p>
        </w:tc>
        <w:tc>
          <w:tcPr>
            <w:tcW w:w="3400" w:type="dxa"/>
            <w:vAlign w:val="bottom"/>
            <w:tcBorders>
              <w:right w:val="single" w:sz="8" w:color="auto"/>
            </w:tcBorders>
            <w:vMerge w:val="continue"/>
          </w:tcPr>
          <w:p>
            <w:pPr>
              <w:spacing w:after="0"/>
              <w:rPr>
                <w:sz w:val="10"/>
                <w:szCs w:val="10"/>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Negotiated</w:t>
            </w:r>
          </w:p>
        </w:tc>
        <w:tc>
          <w:tcPr>
            <w:tcW w:w="0" w:type="dxa"/>
            <w:vAlign w:val="bottom"/>
          </w:tcPr>
          <w:p>
            <w:pPr>
              <w:spacing w:after="0"/>
              <w:rPr>
                <w:sz w:val="1"/>
                <w:szCs w:val="1"/>
                <w:color w:val="auto"/>
              </w:rPr>
            </w:pPr>
          </w:p>
        </w:tc>
      </w:tr>
      <w:tr>
        <w:trPr>
          <w:trHeight w:val="165"/>
        </w:trPr>
        <w:tc>
          <w:tcPr>
            <w:tcW w:w="332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2440" w:type="dxa"/>
            <w:vAlign w:val="bottom"/>
            <w:tcBorders>
              <w:bottom w:val="single" w:sz="8" w:color="auto"/>
              <w:right w:val="single" w:sz="8" w:color="auto"/>
            </w:tcBorders>
          </w:tcPr>
          <w:p>
            <w:pPr>
              <w:spacing w:after="0"/>
              <w:rPr>
                <w:sz w:val="14"/>
                <w:szCs w:val="14"/>
                <w:color w:val="auto"/>
              </w:rPr>
            </w:pPr>
          </w:p>
        </w:tc>
        <w:tc>
          <w:tcPr>
            <w:tcW w:w="3400" w:type="dxa"/>
            <w:vAlign w:val="bottom"/>
            <w:tcBorders>
              <w:bottom w:val="single" w:sz="8" w:color="auto"/>
              <w:right w:val="single" w:sz="8" w:color="auto"/>
            </w:tcBorders>
          </w:tcPr>
          <w:p>
            <w:pPr>
              <w:spacing w:after="0"/>
              <w:rPr>
                <w:sz w:val="14"/>
                <w:szCs w:val="14"/>
                <w:color w:val="auto"/>
              </w:rPr>
            </w:pPr>
          </w:p>
        </w:tc>
        <w:tc>
          <w:tcPr>
            <w:tcW w:w="188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3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6"/>
              </w:rPr>
              <w:t xml:space="preserve">Storage of Drug Product in VMI </w:t>
            </w:r>
            <w:r>
              <w:rPr>
                <w:rFonts w:ascii="Arial" w:cs="Arial" w:eastAsia="Arial" w:hAnsi="Arial"/>
                <w:sz w:val="19"/>
                <w:szCs w:val="19"/>
                <w:color w:val="auto"/>
                <w:w w:val="96"/>
              </w:rPr>
              <w:t>[* *</w:t>
            </w:r>
          </w:p>
        </w:tc>
        <w:tc>
          <w:tcPr>
            <w:tcW w:w="2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3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3"/>
              </w:rPr>
              <w:t>*Specially</w:t>
            </w:r>
          </w:p>
        </w:tc>
        <w:tc>
          <w:tcPr>
            <w:tcW w:w="0" w:type="dxa"/>
            <w:vAlign w:val="bottom"/>
          </w:tcPr>
          <w:p>
            <w:pPr>
              <w:spacing w:after="0"/>
              <w:rPr>
                <w:sz w:val="1"/>
                <w:szCs w:val="1"/>
                <w:color w:val="auto"/>
              </w:rPr>
            </w:pPr>
          </w:p>
        </w:tc>
      </w:tr>
      <w:tr>
        <w:trPr>
          <w:trHeight w:val="120"/>
        </w:trPr>
        <w:tc>
          <w:tcPr>
            <w:tcW w:w="3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w:t>
            </w:r>
          </w:p>
        </w:tc>
        <w:tc>
          <w:tcPr>
            <w:tcW w:w="2440" w:type="dxa"/>
            <w:vAlign w:val="bottom"/>
            <w:tcBorders>
              <w:right w:val="single" w:sz="8" w:color="auto"/>
            </w:tcBorders>
            <w:vMerge w:val="continue"/>
          </w:tcPr>
          <w:p>
            <w:pPr>
              <w:spacing w:after="0"/>
              <w:rPr>
                <w:sz w:val="10"/>
                <w:szCs w:val="10"/>
                <w:color w:val="auto"/>
              </w:rPr>
            </w:pPr>
          </w:p>
        </w:tc>
        <w:tc>
          <w:tcPr>
            <w:tcW w:w="3400" w:type="dxa"/>
            <w:vAlign w:val="bottom"/>
            <w:tcBorders>
              <w:right w:val="single" w:sz="8" w:color="auto"/>
            </w:tcBorders>
            <w:vMerge w:val="continue"/>
          </w:tcPr>
          <w:p>
            <w:pPr>
              <w:spacing w:after="0"/>
              <w:rPr>
                <w:sz w:val="10"/>
                <w:szCs w:val="10"/>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Negotiated</w:t>
            </w:r>
          </w:p>
        </w:tc>
        <w:tc>
          <w:tcPr>
            <w:tcW w:w="0" w:type="dxa"/>
            <w:vAlign w:val="bottom"/>
          </w:tcPr>
          <w:p>
            <w:pPr>
              <w:spacing w:after="0"/>
              <w:rPr>
                <w:sz w:val="1"/>
                <w:szCs w:val="1"/>
                <w:color w:val="auto"/>
              </w:rPr>
            </w:pPr>
          </w:p>
        </w:tc>
      </w:tr>
      <w:tr>
        <w:trPr>
          <w:trHeight w:val="165"/>
        </w:trPr>
        <w:tc>
          <w:tcPr>
            <w:tcW w:w="332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2440" w:type="dxa"/>
            <w:vAlign w:val="bottom"/>
            <w:tcBorders>
              <w:bottom w:val="single" w:sz="8" w:color="auto"/>
              <w:right w:val="single" w:sz="8" w:color="auto"/>
            </w:tcBorders>
          </w:tcPr>
          <w:p>
            <w:pPr>
              <w:spacing w:after="0"/>
              <w:rPr>
                <w:sz w:val="14"/>
                <w:szCs w:val="14"/>
                <w:color w:val="auto"/>
              </w:rPr>
            </w:pPr>
          </w:p>
        </w:tc>
        <w:tc>
          <w:tcPr>
            <w:tcW w:w="3400" w:type="dxa"/>
            <w:vAlign w:val="bottom"/>
            <w:tcBorders>
              <w:bottom w:val="single" w:sz="8" w:color="auto"/>
              <w:right w:val="single" w:sz="8" w:color="auto"/>
            </w:tcBorders>
          </w:tcPr>
          <w:p>
            <w:pPr>
              <w:spacing w:after="0"/>
              <w:rPr>
                <w:sz w:val="14"/>
                <w:szCs w:val="14"/>
                <w:color w:val="auto"/>
              </w:rPr>
            </w:pPr>
          </w:p>
        </w:tc>
        <w:tc>
          <w:tcPr>
            <w:tcW w:w="188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3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i w:val="1"/>
                <w:iCs w:val="1"/>
                <w:color w:val="auto"/>
              </w:rPr>
              <w:t>Support Distribution of Drug</w:t>
            </w:r>
          </w:p>
        </w:tc>
        <w:tc>
          <w:tcPr>
            <w:tcW w:w="2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3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i w:val="1"/>
                <w:iCs w:val="1"/>
                <w:color w:val="auto"/>
                <w:w w:val="86"/>
              </w:rPr>
              <w:t>*Specially</w:t>
            </w:r>
          </w:p>
        </w:tc>
        <w:tc>
          <w:tcPr>
            <w:tcW w:w="0" w:type="dxa"/>
            <w:vAlign w:val="bottom"/>
          </w:tcPr>
          <w:p>
            <w:pPr>
              <w:spacing w:after="0"/>
              <w:rPr>
                <w:sz w:val="1"/>
                <w:szCs w:val="1"/>
                <w:color w:val="auto"/>
              </w:rPr>
            </w:pPr>
          </w:p>
        </w:tc>
      </w:tr>
      <w:tr>
        <w:trPr>
          <w:trHeight w:val="120"/>
        </w:trPr>
        <w:tc>
          <w:tcPr>
            <w:tcW w:w="3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2"/>
                <w:szCs w:val="22"/>
                <w:b w:val="1"/>
                <w:bCs w:val="1"/>
                <w:i w:val="1"/>
                <w:iCs w:val="1"/>
                <w:color w:val="auto"/>
              </w:rPr>
              <w:t xml:space="preserve">Product and </w:t>
            </w:r>
            <w:r>
              <w:rPr>
                <w:rFonts w:ascii="Arial" w:cs="Arial" w:eastAsia="Arial" w:hAnsi="Arial"/>
                <w:sz w:val="19"/>
                <w:szCs w:val="19"/>
                <w:color w:val="auto"/>
              </w:rPr>
              <w:t>[* * *]</w:t>
            </w:r>
          </w:p>
        </w:tc>
        <w:tc>
          <w:tcPr>
            <w:tcW w:w="2440" w:type="dxa"/>
            <w:vAlign w:val="bottom"/>
            <w:tcBorders>
              <w:right w:val="single" w:sz="8" w:color="auto"/>
            </w:tcBorders>
            <w:vMerge w:val="continue"/>
          </w:tcPr>
          <w:p>
            <w:pPr>
              <w:spacing w:after="0"/>
              <w:rPr>
                <w:sz w:val="10"/>
                <w:szCs w:val="10"/>
                <w:color w:val="auto"/>
              </w:rPr>
            </w:pPr>
          </w:p>
        </w:tc>
        <w:tc>
          <w:tcPr>
            <w:tcW w:w="3400" w:type="dxa"/>
            <w:vAlign w:val="bottom"/>
            <w:tcBorders>
              <w:right w:val="single" w:sz="8" w:color="auto"/>
            </w:tcBorders>
            <w:vMerge w:val="continue"/>
          </w:tcPr>
          <w:p>
            <w:pPr>
              <w:spacing w:after="0"/>
              <w:rPr>
                <w:sz w:val="10"/>
                <w:szCs w:val="10"/>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i w:val="1"/>
                <w:iCs w:val="1"/>
                <w:color w:val="auto"/>
                <w:w w:val="84"/>
              </w:rPr>
              <w:t>Negotiated</w:t>
            </w:r>
          </w:p>
        </w:tc>
        <w:tc>
          <w:tcPr>
            <w:tcW w:w="0" w:type="dxa"/>
            <w:vAlign w:val="bottom"/>
          </w:tcPr>
          <w:p>
            <w:pPr>
              <w:spacing w:after="0"/>
              <w:rPr>
                <w:sz w:val="1"/>
                <w:szCs w:val="1"/>
                <w:color w:val="auto"/>
              </w:rPr>
            </w:pPr>
          </w:p>
        </w:tc>
      </w:tr>
      <w:tr>
        <w:trPr>
          <w:trHeight w:val="165"/>
        </w:trPr>
        <w:tc>
          <w:tcPr>
            <w:tcW w:w="332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2440" w:type="dxa"/>
            <w:vAlign w:val="bottom"/>
            <w:tcBorders>
              <w:bottom w:val="single" w:sz="8" w:color="auto"/>
              <w:right w:val="single" w:sz="8" w:color="auto"/>
            </w:tcBorders>
          </w:tcPr>
          <w:p>
            <w:pPr>
              <w:spacing w:after="0"/>
              <w:rPr>
                <w:sz w:val="14"/>
                <w:szCs w:val="14"/>
                <w:color w:val="auto"/>
              </w:rPr>
            </w:pPr>
          </w:p>
        </w:tc>
        <w:tc>
          <w:tcPr>
            <w:tcW w:w="3400" w:type="dxa"/>
            <w:vAlign w:val="bottom"/>
            <w:tcBorders>
              <w:bottom w:val="single" w:sz="8" w:color="auto"/>
              <w:right w:val="single" w:sz="8" w:color="auto"/>
            </w:tcBorders>
          </w:tcPr>
          <w:p>
            <w:pPr>
              <w:spacing w:after="0"/>
              <w:rPr>
                <w:sz w:val="14"/>
                <w:szCs w:val="14"/>
                <w:color w:val="auto"/>
              </w:rPr>
            </w:pPr>
          </w:p>
        </w:tc>
        <w:tc>
          <w:tcPr>
            <w:tcW w:w="188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3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8"/>
              </w:rPr>
              <w:t>Quarterly Technical and Business</w:t>
            </w:r>
          </w:p>
        </w:tc>
        <w:tc>
          <w:tcPr>
            <w:tcW w:w="2440" w:type="dxa"/>
            <w:vAlign w:val="bottom"/>
            <w:tcBorders>
              <w:right w:val="single" w:sz="8" w:color="auto"/>
            </w:tcBorders>
          </w:tcPr>
          <w:p>
            <w:pPr>
              <w:spacing w:after="0"/>
              <w:rPr>
                <w:sz w:val="23"/>
                <w:szCs w:val="23"/>
                <w:color w:val="auto"/>
              </w:rPr>
            </w:pPr>
          </w:p>
        </w:tc>
        <w:tc>
          <w:tcPr>
            <w:tcW w:w="3400" w:type="dxa"/>
            <w:vAlign w:val="bottom"/>
            <w:tcBorders>
              <w:right w:val="single" w:sz="8" w:color="auto"/>
            </w:tcBorders>
          </w:tcPr>
          <w:p>
            <w:pPr>
              <w:spacing w:after="0"/>
              <w:rPr>
                <w:sz w:val="23"/>
                <w:szCs w:val="23"/>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3"/>
              </w:rPr>
              <w:t>*Specially</w:t>
            </w:r>
          </w:p>
        </w:tc>
        <w:tc>
          <w:tcPr>
            <w:tcW w:w="0" w:type="dxa"/>
            <w:vAlign w:val="bottom"/>
          </w:tcPr>
          <w:p>
            <w:pPr>
              <w:spacing w:after="0"/>
              <w:rPr>
                <w:sz w:val="1"/>
                <w:szCs w:val="1"/>
                <w:color w:val="auto"/>
              </w:rPr>
            </w:pPr>
          </w:p>
        </w:tc>
      </w:tr>
      <w:tr>
        <w:trPr>
          <w:trHeight w:val="121"/>
        </w:trPr>
        <w:tc>
          <w:tcPr>
            <w:tcW w:w="3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2"/>
                <w:szCs w:val="22"/>
                <w:color w:val="auto"/>
              </w:rPr>
              <w:t>Status Report, see above for</w:t>
            </w:r>
          </w:p>
        </w:tc>
        <w:tc>
          <w:tcPr>
            <w:tcW w:w="2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3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18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Borders>
              <w:left w:val="single" w:sz="8" w:color="auto"/>
              <w:right w:val="single" w:sz="8" w:color="auto"/>
            </w:tcBorders>
            <w:vMerge w:val="continue"/>
          </w:tcPr>
          <w:p>
            <w:pPr>
              <w:spacing w:after="0"/>
              <w:rPr>
                <w:sz w:val="11"/>
                <w:szCs w:val="11"/>
                <w:color w:val="auto"/>
              </w:rPr>
            </w:pPr>
          </w:p>
        </w:tc>
        <w:tc>
          <w:tcPr>
            <w:tcW w:w="2440" w:type="dxa"/>
            <w:vAlign w:val="bottom"/>
            <w:tcBorders>
              <w:right w:val="single" w:sz="8" w:color="auto"/>
            </w:tcBorders>
            <w:vMerge w:val="continue"/>
          </w:tcPr>
          <w:p>
            <w:pPr>
              <w:spacing w:after="0"/>
              <w:rPr>
                <w:sz w:val="11"/>
                <w:szCs w:val="11"/>
                <w:color w:val="auto"/>
              </w:rPr>
            </w:pPr>
          </w:p>
        </w:tc>
        <w:tc>
          <w:tcPr>
            <w:tcW w:w="3400" w:type="dxa"/>
            <w:vAlign w:val="bottom"/>
            <w:tcBorders>
              <w:right w:val="single" w:sz="8" w:color="auto"/>
            </w:tcBorders>
            <w:vMerge w:val="continue"/>
          </w:tcPr>
          <w:p>
            <w:pPr>
              <w:spacing w:after="0"/>
              <w:rPr>
                <w:sz w:val="11"/>
                <w:szCs w:val="11"/>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Negotiated</w:t>
            </w:r>
          </w:p>
        </w:tc>
        <w:tc>
          <w:tcPr>
            <w:tcW w:w="0" w:type="dxa"/>
            <w:vAlign w:val="bottom"/>
          </w:tcPr>
          <w:p>
            <w:pPr>
              <w:spacing w:after="0"/>
              <w:rPr>
                <w:sz w:val="1"/>
                <w:szCs w:val="1"/>
                <w:color w:val="auto"/>
              </w:rPr>
            </w:pPr>
          </w:p>
        </w:tc>
      </w:tr>
      <w:tr>
        <w:trPr>
          <w:trHeight w:val="139"/>
        </w:trPr>
        <w:tc>
          <w:tcPr>
            <w:tcW w:w="3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2"/>
                <w:szCs w:val="22"/>
                <w:color w:val="auto"/>
              </w:rPr>
              <w:t>submission schedule</w:t>
            </w:r>
          </w:p>
        </w:tc>
        <w:tc>
          <w:tcPr>
            <w:tcW w:w="2440" w:type="dxa"/>
            <w:vAlign w:val="bottom"/>
            <w:tcBorders>
              <w:right w:val="single" w:sz="8" w:color="auto"/>
            </w:tcBorders>
          </w:tcPr>
          <w:p>
            <w:pPr>
              <w:spacing w:after="0"/>
              <w:rPr>
                <w:sz w:val="12"/>
                <w:szCs w:val="12"/>
                <w:color w:val="auto"/>
              </w:rPr>
            </w:pPr>
          </w:p>
        </w:tc>
        <w:tc>
          <w:tcPr>
            <w:tcW w:w="3400" w:type="dxa"/>
            <w:vAlign w:val="bottom"/>
            <w:tcBorders>
              <w:right w:val="single" w:sz="8" w:color="auto"/>
            </w:tcBorders>
          </w:tcPr>
          <w:p>
            <w:pPr>
              <w:spacing w:after="0"/>
              <w:rPr>
                <w:sz w:val="12"/>
                <w:szCs w:val="12"/>
                <w:color w:val="auto"/>
              </w:rPr>
            </w:pPr>
          </w:p>
        </w:tc>
        <w:tc>
          <w:tcPr>
            <w:tcW w:w="18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32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2440" w:type="dxa"/>
            <w:vAlign w:val="bottom"/>
            <w:tcBorders>
              <w:bottom w:val="single" w:sz="8" w:color="auto"/>
              <w:right w:val="single" w:sz="8" w:color="auto"/>
            </w:tcBorders>
          </w:tcPr>
          <w:p>
            <w:pPr>
              <w:spacing w:after="0"/>
              <w:rPr>
                <w:sz w:val="12"/>
                <w:szCs w:val="12"/>
                <w:color w:val="auto"/>
              </w:rPr>
            </w:pPr>
          </w:p>
        </w:tc>
        <w:tc>
          <w:tcPr>
            <w:tcW w:w="3400" w:type="dxa"/>
            <w:vAlign w:val="bottom"/>
            <w:tcBorders>
              <w:bottom w:val="single" w:sz="8" w:color="auto"/>
              <w:right w:val="single" w:sz="8" w:color="auto"/>
            </w:tcBorders>
          </w:tcPr>
          <w:p>
            <w:pPr>
              <w:spacing w:after="0"/>
              <w:rPr>
                <w:sz w:val="12"/>
                <w:szCs w:val="12"/>
                <w:color w:val="auto"/>
              </w:rPr>
            </w:pPr>
          </w:p>
        </w:tc>
        <w:tc>
          <w:tcPr>
            <w:tcW w:w="18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20"/>
          </w:cols>
          <w:pgMar w:left="320" w:top="1098" w:right="55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CONFIDENTIAL/PROPRIETARY</w:t>
      </w:r>
    </w:p>
    <w:p>
      <w:pPr>
        <w:sectPr>
          <w:pgSz w:w="11900" w:h="16838" w:orient="portrait"/>
          <w:cols w:equalWidth="0" w:num="1">
            <w:col w:w="11020"/>
          </w:cols>
          <w:pgMar w:left="320" w:top="1098" w:right="559" w:bottom="1440" w:gutter="0" w:footer="0" w:header="0"/>
          <w:type w:val="continuous"/>
        </w:sectPr>
      </w:pPr>
    </w:p>
    <w:bookmarkStart w:id="246" w:name="page247"/>
    <w:bookmarkEnd w:id="246"/>
    <w:tbl>
      <w:tblPr>
        <w:tblLayout w:type="fixed"/>
        <w:tblInd w:w="10" w:type="dxa"/>
        <w:tblCellMar>
          <w:top w:w="0" w:type="dxa"/>
          <w:left w:w="0" w:type="dxa"/>
          <w:bottom w:w="0" w:type="dxa"/>
          <w:right w:w="0" w:type="dxa"/>
        </w:tblCellMar>
      </w:tblPr>
      <w:tr>
        <w:trPr>
          <w:trHeight w:val="289"/>
        </w:trPr>
        <w:tc>
          <w:tcPr>
            <w:tcW w:w="33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Annual Technical and Business</w:t>
            </w:r>
          </w:p>
        </w:tc>
        <w:tc>
          <w:tcPr>
            <w:tcW w:w="2420" w:type="dxa"/>
            <w:vAlign w:val="bottom"/>
            <w:tcBorders>
              <w:top w:val="single" w:sz="8" w:color="auto"/>
              <w:right w:val="single" w:sz="8" w:color="auto"/>
            </w:tcBorders>
          </w:tcPr>
          <w:p>
            <w:pPr>
              <w:spacing w:after="0"/>
              <w:rPr>
                <w:sz w:val="24"/>
                <w:szCs w:val="24"/>
                <w:color w:val="auto"/>
              </w:rPr>
            </w:pPr>
          </w:p>
        </w:tc>
        <w:tc>
          <w:tcPr>
            <w:tcW w:w="3420" w:type="dxa"/>
            <w:vAlign w:val="bottom"/>
            <w:tcBorders>
              <w:top w:val="single" w:sz="8" w:color="auto"/>
              <w:right w:val="single" w:sz="8" w:color="auto"/>
            </w:tcBorders>
          </w:tcPr>
          <w:p>
            <w:pPr>
              <w:spacing w:after="0"/>
              <w:rPr>
                <w:sz w:val="24"/>
                <w:szCs w:val="24"/>
                <w:color w:val="auto"/>
              </w:rPr>
            </w:pPr>
          </w:p>
        </w:tc>
        <w:tc>
          <w:tcPr>
            <w:tcW w:w="18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93"/>
              </w:rPr>
              <w:t>*Specially</w:t>
            </w:r>
          </w:p>
        </w:tc>
        <w:tc>
          <w:tcPr>
            <w:tcW w:w="0" w:type="dxa"/>
            <w:vAlign w:val="bottom"/>
          </w:tcPr>
          <w:p>
            <w:pPr>
              <w:spacing w:after="0"/>
              <w:rPr>
                <w:sz w:val="1"/>
                <w:szCs w:val="1"/>
                <w:color w:val="auto"/>
              </w:rPr>
            </w:pPr>
          </w:p>
        </w:tc>
      </w:tr>
      <w:tr>
        <w:trPr>
          <w:trHeight w:val="121"/>
        </w:trPr>
        <w:tc>
          <w:tcPr>
            <w:tcW w:w="3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2"/>
                <w:szCs w:val="22"/>
                <w:color w:val="auto"/>
              </w:rPr>
              <w:t>Status Report, see above for</w:t>
            </w:r>
          </w:p>
        </w:tc>
        <w:tc>
          <w:tcPr>
            <w:tcW w:w="2420" w:type="dxa"/>
            <w:vAlign w:val="bottom"/>
            <w:tcBorders>
              <w:right w:val="single" w:sz="8" w:color="auto"/>
            </w:tcBorders>
            <w:vMerge w:val="restart"/>
          </w:tcPr>
          <w:p>
            <w:pPr>
              <w:jc w:val="right"/>
              <w:ind w:right="861"/>
              <w:spacing w:after="0"/>
              <w:rPr>
                <w:sz w:val="20"/>
                <w:szCs w:val="20"/>
                <w:color w:val="auto"/>
              </w:rPr>
            </w:pPr>
            <w:r>
              <w:rPr>
                <w:rFonts w:ascii="Arial" w:cs="Arial" w:eastAsia="Arial" w:hAnsi="Arial"/>
                <w:sz w:val="20"/>
                <w:szCs w:val="20"/>
                <w:color w:val="auto"/>
              </w:rPr>
              <w:t>[***]</w:t>
            </w:r>
          </w:p>
        </w:tc>
        <w:tc>
          <w:tcPr>
            <w:tcW w:w="3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18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Borders>
              <w:left w:val="single" w:sz="8" w:color="auto"/>
              <w:right w:val="single" w:sz="8" w:color="auto"/>
            </w:tcBorders>
            <w:vMerge w:val="continue"/>
          </w:tcPr>
          <w:p>
            <w:pPr>
              <w:spacing w:after="0"/>
              <w:rPr>
                <w:sz w:val="11"/>
                <w:szCs w:val="11"/>
                <w:color w:val="auto"/>
              </w:rPr>
            </w:pPr>
          </w:p>
        </w:tc>
        <w:tc>
          <w:tcPr>
            <w:tcW w:w="2420" w:type="dxa"/>
            <w:vAlign w:val="bottom"/>
            <w:tcBorders>
              <w:right w:val="single" w:sz="8" w:color="auto"/>
            </w:tcBorders>
            <w:vMerge w:val="continue"/>
          </w:tcPr>
          <w:p>
            <w:pPr>
              <w:spacing w:after="0"/>
              <w:rPr>
                <w:sz w:val="11"/>
                <w:szCs w:val="11"/>
                <w:color w:val="auto"/>
              </w:rPr>
            </w:pPr>
          </w:p>
        </w:tc>
        <w:tc>
          <w:tcPr>
            <w:tcW w:w="3420" w:type="dxa"/>
            <w:vAlign w:val="bottom"/>
            <w:tcBorders>
              <w:right w:val="single" w:sz="8" w:color="auto"/>
            </w:tcBorders>
            <w:vMerge w:val="continue"/>
          </w:tcPr>
          <w:p>
            <w:pPr>
              <w:spacing w:after="0"/>
              <w:rPr>
                <w:sz w:val="11"/>
                <w:szCs w:val="11"/>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Negotiated</w:t>
            </w:r>
          </w:p>
        </w:tc>
        <w:tc>
          <w:tcPr>
            <w:tcW w:w="0" w:type="dxa"/>
            <w:vAlign w:val="bottom"/>
          </w:tcPr>
          <w:p>
            <w:pPr>
              <w:spacing w:after="0"/>
              <w:rPr>
                <w:sz w:val="1"/>
                <w:szCs w:val="1"/>
                <w:color w:val="auto"/>
              </w:rPr>
            </w:pPr>
          </w:p>
        </w:tc>
      </w:tr>
      <w:tr>
        <w:trPr>
          <w:trHeight w:val="139"/>
        </w:trPr>
        <w:tc>
          <w:tcPr>
            <w:tcW w:w="3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2"/>
                <w:szCs w:val="22"/>
                <w:color w:val="auto"/>
              </w:rPr>
              <w:t>submission schedule</w:t>
            </w:r>
          </w:p>
        </w:tc>
        <w:tc>
          <w:tcPr>
            <w:tcW w:w="2420" w:type="dxa"/>
            <w:vAlign w:val="bottom"/>
            <w:tcBorders>
              <w:right w:val="single" w:sz="8" w:color="auto"/>
            </w:tcBorders>
          </w:tcPr>
          <w:p>
            <w:pPr>
              <w:spacing w:after="0"/>
              <w:rPr>
                <w:sz w:val="12"/>
                <w:szCs w:val="12"/>
                <w:color w:val="auto"/>
              </w:rPr>
            </w:pPr>
          </w:p>
        </w:tc>
        <w:tc>
          <w:tcPr>
            <w:tcW w:w="3420" w:type="dxa"/>
            <w:vAlign w:val="bottom"/>
            <w:tcBorders>
              <w:right w:val="single" w:sz="8" w:color="auto"/>
            </w:tcBorders>
          </w:tcPr>
          <w:p>
            <w:pPr>
              <w:spacing w:after="0"/>
              <w:rPr>
                <w:sz w:val="12"/>
                <w:szCs w:val="12"/>
                <w:color w:val="auto"/>
              </w:rPr>
            </w:pPr>
          </w:p>
        </w:tc>
        <w:tc>
          <w:tcPr>
            <w:tcW w:w="18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32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2420" w:type="dxa"/>
            <w:vAlign w:val="bottom"/>
            <w:tcBorders>
              <w:bottom w:val="single" w:sz="8" w:color="auto"/>
              <w:right w:val="single" w:sz="8" w:color="auto"/>
            </w:tcBorders>
          </w:tcPr>
          <w:p>
            <w:pPr>
              <w:spacing w:after="0"/>
              <w:rPr>
                <w:sz w:val="12"/>
                <w:szCs w:val="12"/>
                <w:color w:val="auto"/>
              </w:rPr>
            </w:pPr>
          </w:p>
        </w:tc>
        <w:tc>
          <w:tcPr>
            <w:tcW w:w="3420" w:type="dxa"/>
            <w:vAlign w:val="bottom"/>
            <w:tcBorders>
              <w:bottom w:val="single" w:sz="8" w:color="auto"/>
              <w:right w:val="single" w:sz="8" w:color="auto"/>
            </w:tcBorders>
          </w:tcPr>
          <w:p>
            <w:pPr>
              <w:spacing w:after="0"/>
              <w:rPr>
                <w:sz w:val="12"/>
                <w:szCs w:val="12"/>
                <w:color w:val="auto"/>
              </w:rPr>
            </w:pPr>
          </w:p>
        </w:tc>
        <w:tc>
          <w:tcPr>
            <w:tcW w:w="18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6"/>
        </w:trPr>
        <w:tc>
          <w:tcPr>
            <w:tcW w:w="3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8"/>
              </w:rPr>
              <w:t>Quarterly Technical and Business</w:t>
            </w:r>
          </w:p>
        </w:tc>
        <w:tc>
          <w:tcPr>
            <w:tcW w:w="2420" w:type="dxa"/>
            <w:vAlign w:val="bottom"/>
            <w:tcBorders>
              <w:right w:val="single" w:sz="8" w:color="auto"/>
            </w:tcBorders>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3"/>
              </w:rPr>
              <w:t>*Specially</w:t>
            </w:r>
          </w:p>
        </w:tc>
        <w:tc>
          <w:tcPr>
            <w:tcW w:w="0" w:type="dxa"/>
            <w:vAlign w:val="bottom"/>
          </w:tcPr>
          <w:p>
            <w:pPr>
              <w:spacing w:after="0"/>
              <w:rPr>
                <w:sz w:val="1"/>
                <w:szCs w:val="1"/>
                <w:color w:val="auto"/>
              </w:rPr>
            </w:pPr>
          </w:p>
        </w:tc>
      </w:tr>
      <w:tr>
        <w:trPr>
          <w:trHeight w:val="122"/>
        </w:trPr>
        <w:tc>
          <w:tcPr>
            <w:tcW w:w="3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2"/>
                <w:szCs w:val="22"/>
                <w:color w:val="auto"/>
              </w:rPr>
              <w:t>Status Report, see above for</w:t>
            </w:r>
          </w:p>
        </w:tc>
        <w:tc>
          <w:tcPr>
            <w:tcW w:w="2420" w:type="dxa"/>
            <w:vAlign w:val="bottom"/>
            <w:tcBorders>
              <w:right w:val="single" w:sz="8" w:color="auto"/>
            </w:tcBorders>
            <w:vMerge w:val="restart"/>
          </w:tcPr>
          <w:p>
            <w:pPr>
              <w:jc w:val="right"/>
              <w:ind w:right="861"/>
              <w:spacing w:after="0"/>
              <w:rPr>
                <w:sz w:val="20"/>
                <w:szCs w:val="20"/>
                <w:color w:val="auto"/>
              </w:rPr>
            </w:pPr>
            <w:r>
              <w:rPr>
                <w:rFonts w:ascii="Arial" w:cs="Arial" w:eastAsia="Arial" w:hAnsi="Arial"/>
                <w:sz w:val="20"/>
                <w:szCs w:val="20"/>
                <w:color w:val="auto"/>
              </w:rPr>
              <w:t>[***]</w:t>
            </w:r>
          </w:p>
        </w:tc>
        <w:tc>
          <w:tcPr>
            <w:tcW w:w="3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18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Borders>
              <w:left w:val="single" w:sz="8" w:color="auto"/>
              <w:right w:val="single" w:sz="8" w:color="auto"/>
            </w:tcBorders>
            <w:vMerge w:val="continue"/>
          </w:tcPr>
          <w:p>
            <w:pPr>
              <w:spacing w:after="0"/>
              <w:rPr>
                <w:sz w:val="11"/>
                <w:szCs w:val="11"/>
                <w:color w:val="auto"/>
              </w:rPr>
            </w:pPr>
          </w:p>
        </w:tc>
        <w:tc>
          <w:tcPr>
            <w:tcW w:w="2420" w:type="dxa"/>
            <w:vAlign w:val="bottom"/>
            <w:tcBorders>
              <w:right w:val="single" w:sz="8" w:color="auto"/>
            </w:tcBorders>
            <w:vMerge w:val="continue"/>
          </w:tcPr>
          <w:p>
            <w:pPr>
              <w:spacing w:after="0"/>
              <w:rPr>
                <w:sz w:val="11"/>
                <w:szCs w:val="11"/>
                <w:color w:val="auto"/>
              </w:rPr>
            </w:pPr>
          </w:p>
        </w:tc>
        <w:tc>
          <w:tcPr>
            <w:tcW w:w="3420" w:type="dxa"/>
            <w:vAlign w:val="bottom"/>
            <w:tcBorders>
              <w:right w:val="single" w:sz="8" w:color="auto"/>
            </w:tcBorders>
            <w:vMerge w:val="continue"/>
          </w:tcPr>
          <w:p>
            <w:pPr>
              <w:spacing w:after="0"/>
              <w:rPr>
                <w:sz w:val="11"/>
                <w:szCs w:val="11"/>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Negotiated</w:t>
            </w:r>
          </w:p>
        </w:tc>
        <w:tc>
          <w:tcPr>
            <w:tcW w:w="0" w:type="dxa"/>
            <w:vAlign w:val="bottom"/>
          </w:tcPr>
          <w:p>
            <w:pPr>
              <w:spacing w:after="0"/>
              <w:rPr>
                <w:sz w:val="1"/>
                <w:szCs w:val="1"/>
                <w:color w:val="auto"/>
              </w:rPr>
            </w:pPr>
          </w:p>
        </w:tc>
      </w:tr>
      <w:tr>
        <w:trPr>
          <w:trHeight w:val="139"/>
        </w:trPr>
        <w:tc>
          <w:tcPr>
            <w:tcW w:w="3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2"/>
                <w:szCs w:val="22"/>
                <w:color w:val="auto"/>
              </w:rPr>
              <w:t>submission schedule</w:t>
            </w:r>
          </w:p>
        </w:tc>
        <w:tc>
          <w:tcPr>
            <w:tcW w:w="2420" w:type="dxa"/>
            <w:vAlign w:val="bottom"/>
            <w:tcBorders>
              <w:right w:val="single" w:sz="8" w:color="auto"/>
            </w:tcBorders>
          </w:tcPr>
          <w:p>
            <w:pPr>
              <w:spacing w:after="0"/>
              <w:rPr>
                <w:sz w:val="12"/>
                <w:szCs w:val="12"/>
                <w:color w:val="auto"/>
              </w:rPr>
            </w:pPr>
          </w:p>
        </w:tc>
        <w:tc>
          <w:tcPr>
            <w:tcW w:w="3420" w:type="dxa"/>
            <w:vAlign w:val="bottom"/>
            <w:tcBorders>
              <w:right w:val="single" w:sz="8" w:color="auto"/>
            </w:tcBorders>
          </w:tcPr>
          <w:p>
            <w:pPr>
              <w:spacing w:after="0"/>
              <w:rPr>
                <w:sz w:val="12"/>
                <w:szCs w:val="12"/>
                <w:color w:val="auto"/>
              </w:rPr>
            </w:pPr>
          </w:p>
        </w:tc>
        <w:tc>
          <w:tcPr>
            <w:tcW w:w="18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32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2420" w:type="dxa"/>
            <w:vAlign w:val="bottom"/>
            <w:tcBorders>
              <w:bottom w:val="single" w:sz="8" w:color="auto"/>
              <w:right w:val="single" w:sz="8" w:color="auto"/>
            </w:tcBorders>
          </w:tcPr>
          <w:p>
            <w:pPr>
              <w:spacing w:after="0"/>
              <w:rPr>
                <w:sz w:val="12"/>
                <w:szCs w:val="12"/>
                <w:color w:val="auto"/>
              </w:rPr>
            </w:pPr>
          </w:p>
        </w:tc>
        <w:tc>
          <w:tcPr>
            <w:tcW w:w="3420" w:type="dxa"/>
            <w:vAlign w:val="bottom"/>
            <w:tcBorders>
              <w:bottom w:val="single" w:sz="8" w:color="auto"/>
              <w:right w:val="single" w:sz="8" w:color="auto"/>
            </w:tcBorders>
          </w:tcPr>
          <w:p>
            <w:pPr>
              <w:spacing w:after="0"/>
              <w:rPr>
                <w:sz w:val="12"/>
                <w:szCs w:val="12"/>
                <w:color w:val="auto"/>
              </w:rPr>
            </w:pPr>
          </w:p>
        </w:tc>
        <w:tc>
          <w:tcPr>
            <w:tcW w:w="18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3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2420" w:type="dxa"/>
            <w:vAlign w:val="bottom"/>
            <w:tcBorders>
              <w:bottom w:val="single" w:sz="8" w:color="auto"/>
              <w:right w:val="single" w:sz="8" w:color="auto"/>
            </w:tcBorders>
          </w:tcPr>
          <w:p>
            <w:pPr>
              <w:jc w:val="right"/>
              <w:ind w:right="861"/>
              <w:spacing w:after="0"/>
              <w:rPr>
                <w:sz w:val="20"/>
                <w:szCs w:val="20"/>
                <w:color w:val="auto"/>
              </w:rPr>
            </w:pPr>
            <w:r>
              <w:rPr>
                <w:rFonts w:ascii="Arial" w:cs="Arial" w:eastAsia="Arial" w:hAnsi="Arial"/>
                <w:sz w:val="20"/>
                <w:szCs w:val="20"/>
                <w:color w:val="auto"/>
              </w:rPr>
              <w:t>[***]</w:t>
            </w:r>
          </w:p>
        </w:tc>
        <w:tc>
          <w:tcPr>
            <w:tcW w:w="3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3"/>
              </w:rPr>
              <w:t>Limited Rights</w:t>
            </w:r>
          </w:p>
        </w:tc>
        <w:tc>
          <w:tcPr>
            <w:tcW w:w="0" w:type="dxa"/>
            <w:vAlign w:val="bottom"/>
          </w:tcPr>
          <w:p>
            <w:pPr>
              <w:spacing w:after="0"/>
              <w:rPr>
                <w:sz w:val="1"/>
                <w:szCs w:val="1"/>
                <w:color w:val="auto"/>
              </w:rPr>
            </w:pPr>
          </w:p>
        </w:tc>
      </w:tr>
      <w:tr>
        <w:trPr>
          <w:trHeight w:val="276"/>
        </w:trPr>
        <w:tc>
          <w:tcPr>
            <w:tcW w:w="3320" w:type="dxa"/>
            <w:vAlign w:val="bottom"/>
            <w:tcBorders>
              <w:left w:val="single" w:sz="8" w:color="auto"/>
              <w:right w:val="single" w:sz="8" w:color="auto"/>
            </w:tcBorders>
          </w:tcPr>
          <w:p>
            <w:pPr>
              <w:spacing w:after="0"/>
              <w:rPr>
                <w:sz w:val="23"/>
                <w:szCs w:val="23"/>
                <w:color w:val="auto"/>
              </w:rPr>
            </w:pPr>
          </w:p>
        </w:tc>
        <w:tc>
          <w:tcPr>
            <w:tcW w:w="2420" w:type="dxa"/>
            <w:vAlign w:val="bottom"/>
            <w:tcBorders>
              <w:right w:val="single" w:sz="8" w:color="auto"/>
            </w:tcBorders>
          </w:tcPr>
          <w:p>
            <w:pPr>
              <w:spacing w:after="0"/>
              <w:rPr>
                <w:sz w:val="23"/>
                <w:szCs w:val="23"/>
                <w:color w:val="auto"/>
              </w:rPr>
            </w:pP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i w:val="1"/>
                <w:iCs w:val="1"/>
                <w:color w:val="auto"/>
                <w:w w:val="88"/>
              </w:rPr>
              <w:t xml:space="preserve">$465,861,635 </w:t>
            </w:r>
            <w:r>
              <w:rPr>
                <w:rFonts w:ascii="Arial" w:cs="Arial" w:eastAsia="Arial" w:hAnsi="Arial"/>
                <w:sz w:val="22"/>
                <w:szCs w:val="22"/>
                <w:b w:val="1"/>
                <w:bCs w:val="1"/>
                <w:color w:val="auto"/>
                <w:w w:val="88"/>
              </w:rPr>
              <w:t>(FFP</w:t>
            </w:r>
            <w:r>
              <w:rPr>
                <w:rFonts w:ascii="Arial" w:cs="Arial" w:eastAsia="Arial" w:hAnsi="Arial"/>
                <w:sz w:val="22"/>
                <w:szCs w:val="22"/>
                <w:b w:val="1"/>
                <w:bCs w:val="1"/>
                <w:i w:val="1"/>
                <w:iCs w:val="1"/>
                <w:color w:val="auto"/>
                <w:w w:val="88"/>
              </w:rPr>
              <w:t xml:space="preserve"> and Cost</w:t>
            </w:r>
          </w:p>
        </w:tc>
        <w:tc>
          <w:tcPr>
            <w:tcW w:w="18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3320" w:type="dxa"/>
            <w:vAlign w:val="bottom"/>
            <w:tcBorders>
              <w:left w:val="single" w:sz="8" w:color="auto"/>
              <w:bottom w:val="single" w:sz="8" w:color="auto"/>
              <w:right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3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i w:val="1"/>
                <w:iCs w:val="1"/>
                <w:color w:val="auto"/>
                <w:w w:val="85"/>
              </w:rPr>
              <w:t>Reimbursement)</w:t>
            </w:r>
          </w:p>
        </w:tc>
        <w:tc>
          <w:tcPr>
            <w:tcW w:w="1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*Upon payment, delivery and acceptance in accordance with the terms of this Project Agreement, the Government will have title to the product produced under this Statement of Work. The Government will have the rights described below in Section 7.3 to technical data disclosed under this Statement of Work.</w:t>
      </w:r>
    </w:p>
    <w:p>
      <w:pPr>
        <w:jc w:val="both"/>
        <w:spacing w:after="0" w:line="243" w:lineRule="auto"/>
        <w:rPr>
          <w:sz w:val="20"/>
          <w:szCs w:val="20"/>
          <w:color w:val="auto"/>
        </w:rPr>
      </w:pPr>
      <w:r>
        <w:rPr>
          <w:rFonts w:ascii="Arial" w:cs="Arial" w:eastAsia="Arial" w:hAnsi="Arial"/>
          <w:sz w:val="22"/>
          <w:szCs w:val="22"/>
          <w:color w:val="auto"/>
        </w:rPr>
        <w:t>**Packaging and labeling of product will be performed following the determination of the use of the applicable drug product (e.g., for clinical trials or for distribution under an EUA or BLA).</w:t>
      </w:r>
    </w:p>
    <w:p>
      <w:pPr>
        <w:spacing w:after="0" w:line="1" w:lineRule="exact"/>
        <w:rPr>
          <w:sz w:val="20"/>
          <w:szCs w:val="20"/>
          <w:color w:val="auto"/>
        </w:rPr>
      </w:pPr>
    </w:p>
    <w:p>
      <w:pPr>
        <w:jc w:val="both"/>
        <w:ind w:right="20"/>
        <w:spacing w:after="0" w:line="243" w:lineRule="auto"/>
        <w:rPr>
          <w:sz w:val="20"/>
          <w:szCs w:val="20"/>
          <w:color w:val="auto"/>
        </w:rPr>
      </w:pPr>
      <w:r>
        <w:rPr>
          <w:rFonts w:ascii="Arial" w:cs="Arial" w:eastAsia="Arial" w:hAnsi="Arial"/>
          <w:sz w:val="22"/>
          <w:szCs w:val="22"/>
          <w:b w:val="1"/>
          <w:bCs w:val="1"/>
          <w:i w:val="1"/>
          <w:iCs w:val="1"/>
          <w:color w:val="auto"/>
        </w:rPr>
        <w:t xml:space="preserve">***Total Program Funds for distribution and </w:t>
      </w:r>
      <w:r>
        <w:rPr>
          <w:rFonts w:ascii="Arial" w:cs="Arial" w:eastAsia="Arial" w:hAnsi="Arial"/>
          <w:sz w:val="22"/>
          <w:szCs w:val="22"/>
          <w:b w:val="1"/>
          <w:bCs w:val="1"/>
          <w:color w:val="auto"/>
        </w:rPr>
        <w:t>[* * *]</w:t>
      </w:r>
      <w:r>
        <w:rPr>
          <w:rFonts w:ascii="Arial" w:cs="Arial" w:eastAsia="Arial" w:hAnsi="Arial"/>
          <w:sz w:val="22"/>
          <w:szCs w:val="22"/>
          <w:b w:val="1"/>
          <w:bCs w:val="1"/>
          <w:i w:val="1"/>
          <w:iCs w:val="1"/>
          <w:color w:val="auto"/>
        </w:rPr>
        <w:t xml:space="preserve"> is a not-to-exceed amount, and shall be invoiced as described in Section 5.0 below.</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22"/>
          <w:szCs w:val="22"/>
          <w:b w:val="1"/>
          <w:bCs w:val="1"/>
          <w:i w:val="1"/>
          <w:iCs w:val="1"/>
          <w:color w:val="auto"/>
        </w:rPr>
        <w:t>****If an EUA is granted, then the product shall be transferred from VMI to the Distributor for distribution, as directed by the Government, and the VMI storage milestones shall be equitably 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CONFIDENTIAL/PROPRIETARY</w:t>
      </w:r>
    </w:p>
    <w:p>
      <w:pPr>
        <w:sectPr>
          <w:pgSz w:w="11900" w:h="16838" w:orient="portrait"/>
          <w:cols w:equalWidth="0" w:num="1">
            <w:col w:w="11240"/>
          </w:cols>
          <w:pgMar w:left="320" w:top="876" w:right="339" w:bottom="1440" w:gutter="0" w:footer="0" w:header="0"/>
        </w:sectPr>
      </w:pPr>
    </w:p>
    <w:bookmarkStart w:id="247" w:name="page248"/>
    <w:bookmarkEnd w:id="247"/>
    <w:p>
      <w:pPr>
        <w:spacing w:after="0"/>
        <w:tabs>
          <w:tab w:leader="none" w:pos="520" w:val="left"/>
        </w:tabs>
        <w:rPr>
          <w:sz w:val="20"/>
          <w:szCs w:val="20"/>
          <w:color w:val="auto"/>
        </w:rPr>
      </w:pPr>
      <w:r>
        <w:rPr>
          <w:rFonts w:ascii="Arial" w:cs="Arial" w:eastAsia="Arial" w:hAnsi="Arial"/>
          <w:sz w:val="22"/>
          <w:szCs w:val="22"/>
          <w:b w:val="1"/>
          <w:bCs w:val="1"/>
          <w:color w:val="auto"/>
        </w:rPr>
        <w:t>5.0</w:t>
      </w:r>
      <w:r>
        <w:rPr>
          <w:sz w:val="20"/>
          <w:szCs w:val="20"/>
          <w:color w:val="auto"/>
        </w:rPr>
        <w:tab/>
      </w:r>
      <w:r>
        <w:rPr>
          <w:rFonts w:ascii="Arial" w:cs="Arial" w:eastAsia="Arial" w:hAnsi="Arial"/>
          <w:sz w:val="21"/>
          <w:szCs w:val="21"/>
          <w:b w:val="1"/>
          <w:bCs w:val="1"/>
          <w:color w:val="auto"/>
        </w:rPr>
        <w:t>MILESTONE PAYMENT SCHEDULE; TERMINATION COSTS</w:t>
      </w: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1520" w:type="dxa"/>
            <w:vAlign w:val="bottom"/>
            <w:tcBorders>
              <w:top w:val="single" w:sz="8" w:color="auto"/>
              <w:left w:val="single" w:sz="8" w:color="auto"/>
              <w:right w:val="single" w:sz="8" w:color="auto"/>
            </w:tcBorders>
            <w:vMerge w:val="restart"/>
            <w:shd w:val="clear" w:color="auto" w:fill="D9CBA7"/>
          </w:tcPr>
          <w:p>
            <w:pPr>
              <w:ind w:left="120"/>
              <w:spacing w:after="0"/>
              <w:rPr>
                <w:sz w:val="20"/>
                <w:szCs w:val="20"/>
                <w:color w:val="auto"/>
              </w:rPr>
            </w:pPr>
            <w:r>
              <w:rPr>
                <w:rFonts w:ascii="Arial" w:cs="Arial" w:eastAsia="Arial" w:hAnsi="Arial"/>
                <w:sz w:val="22"/>
                <w:szCs w:val="22"/>
                <w:b w:val="1"/>
                <w:bCs w:val="1"/>
                <w:color w:val="auto"/>
                <w:w w:val="95"/>
              </w:rPr>
              <w:t xml:space="preserve">Milestone </w:t>
            </w:r>
            <w:r>
              <w:rPr>
                <w:rFonts w:ascii="Arial" w:cs="Arial" w:eastAsia="Arial" w:hAnsi="Arial"/>
                <w:sz w:val="22"/>
                <w:szCs w:val="22"/>
                <w:b w:val="1"/>
                <w:bCs w:val="1"/>
                <w:i w:val="1"/>
                <w:iCs w:val="1"/>
                <w:color w:val="auto"/>
                <w:w w:val="95"/>
              </w:rPr>
              <w:t>No.</w:t>
            </w:r>
          </w:p>
        </w:tc>
        <w:tc>
          <w:tcPr>
            <w:tcW w:w="5320" w:type="dxa"/>
            <w:vAlign w:val="bottom"/>
            <w:tcBorders>
              <w:top w:val="single" w:sz="8" w:color="auto"/>
              <w:right w:val="single" w:sz="8" w:color="auto"/>
            </w:tcBorders>
            <w:shd w:val="clear" w:color="auto" w:fill="D9CBA7"/>
          </w:tcPr>
          <w:p>
            <w:pPr>
              <w:ind w:left="1620"/>
              <w:spacing w:after="0"/>
              <w:rPr>
                <w:sz w:val="20"/>
                <w:szCs w:val="20"/>
                <w:color w:val="auto"/>
              </w:rPr>
            </w:pPr>
            <w:r>
              <w:rPr>
                <w:rFonts w:ascii="Arial" w:cs="Arial" w:eastAsia="Arial" w:hAnsi="Arial"/>
                <w:sz w:val="22"/>
                <w:szCs w:val="22"/>
                <w:b w:val="1"/>
                <w:bCs w:val="1"/>
                <w:color w:val="auto"/>
              </w:rPr>
              <w:t>Milestone Description</w:t>
            </w:r>
          </w:p>
        </w:tc>
        <w:tc>
          <w:tcPr>
            <w:tcW w:w="1620" w:type="dxa"/>
            <w:vAlign w:val="bottom"/>
            <w:tcBorders>
              <w:top w:val="single" w:sz="8" w:color="auto"/>
              <w:right w:val="single" w:sz="8" w:color="auto"/>
            </w:tcBorders>
            <w:vMerge w:val="restart"/>
            <w:shd w:val="clear" w:color="auto" w:fill="D9CBA7"/>
          </w:tcPr>
          <w:p>
            <w:pPr>
              <w:jc w:val="right"/>
              <w:ind w:right="301"/>
              <w:spacing w:after="0"/>
              <w:rPr>
                <w:sz w:val="20"/>
                <w:szCs w:val="20"/>
                <w:color w:val="auto"/>
              </w:rPr>
            </w:pPr>
            <w:r>
              <w:rPr>
                <w:rFonts w:ascii="Arial" w:cs="Arial" w:eastAsia="Arial" w:hAnsi="Arial"/>
                <w:sz w:val="22"/>
                <w:szCs w:val="22"/>
                <w:b w:val="1"/>
                <w:bCs w:val="1"/>
                <w:color w:val="auto"/>
              </w:rPr>
              <w:t>Due Date</w:t>
            </w:r>
          </w:p>
        </w:tc>
        <w:tc>
          <w:tcPr>
            <w:tcW w:w="2360" w:type="dxa"/>
            <w:vAlign w:val="bottom"/>
            <w:tcBorders>
              <w:top w:val="single" w:sz="8" w:color="auto"/>
              <w:right w:val="single" w:sz="8" w:color="auto"/>
            </w:tcBorders>
            <w:vMerge w:val="restart"/>
            <w:shd w:val="clear" w:color="auto" w:fill="D9CBA7"/>
          </w:tcPr>
          <w:p>
            <w:pPr>
              <w:jc w:val="center"/>
              <w:spacing w:after="0"/>
              <w:rPr>
                <w:sz w:val="20"/>
                <w:szCs w:val="20"/>
                <w:color w:val="auto"/>
              </w:rPr>
            </w:pPr>
            <w:r>
              <w:rPr>
                <w:rFonts w:ascii="Arial" w:cs="Arial" w:eastAsia="Arial" w:hAnsi="Arial"/>
                <w:sz w:val="22"/>
                <w:szCs w:val="22"/>
                <w:b w:val="1"/>
                <w:bCs w:val="1"/>
                <w:color w:val="auto"/>
                <w:w w:val="90"/>
              </w:rPr>
              <w:t>Total Program Funds</w:t>
            </w:r>
          </w:p>
        </w:tc>
        <w:tc>
          <w:tcPr>
            <w:tcW w:w="0" w:type="dxa"/>
            <w:vAlign w:val="bottom"/>
          </w:tcPr>
          <w:p>
            <w:pPr>
              <w:spacing w:after="0"/>
              <w:rPr>
                <w:sz w:val="1"/>
                <w:szCs w:val="1"/>
                <w:color w:val="auto"/>
              </w:rPr>
            </w:pPr>
          </w:p>
        </w:tc>
      </w:tr>
      <w:tr>
        <w:trPr>
          <w:trHeight w:val="145"/>
        </w:trPr>
        <w:tc>
          <w:tcPr>
            <w:tcW w:w="1520" w:type="dxa"/>
            <w:vAlign w:val="bottom"/>
            <w:tcBorders>
              <w:left w:val="single" w:sz="8" w:color="auto"/>
              <w:right w:val="single" w:sz="8" w:color="auto"/>
            </w:tcBorders>
            <w:vMerge w:val="continue"/>
            <w:shd w:val="clear" w:color="auto" w:fill="D9CBA7"/>
          </w:tcPr>
          <w:p>
            <w:pPr>
              <w:spacing w:after="0"/>
              <w:rPr>
                <w:sz w:val="12"/>
                <w:szCs w:val="12"/>
                <w:color w:val="auto"/>
              </w:rPr>
            </w:pPr>
          </w:p>
        </w:tc>
        <w:tc>
          <w:tcPr>
            <w:tcW w:w="5320" w:type="dxa"/>
            <w:vAlign w:val="bottom"/>
            <w:tcBorders>
              <w:right w:val="single" w:sz="8" w:color="auto"/>
            </w:tcBorders>
            <w:vMerge w:val="restart"/>
            <w:shd w:val="clear" w:color="auto" w:fill="D9CBA7"/>
          </w:tcPr>
          <w:p>
            <w:pPr>
              <w:ind w:left="1560"/>
              <w:spacing w:after="0"/>
              <w:rPr>
                <w:sz w:val="20"/>
                <w:szCs w:val="20"/>
                <w:color w:val="auto"/>
              </w:rPr>
            </w:pPr>
            <w:r>
              <w:rPr>
                <w:rFonts w:ascii="Arial" w:cs="Arial" w:eastAsia="Arial" w:hAnsi="Arial"/>
                <w:sz w:val="22"/>
                <w:szCs w:val="22"/>
                <w:b w:val="1"/>
                <w:bCs w:val="1"/>
                <w:color w:val="auto"/>
              </w:rPr>
              <w:t>(Deliverable Reference)</w:t>
            </w:r>
          </w:p>
        </w:tc>
        <w:tc>
          <w:tcPr>
            <w:tcW w:w="1620" w:type="dxa"/>
            <w:vAlign w:val="bottom"/>
            <w:tcBorders>
              <w:right w:val="single" w:sz="8" w:color="auto"/>
            </w:tcBorders>
            <w:vMerge w:val="continue"/>
            <w:shd w:val="clear" w:color="auto" w:fill="D9CBA7"/>
          </w:tcPr>
          <w:p>
            <w:pPr>
              <w:spacing w:after="0"/>
              <w:rPr>
                <w:sz w:val="12"/>
                <w:szCs w:val="12"/>
                <w:color w:val="auto"/>
              </w:rPr>
            </w:pPr>
          </w:p>
        </w:tc>
        <w:tc>
          <w:tcPr>
            <w:tcW w:w="2360" w:type="dxa"/>
            <w:vAlign w:val="bottom"/>
            <w:tcBorders>
              <w:right w:val="single" w:sz="8" w:color="auto"/>
            </w:tcBorders>
            <w:vMerge w:val="continue"/>
            <w:shd w:val="clear" w:color="auto" w:fill="D9CBA7"/>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520" w:type="dxa"/>
            <w:vAlign w:val="bottom"/>
            <w:tcBorders>
              <w:left w:val="single" w:sz="8" w:color="auto"/>
              <w:bottom w:val="single" w:sz="8" w:color="auto"/>
              <w:right w:val="single" w:sz="8" w:color="auto"/>
            </w:tcBorders>
            <w:shd w:val="clear" w:color="auto" w:fill="D9CBA7"/>
          </w:tcPr>
          <w:p>
            <w:pPr>
              <w:spacing w:after="0"/>
              <w:rPr>
                <w:sz w:val="12"/>
                <w:szCs w:val="12"/>
                <w:color w:val="auto"/>
              </w:rPr>
            </w:pPr>
          </w:p>
        </w:tc>
        <w:tc>
          <w:tcPr>
            <w:tcW w:w="5320" w:type="dxa"/>
            <w:vAlign w:val="bottom"/>
            <w:tcBorders>
              <w:bottom w:val="single" w:sz="8" w:color="auto"/>
              <w:right w:val="single" w:sz="8" w:color="auto"/>
            </w:tcBorders>
            <w:vMerge w:val="continue"/>
            <w:shd w:val="clear" w:color="auto" w:fill="D9CBA7"/>
          </w:tcPr>
          <w:p>
            <w:pPr>
              <w:spacing w:after="0"/>
              <w:rPr>
                <w:sz w:val="12"/>
                <w:szCs w:val="12"/>
                <w:color w:val="auto"/>
              </w:rPr>
            </w:pPr>
          </w:p>
        </w:tc>
        <w:tc>
          <w:tcPr>
            <w:tcW w:w="1620" w:type="dxa"/>
            <w:vAlign w:val="bottom"/>
            <w:tcBorders>
              <w:bottom w:val="single" w:sz="8" w:color="auto"/>
              <w:right w:val="single" w:sz="8" w:color="auto"/>
            </w:tcBorders>
            <w:shd w:val="clear" w:color="auto" w:fill="D9CBA7"/>
          </w:tcPr>
          <w:p>
            <w:pPr>
              <w:spacing w:after="0"/>
              <w:rPr>
                <w:sz w:val="12"/>
                <w:szCs w:val="12"/>
                <w:color w:val="auto"/>
              </w:rPr>
            </w:pPr>
          </w:p>
        </w:tc>
        <w:tc>
          <w:tcPr>
            <w:tcW w:w="2360" w:type="dxa"/>
            <w:vAlign w:val="bottom"/>
            <w:tcBorders>
              <w:bottom w:val="single" w:sz="8" w:color="auto"/>
              <w:right w:val="single" w:sz="8" w:color="auto"/>
            </w:tcBorders>
            <w:shd w:val="clear" w:color="auto" w:fill="D9CBA7"/>
          </w:tcPr>
          <w:p>
            <w:pPr>
              <w:spacing w:after="0"/>
              <w:rPr>
                <w:sz w:val="12"/>
                <w:szCs w:val="12"/>
                <w:color w:val="auto"/>
              </w:rPr>
            </w:pPr>
          </w:p>
        </w:tc>
        <w:tc>
          <w:tcPr>
            <w:tcW w:w="0" w:type="dxa"/>
            <w:vAlign w:val="bottom"/>
          </w:tcPr>
          <w:p>
            <w:pPr>
              <w:spacing w:after="0"/>
              <w:rPr>
                <w:sz w:val="1"/>
                <w:szCs w:val="1"/>
                <w:color w:val="auto"/>
              </w:rPr>
            </w:pPr>
          </w:p>
        </w:tc>
      </w:tr>
      <w:tr>
        <w:trPr>
          <w:trHeight w:val="276"/>
        </w:trPr>
        <w:tc>
          <w:tcPr>
            <w:tcW w:w="1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5.1</w:t>
            </w:r>
          </w:p>
        </w:tc>
        <w:tc>
          <w:tcPr>
            <w:tcW w:w="53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 xml:space="preserve">[* * *] </w:t>
            </w:r>
            <w:r>
              <w:rPr>
                <w:rFonts w:ascii="Arial" w:cs="Arial" w:eastAsia="Arial" w:hAnsi="Arial"/>
                <w:sz w:val="21"/>
                <w:szCs w:val="21"/>
                <w:color w:val="auto"/>
              </w:rPr>
              <w:t>Drug Substance Deliverables (</w:t>
            </w:r>
            <w:r>
              <w:rPr>
                <w:rFonts w:ascii="Arial" w:cs="Arial" w:eastAsia="Arial" w:hAnsi="Arial"/>
                <w:sz w:val="20"/>
                <w:szCs w:val="20"/>
                <w:color w:val="auto"/>
              </w:rPr>
              <w:t xml:space="preserve">[* * *] </w:t>
            </w:r>
            <w:r>
              <w:rPr>
                <w:rFonts w:ascii="Arial" w:cs="Arial" w:eastAsia="Arial" w:hAnsi="Arial"/>
                <w:sz w:val="21"/>
                <w:szCs w:val="21"/>
                <w:color w:val="auto"/>
              </w:rPr>
              <w:t>of Drug</w:t>
            </w:r>
          </w:p>
        </w:tc>
        <w:tc>
          <w:tcPr>
            <w:tcW w:w="1620" w:type="dxa"/>
            <w:vAlign w:val="bottom"/>
            <w:tcBorders>
              <w:right w:val="single" w:sz="8" w:color="auto"/>
            </w:tcBorders>
          </w:tcPr>
          <w:p>
            <w:pPr>
              <w:jc w:val="right"/>
              <w:ind w:right="981"/>
              <w:spacing w:after="0"/>
              <w:rPr>
                <w:sz w:val="20"/>
                <w:szCs w:val="20"/>
                <w:color w:val="auto"/>
              </w:rPr>
            </w:pPr>
            <w:r>
              <w:rPr>
                <w:rFonts w:ascii="Arial" w:cs="Arial" w:eastAsia="Arial" w:hAnsi="Arial"/>
                <w:sz w:val="20"/>
                <w:szCs w:val="20"/>
                <w:color w:val="auto"/>
              </w:rPr>
              <w:t>[***]</w:t>
            </w:r>
          </w:p>
        </w:tc>
        <w:tc>
          <w:tcPr>
            <w:tcW w:w="2360" w:type="dxa"/>
            <w:vAlign w:val="bottom"/>
            <w:tcBorders>
              <w:right w:val="single" w:sz="8" w:color="auto"/>
            </w:tcBorders>
          </w:tcPr>
          <w:p>
            <w:pPr>
              <w:jc w:val="right"/>
              <w:ind w:right="1719"/>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5"/>
        </w:trPr>
        <w:tc>
          <w:tcPr>
            <w:tcW w:w="1520" w:type="dxa"/>
            <w:vAlign w:val="bottom"/>
            <w:tcBorders>
              <w:left w:val="single" w:sz="8" w:color="auto"/>
              <w:bottom w:val="single" w:sz="8" w:color="auto"/>
              <w:right w:val="single" w:sz="8" w:color="auto"/>
            </w:tcBorders>
          </w:tcPr>
          <w:p>
            <w:pPr>
              <w:spacing w:after="0"/>
              <w:rPr>
                <w:sz w:val="24"/>
                <w:szCs w:val="24"/>
                <w:color w:val="auto"/>
              </w:rPr>
            </w:pPr>
          </w:p>
        </w:tc>
        <w:tc>
          <w:tcPr>
            <w:tcW w:w="5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Substance)</w:t>
            </w:r>
          </w:p>
        </w:tc>
        <w:tc>
          <w:tcPr>
            <w:tcW w:w="162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5.2</w:t>
            </w:r>
          </w:p>
        </w:tc>
        <w:tc>
          <w:tcPr>
            <w:tcW w:w="53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 xml:space="preserve">[* * *] </w:t>
            </w:r>
            <w:r>
              <w:rPr>
                <w:rFonts w:ascii="Arial" w:cs="Arial" w:eastAsia="Arial" w:hAnsi="Arial"/>
                <w:sz w:val="21"/>
                <w:szCs w:val="21"/>
                <w:color w:val="auto"/>
              </w:rPr>
              <w:t>Drug Substance Deliverables (</w:t>
            </w:r>
            <w:r>
              <w:rPr>
                <w:rFonts w:ascii="Arial" w:cs="Arial" w:eastAsia="Arial" w:hAnsi="Arial"/>
                <w:sz w:val="20"/>
                <w:szCs w:val="20"/>
                <w:color w:val="auto"/>
              </w:rPr>
              <w:t xml:space="preserve">[* * *] </w:t>
            </w:r>
            <w:r>
              <w:rPr>
                <w:rFonts w:ascii="Arial" w:cs="Arial" w:eastAsia="Arial" w:hAnsi="Arial"/>
                <w:sz w:val="21"/>
                <w:szCs w:val="21"/>
                <w:color w:val="auto"/>
              </w:rPr>
              <w:t>of Drug</w:t>
            </w:r>
          </w:p>
        </w:tc>
        <w:tc>
          <w:tcPr>
            <w:tcW w:w="1620" w:type="dxa"/>
            <w:vAlign w:val="bottom"/>
            <w:tcBorders>
              <w:right w:val="single" w:sz="8" w:color="auto"/>
            </w:tcBorders>
          </w:tcPr>
          <w:p>
            <w:pPr>
              <w:jc w:val="right"/>
              <w:ind w:right="981"/>
              <w:spacing w:after="0"/>
              <w:rPr>
                <w:sz w:val="20"/>
                <w:szCs w:val="20"/>
                <w:color w:val="auto"/>
              </w:rPr>
            </w:pPr>
            <w:r>
              <w:rPr>
                <w:rFonts w:ascii="Arial" w:cs="Arial" w:eastAsia="Arial" w:hAnsi="Arial"/>
                <w:sz w:val="20"/>
                <w:szCs w:val="20"/>
                <w:color w:val="auto"/>
              </w:rPr>
              <w:t>[***]</w:t>
            </w:r>
          </w:p>
        </w:tc>
        <w:tc>
          <w:tcPr>
            <w:tcW w:w="2360" w:type="dxa"/>
            <w:vAlign w:val="bottom"/>
            <w:tcBorders>
              <w:right w:val="single" w:sz="8" w:color="auto"/>
            </w:tcBorders>
          </w:tcPr>
          <w:p>
            <w:pPr>
              <w:jc w:val="right"/>
              <w:ind w:right="1719"/>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5"/>
        </w:trPr>
        <w:tc>
          <w:tcPr>
            <w:tcW w:w="1520" w:type="dxa"/>
            <w:vAlign w:val="bottom"/>
            <w:tcBorders>
              <w:left w:val="single" w:sz="8" w:color="auto"/>
              <w:bottom w:val="single" w:sz="8" w:color="auto"/>
              <w:right w:val="single" w:sz="8" w:color="auto"/>
            </w:tcBorders>
          </w:tcPr>
          <w:p>
            <w:pPr>
              <w:spacing w:after="0"/>
              <w:rPr>
                <w:sz w:val="24"/>
                <w:szCs w:val="24"/>
                <w:color w:val="auto"/>
              </w:rPr>
            </w:pPr>
          </w:p>
        </w:tc>
        <w:tc>
          <w:tcPr>
            <w:tcW w:w="5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Substance)</w:t>
            </w:r>
          </w:p>
        </w:tc>
        <w:tc>
          <w:tcPr>
            <w:tcW w:w="162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5.3</w:t>
            </w:r>
          </w:p>
        </w:tc>
        <w:tc>
          <w:tcPr>
            <w:tcW w:w="53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 xml:space="preserve">[* * *] </w:t>
            </w:r>
            <w:r>
              <w:rPr>
                <w:rFonts w:ascii="Arial" w:cs="Arial" w:eastAsia="Arial" w:hAnsi="Arial"/>
                <w:sz w:val="21"/>
                <w:szCs w:val="21"/>
                <w:color w:val="auto"/>
              </w:rPr>
              <w:t>Drug Product Deliverables (Fill/Finish for</w:t>
            </w:r>
            <w:r>
              <w:rPr>
                <w:rFonts w:ascii="Arial" w:cs="Arial" w:eastAsia="Arial" w:hAnsi="Arial"/>
                <w:sz w:val="20"/>
                <w:szCs w:val="20"/>
                <w:color w:val="auto"/>
              </w:rPr>
              <w:t xml:space="preserve"> [* * *] </w:t>
            </w:r>
            <w:r>
              <w:rPr>
                <w:rFonts w:ascii="Arial" w:cs="Arial" w:eastAsia="Arial" w:hAnsi="Arial"/>
                <w:sz w:val="21"/>
                <w:szCs w:val="21"/>
                <w:color w:val="auto"/>
              </w:rPr>
              <w:t>of</w:t>
            </w:r>
          </w:p>
        </w:tc>
        <w:tc>
          <w:tcPr>
            <w:tcW w:w="1620" w:type="dxa"/>
            <w:vAlign w:val="bottom"/>
            <w:tcBorders>
              <w:right w:val="single" w:sz="8" w:color="auto"/>
            </w:tcBorders>
          </w:tcPr>
          <w:p>
            <w:pPr>
              <w:jc w:val="right"/>
              <w:ind w:right="981"/>
              <w:spacing w:after="0"/>
              <w:rPr>
                <w:sz w:val="20"/>
                <w:szCs w:val="20"/>
                <w:color w:val="auto"/>
              </w:rPr>
            </w:pPr>
            <w:r>
              <w:rPr>
                <w:rFonts w:ascii="Arial" w:cs="Arial" w:eastAsia="Arial" w:hAnsi="Arial"/>
                <w:sz w:val="20"/>
                <w:szCs w:val="20"/>
                <w:color w:val="auto"/>
              </w:rPr>
              <w:t>[***]</w:t>
            </w:r>
          </w:p>
        </w:tc>
        <w:tc>
          <w:tcPr>
            <w:tcW w:w="2360" w:type="dxa"/>
            <w:vAlign w:val="bottom"/>
            <w:tcBorders>
              <w:right w:val="single" w:sz="8" w:color="auto"/>
            </w:tcBorders>
          </w:tcPr>
          <w:p>
            <w:pPr>
              <w:jc w:val="right"/>
              <w:ind w:right="1719"/>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5"/>
        </w:trPr>
        <w:tc>
          <w:tcPr>
            <w:tcW w:w="1520" w:type="dxa"/>
            <w:vAlign w:val="bottom"/>
            <w:tcBorders>
              <w:left w:val="single" w:sz="8" w:color="auto"/>
              <w:bottom w:val="single" w:sz="8" w:color="auto"/>
              <w:right w:val="single" w:sz="8" w:color="auto"/>
            </w:tcBorders>
          </w:tcPr>
          <w:p>
            <w:pPr>
              <w:spacing w:after="0"/>
              <w:rPr>
                <w:sz w:val="24"/>
                <w:szCs w:val="24"/>
                <w:color w:val="auto"/>
              </w:rPr>
            </w:pPr>
          </w:p>
        </w:tc>
        <w:tc>
          <w:tcPr>
            <w:tcW w:w="5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Drug Substance)</w:t>
            </w:r>
          </w:p>
        </w:tc>
        <w:tc>
          <w:tcPr>
            <w:tcW w:w="162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5.4</w:t>
            </w:r>
          </w:p>
        </w:tc>
        <w:tc>
          <w:tcPr>
            <w:tcW w:w="53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 xml:space="preserve">[* * *] </w:t>
            </w:r>
            <w:r>
              <w:rPr>
                <w:rFonts w:ascii="Arial" w:cs="Arial" w:eastAsia="Arial" w:hAnsi="Arial"/>
                <w:sz w:val="21"/>
                <w:szCs w:val="21"/>
                <w:color w:val="auto"/>
              </w:rPr>
              <w:t>Drug Substance Deliverables (</w:t>
            </w:r>
            <w:r>
              <w:rPr>
                <w:rFonts w:ascii="Arial" w:cs="Arial" w:eastAsia="Arial" w:hAnsi="Arial"/>
                <w:sz w:val="20"/>
                <w:szCs w:val="20"/>
                <w:color w:val="auto"/>
              </w:rPr>
              <w:t xml:space="preserve">[* * *] </w:t>
            </w:r>
            <w:r>
              <w:rPr>
                <w:rFonts w:ascii="Arial" w:cs="Arial" w:eastAsia="Arial" w:hAnsi="Arial"/>
                <w:sz w:val="21"/>
                <w:szCs w:val="21"/>
                <w:color w:val="auto"/>
              </w:rPr>
              <w:t>of Drug</w:t>
            </w:r>
          </w:p>
        </w:tc>
        <w:tc>
          <w:tcPr>
            <w:tcW w:w="1620" w:type="dxa"/>
            <w:vAlign w:val="bottom"/>
            <w:tcBorders>
              <w:right w:val="single" w:sz="8" w:color="auto"/>
            </w:tcBorders>
          </w:tcPr>
          <w:p>
            <w:pPr>
              <w:jc w:val="right"/>
              <w:ind w:right="981"/>
              <w:spacing w:after="0"/>
              <w:rPr>
                <w:sz w:val="20"/>
                <w:szCs w:val="20"/>
                <w:color w:val="auto"/>
              </w:rPr>
            </w:pPr>
            <w:r>
              <w:rPr>
                <w:rFonts w:ascii="Arial" w:cs="Arial" w:eastAsia="Arial" w:hAnsi="Arial"/>
                <w:sz w:val="20"/>
                <w:szCs w:val="20"/>
                <w:color w:val="auto"/>
              </w:rPr>
              <w:t>[***]</w:t>
            </w:r>
          </w:p>
        </w:tc>
        <w:tc>
          <w:tcPr>
            <w:tcW w:w="2360" w:type="dxa"/>
            <w:vAlign w:val="bottom"/>
            <w:tcBorders>
              <w:right w:val="single" w:sz="8" w:color="auto"/>
            </w:tcBorders>
          </w:tcPr>
          <w:p>
            <w:pPr>
              <w:jc w:val="right"/>
              <w:ind w:right="1719"/>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5"/>
        </w:trPr>
        <w:tc>
          <w:tcPr>
            <w:tcW w:w="1520" w:type="dxa"/>
            <w:vAlign w:val="bottom"/>
            <w:tcBorders>
              <w:left w:val="single" w:sz="8" w:color="auto"/>
              <w:bottom w:val="single" w:sz="8" w:color="auto"/>
              <w:right w:val="single" w:sz="8" w:color="auto"/>
            </w:tcBorders>
          </w:tcPr>
          <w:p>
            <w:pPr>
              <w:spacing w:after="0"/>
              <w:rPr>
                <w:sz w:val="24"/>
                <w:szCs w:val="24"/>
                <w:color w:val="auto"/>
              </w:rPr>
            </w:pPr>
          </w:p>
        </w:tc>
        <w:tc>
          <w:tcPr>
            <w:tcW w:w="5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Substance)</w:t>
            </w:r>
          </w:p>
        </w:tc>
        <w:tc>
          <w:tcPr>
            <w:tcW w:w="162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5.5</w:t>
            </w:r>
          </w:p>
        </w:tc>
        <w:tc>
          <w:tcPr>
            <w:tcW w:w="53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 xml:space="preserve">[* * *] </w:t>
            </w:r>
            <w:r>
              <w:rPr>
                <w:rFonts w:ascii="Arial" w:cs="Arial" w:eastAsia="Arial" w:hAnsi="Arial"/>
                <w:sz w:val="21"/>
                <w:szCs w:val="21"/>
                <w:color w:val="auto"/>
              </w:rPr>
              <w:t>Drug Product Deliverables (Fill/Finish for</w:t>
            </w:r>
            <w:r>
              <w:rPr>
                <w:rFonts w:ascii="Arial" w:cs="Arial" w:eastAsia="Arial" w:hAnsi="Arial"/>
                <w:sz w:val="20"/>
                <w:szCs w:val="20"/>
                <w:color w:val="auto"/>
              </w:rPr>
              <w:t xml:space="preserve"> [* * *] </w:t>
            </w:r>
            <w:r>
              <w:rPr>
                <w:rFonts w:ascii="Arial" w:cs="Arial" w:eastAsia="Arial" w:hAnsi="Arial"/>
                <w:sz w:val="21"/>
                <w:szCs w:val="21"/>
                <w:color w:val="auto"/>
              </w:rPr>
              <w:t>of</w:t>
            </w:r>
          </w:p>
        </w:tc>
        <w:tc>
          <w:tcPr>
            <w:tcW w:w="1620" w:type="dxa"/>
            <w:vAlign w:val="bottom"/>
            <w:tcBorders>
              <w:right w:val="single" w:sz="8" w:color="auto"/>
            </w:tcBorders>
          </w:tcPr>
          <w:p>
            <w:pPr>
              <w:jc w:val="right"/>
              <w:ind w:right="981"/>
              <w:spacing w:after="0"/>
              <w:rPr>
                <w:sz w:val="20"/>
                <w:szCs w:val="20"/>
                <w:color w:val="auto"/>
              </w:rPr>
            </w:pPr>
            <w:r>
              <w:rPr>
                <w:rFonts w:ascii="Arial" w:cs="Arial" w:eastAsia="Arial" w:hAnsi="Arial"/>
                <w:sz w:val="20"/>
                <w:szCs w:val="20"/>
                <w:color w:val="auto"/>
              </w:rPr>
              <w:t>[***]</w:t>
            </w:r>
          </w:p>
        </w:tc>
        <w:tc>
          <w:tcPr>
            <w:tcW w:w="2360" w:type="dxa"/>
            <w:vAlign w:val="bottom"/>
            <w:tcBorders>
              <w:right w:val="single" w:sz="8" w:color="auto"/>
            </w:tcBorders>
          </w:tcPr>
          <w:p>
            <w:pPr>
              <w:jc w:val="right"/>
              <w:ind w:right="1719"/>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5"/>
        </w:trPr>
        <w:tc>
          <w:tcPr>
            <w:tcW w:w="1520" w:type="dxa"/>
            <w:vAlign w:val="bottom"/>
            <w:tcBorders>
              <w:left w:val="single" w:sz="8" w:color="auto"/>
              <w:bottom w:val="single" w:sz="8" w:color="auto"/>
              <w:right w:val="single" w:sz="8" w:color="auto"/>
            </w:tcBorders>
          </w:tcPr>
          <w:p>
            <w:pPr>
              <w:spacing w:after="0"/>
              <w:rPr>
                <w:sz w:val="24"/>
                <w:szCs w:val="24"/>
                <w:color w:val="auto"/>
              </w:rPr>
            </w:pPr>
          </w:p>
        </w:tc>
        <w:tc>
          <w:tcPr>
            <w:tcW w:w="5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Drug Substance)</w:t>
            </w:r>
          </w:p>
        </w:tc>
        <w:tc>
          <w:tcPr>
            <w:tcW w:w="162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i w:val="1"/>
                <w:iCs w:val="1"/>
                <w:color w:val="auto"/>
              </w:rPr>
              <w:t>5.6</w:t>
            </w:r>
          </w:p>
        </w:tc>
        <w:tc>
          <w:tcPr>
            <w:tcW w:w="53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 xml:space="preserve">[* * *] </w:t>
            </w:r>
            <w:r>
              <w:rPr>
                <w:rFonts w:ascii="Arial" w:cs="Arial" w:eastAsia="Arial" w:hAnsi="Arial"/>
                <w:sz w:val="21"/>
                <w:szCs w:val="21"/>
                <w:b w:val="1"/>
                <w:bCs w:val="1"/>
                <w:i w:val="1"/>
                <w:iCs w:val="1"/>
                <w:color w:val="auto"/>
              </w:rPr>
              <w:t>Drug Substance Deliverables (</w:t>
            </w:r>
            <w:r>
              <w:rPr>
                <w:rFonts w:ascii="Arial" w:cs="Arial" w:eastAsia="Arial" w:hAnsi="Arial"/>
                <w:sz w:val="20"/>
                <w:szCs w:val="20"/>
                <w:color w:val="auto"/>
              </w:rPr>
              <w:t xml:space="preserve">[* * *] </w:t>
            </w:r>
            <w:r>
              <w:rPr>
                <w:rFonts w:ascii="Arial" w:cs="Arial" w:eastAsia="Arial" w:hAnsi="Arial"/>
                <w:sz w:val="21"/>
                <w:szCs w:val="21"/>
                <w:b w:val="1"/>
                <w:bCs w:val="1"/>
                <w:i w:val="1"/>
                <w:iCs w:val="1"/>
                <w:color w:val="auto"/>
              </w:rPr>
              <w:t>of Drug</w:t>
            </w:r>
          </w:p>
        </w:tc>
        <w:tc>
          <w:tcPr>
            <w:tcW w:w="1620" w:type="dxa"/>
            <w:vAlign w:val="bottom"/>
            <w:tcBorders>
              <w:right w:val="single" w:sz="8" w:color="auto"/>
            </w:tcBorders>
          </w:tcPr>
          <w:p>
            <w:pPr>
              <w:jc w:val="right"/>
              <w:ind w:right="981"/>
              <w:spacing w:after="0"/>
              <w:rPr>
                <w:sz w:val="20"/>
                <w:szCs w:val="20"/>
                <w:color w:val="auto"/>
              </w:rPr>
            </w:pPr>
            <w:r>
              <w:rPr>
                <w:rFonts w:ascii="Arial" w:cs="Arial" w:eastAsia="Arial" w:hAnsi="Arial"/>
                <w:sz w:val="20"/>
                <w:szCs w:val="20"/>
                <w:color w:val="auto"/>
              </w:rPr>
              <w:t>[***]</w:t>
            </w:r>
          </w:p>
        </w:tc>
        <w:tc>
          <w:tcPr>
            <w:tcW w:w="2360" w:type="dxa"/>
            <w:vAlign w:val="bottom"/>
            <w:tcBorders>
              <w:right w:val="single" w:sz="8" w:color="auto"/>
            </w:tcBorders>
          </w:tcPr>
          <w:p>
            <w:pPr>
              <w:jc w:val="right"/>
              <w:ind w:right="1719"/>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5"/>
        </w:trPr>
        <w:tc>
          <w:tcPr>
            <w:tcW w:w="1520" w:type="dxa"/>
            <w:vAlign w:val="bottom"/>
            <w:tcBorders>
              <w:left w:val="single" w:sz="8" w:color="auto"/>
              <w:bottom w:val="single" w:sz="8" w:color="auto"/>
              <w:right w:val="single" w:sz="8" w:color="auto"/>
            </w:tcBorders>
          </w:tcPr>
          <w:p>
            <w:pPr>
              <w:spacing w:after="0"/>
              <w:rPr>
                <w:sz w:val="24"/>
                <w:szCs w:val="24"/>
                <w:color w:val="auto"/>
              </w:rPr>
            </w:pPr>
          </w:p>
        </w:tc>
        <w:tc>
          <w:tcPr>
            <w:tcW w:w="5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b w:val="1"/>
                <w:bCs w:val="1"/>
                <w:i w:val="1"/>
                <w:iCs w:val="1"/>
                <w:color w:val="auto"/>
              </w:rPr>
              <w:t>Substance)</w:t>
            </w:r>
          </w:p>
        </w:tc>
        <w:tc>
          <w:tcPr>
            <w:tcW w:w="162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i w:val="1"/>
                <w:iCs w:val="1"/>
                <w:color w:val="auto"/>
              </w:rPr>
              <w:t>5.7</w:t>
            </w:r>
          </w:p>
        </w:tc>
        <w:tc>
          <w:tcPr>
            <w:tcW w:w="53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8"/>
              </w:rPr>
              <w:t xml:space="preserve">[* * *] </w:t>
            </w:r>
            <w:r>
              <w:rPr>
                <w:rFonts w:ascii="Arial" w:cs="Arial" w:eastAsia="Arial" w:hAnsi="Arial"/>
                <w:sz w:val="21"/>
                <w:szCs w:val="21"/>
                <w:b w:val="1"/>
                <w:bCs w:val="1"/>
                <w:i w:val="1"/>
                <w:iCs w:val="1"/>
                <w:color w:val="auto"/>
                <w:w w:val="98"/>
              </w:rPr>
              <w:t>Drug Product Deliverables (Fill/Finish for</w:t>
            </w:r>
            <w:r>
              <w:rPr>
                <w:rFonts w:ascii="Arial" w:cs="Arial" w:eastAsia="Arial" w:hAnsi="Arial"/>
                <w:sz w:val="20"/>
                <w:szCs w:val="20"/>
                <w:color w:val="auto"/>
                <w:w w:val="98"/>
              </w:rPr>
              <w:t xml:space="preserve"> [* * *] </w:t>
            </w:r>
            <w:r>
              <w:rPr>
                <w:rFonts w:ascii="Arial" w:cs="Arial" w:eastAsia="Arial" w:hAnsi="Arial"/>
                <w:sz w:val="21"/>
                <w:szCs w:val="21"/>
                <w:b w:val="1"/>
                <w:bCs w:val="1"/>
                <w:i w:val="1"/>
                <w:iCs w:val="1"/>
                <w:color w:val="auto"/>
                <w:w w:val="98"/>
              </w:rPr>
              <w:t>of</w:t>
            </w:r>
          </w:p>
        </w:tc>
        <w:tc>
          <w:tcPr>
            <w:tcW w:w="1620" w:type="dxa"/>
            <w:vAlign w:val="bottom"/>
            <w:tcBorders>
              <w:right w:val="single" w:sz="8" w:color="auto"/>
            </w:tcBorders>
          </w:tcPr>
          <w:p>
            <w:pPr>
              <w:jc w:val="right"/>
              <w:ind w:right="981"/>
              <w:spacing w:after="0"/>
              <w:rPr>
                <w:sz w:val="20"/>
                <w:szCs w:val="20"/>
                <w:color w:val="auto"/>
              </w:rPr>
            </w:pPr>
            <w:r>
              <w:rPr>
                <w:rFonts w:ascii="Arial" w:cs="Arial" w:eastAsia="Arial" w:hAnsi="Arial"/>
                <w:sz w:val="20"/>
                <w:szCs w:val="20"/>
                <w:color w:val="auto"/>
              </w:rPr>
              <w:t>[***]</w:t>
            </w:r>
          </w:p>
        </w:tc>
        <w:tc>
          <w:tcPr>
            <w:tcW w:w="2360" w:type="dxa"/>
            <w:vAlign w:val="bottom"/>
            <w:tcBorders>
              <w:right w:val="single" w:sz="8" w:color="auto"/>
            </w:tcBorders>
          </w:tcPr>
          <w:p>
            <w:pPr>
              <w:jc w:val="right"/>
              <w:ind w:right="1719"/>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5"/>
        </w:trPr>
        <w:tc>
          <w:tcPr>
            <w:tcW w:w="1520" w:type="dxa"/>
            <w:vAlign w:val="bottom"/>
            <w:tcBorders>
              <w:left w:val="single" w:sz="8" w:color="auto"/>
              <w:bottom w:val="single" w:sz="8" w:color="auto"/>
              <w:right w:val="single" w:sz="8" w:color="auto"/>
            </w:tcBorders>
          </w:tcPr>
          <w:p>
            <w:pPr>
              <w:spacing w:after="0"/>
              <w:rPr>
                <w:sz w:val="24"/>
                <w:szCs w:val="24"/>
                <w:color w:val="auto"/>
              </w:rPr>
            </w:pPr>
          </w:p>
        </w:tc>
        <w:tc>
          <w:tcPr>
            <w:tcW w:w="5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b w:val="1"/>
                <w:bCs w:val="1"/>
                <w:i w:val="1"/>
                <w:iCs w:val="1"/>
                <w:color w:val="auto"/>
              </w:rPr>
              <w:t>Drug Substance)</w:t>
            </w:r>
          </w:p>
        </w:tc>
        <w:tc>
          <w:tcPr>
            <w:tcW w:w="162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i w:val="1"/>
                <w:iCs w:val="1"/>
                <w:color w:val="auto"/>
              </w:rPr>
              <w:t>5.8</w:t>
            </w:r>
          </w:p>
        </w:tc>
        <w:tc>
          <w:tcPr>
            <w:tcW w:w="53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 xml:space="preserve">[* * *] </w:t>
            </w:r>
            <w:r>
              <w:rPr>
                <w:rFonts w:ascii="Arial" w:cs="Arial" w:eastAsia="Arial" w:hAnsi="Arial"/>
                <w:sz w:val="21"/>
                <w:szCs w:val="21"/>
                <w:b w:val="1"/>
                <w:bCs w:val="1"/>
                <w:i w:val="1"/>
                <w:iCs w:val="1"/>
                <w:color w:val="auto"/>
              </w:rPr>
              <w:t>Drug Substance Deliverables (</w:t>
            </w:r>
            <w:r>
              <w:rPr>
                <w:rFonts w:ascii="Arial" w:cs="Arial" w:eastAsia="Arial" w:hAnsi="Arial"/>
                <w:sz w:val="20"/>
                <w:szCs w:val="20"/>
                <w:color w:val="auto"/>
              </w:rPr>
              <w:t xml:space="preserve">[* * *] </w:t>
            </w:r>
            <w:r>
              <w:rPr>
                <w:rFonts w:ascii="Arial" w:cs="Arial" w:eastAsia="Arial" w:hAnsi="Arial"/>
                <w:sz w:val="21"/>
                <w:szCs w:val="21"/>
                <w:b w:val="1"/>
                <w:bCs w:val="1"/>
                <w:i w:val="1"/>
                <w:iCs w:val="1"/>
                <w:color w:val="auto"/>
              </w:rPr>
              <w:t>of Drug</w:t>
            </w:r>
          </w:p>
        </w:tc>
        <w:tc>
          <w:tcPr>
            <w:tcW w:w="1620" w:type="dxa"/>
            <w:vAlign w:val="bottom"/>
            <w:tcBorders>
              <w:right w:val="single" w:sz="8" w:color="auto"/>
            </w:tcBorders>
          </w:tcPr>
          <w:p>
            <w:pPr>
              <w:jc w:val="right"/>
              <w:ind w:right="981"/>
              <w:spacing w:after="0"/>
              <w:rPr>
                <w:sz w:val="20"/>
                <w:szCs w:val="20"/>
                <w:color w:val="auto"/>
              </w:rPr>
            </w:pPr>
            <w:r>
              <w:rPr>
                <w:rFonts w:ascii="Arial" w:cs="Arial" w:eastAsia="Arial" w:hAnsi="Arial"/>
                <w:sz w:val="20"/>
                <w:szCs w:val="20"/>
                <w:color w:val="auto"/>
              </w:rPr>
              <w:t>[***]</w:t>
            </w:r>
          </w:p>
        </w:tc>
        <w:tc>
          <w:tcPr>
            <w:tcW w:w="2360" w:type="dxa"/>
            <w:vAlign w:val="bottom"/>
            <w:tcBorders>
              <w:right w:val="single" w:sz="8" w:color="auto"/>
            </w:tcBorders>
          </w:tcPr>
          <w:p>
            <w:pPr>
              <w:jc w:val="right"/>
              <w:ind w:right="1719"/>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5"/>
        </w:trPr>
        <w:tc>
          <w:tcPr>
            <w:tcW w:w="1520" w:type="dxa"/>
            <w:vAlign w:val="bottom"/>
            <w:tcBorders>
              <w:left w:val="single" w:sz="8" w:color="auto"/>
              <w:bottom w:val="single" w:sz="8" w:color="auto"/>
              <w:right w:val="single" w:sz="8" w:color="auto"/>
            </w:tcBorders>
          </w:tcPr>
          <w:p>
            <w:pPr>
              <w:spacing w:after="0"/>
              <w:rPr>
                <w:sz w:val="24"/>
                <w:szCs w:val="24"/>
                <w:color w:val="auto"/>
              </w:rPr>
            </w:pPr>
          </w:p>
        </w:tc>
        <w:tc>
          <w:tcPr>
            <w:tcW w:w="5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b w:val="1"/>
                <w:bCs w:val="1"/>
                <w:i w:val="1"/>
                <w:iCs w:val="1"/>
                <w:color w:val="auto"/>
              </w:rPr>
              <w:t>Substance)</w:t>
            </w:r>
          </w:p>
        </w:tc>
        <w:tc>
          <w:tcPr>
            <w:tcW w:w="162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i w:val="1"/>
                <w:iCs w:val="1"/>
                <w:color w:val="auto"/>
              </w:rPr>
              <w:t>5.9</w:t>
            </w:r>
          </w:p>
        </w:tc>
        <w:tc>
          <w:tcPr>
            <w:tcW w:w="53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8"/>
              </w:rPr>
              <w:t xml:space="preserve">[* * *] </w:t>
            </w:r>
            <w:r>
              <w:rPr>
                <w:rFonts w:ascii="Arial" w:cs="Arial" w:eastAsia="Arial" w:hAnsi="Arial"/>
                <w:sz w:val="21"/>
                <w:szCs w:val="21"/>
                <w:b w:val="1"/>
                <w:bCs w:val="1"/>
                <w:i w:val="1"/>
                <w:iCs w:val="1"/>
                <w:color w:val="auto"/>
                <w:w w:val="98"/>
              </w:rPr>
              <w:t>Drug Product Deliverables (Fill/Finish for</w:t>
            </w:r>
            <w:r>
              <w:rPr>
                <w:rFonts w:ascii="Arial" w:cs="Arial" w:eastAsia="Arial" w:hAnsi="Arial"/>
                <w:sz w:val="20"/>
                <w:szCs w:val="20"/>
                <w:color w:val="auto"/>
                <w:w w:val="98"/>
              </w:rPr>
              <w:t xml:space="preserve"> [* * *] </w:t>
            </w:r>
            <w:r>
              <w:rPr>
                <w:rFonts w:ascii="Arial" w:cs="Arial" w:eastAsia="Arial" w:hAnsi="Arial"/>
                <w:sz w:val="21"/>
                <w:szCs w:val="21"/>
                <w:b w:val="1"/>
                <w:bCs w:val="1"/>
                <w:i w:val="1"/>
                <w:iCs w:val="1"/>
                <w:color w:val="auto"/>
                <w:w w:val="98"/>
              </w:rPr>
              <w:t>of</w:t>
            </w:r>
          </w:p>
        </w:tc>
        <w:tc>
          <w:tcPr>
            <w:tcW w:w="1620" w:type="dxa"/>
            <w:vAlign w:val="bottom"/>
            <w:tcBorders>
              <w:right w:val="single" w:sz="8" w:color="auto"/>
            </w:tcBorders>
          </w:tcPr>
          <w:p>
            <w:pPr>
              <w:jc w:val="right"/>
              <w:ind w:right="981"/>
              <w:spacing w:after="0"/>
              <w:rPr>
                <w:sz w:val="20"/>
                <w:szCs w:val="20"/>
                <w:color w:val="auto"/>
              </w:rPr>
            </w:pPr>
            <w:r>
              <w:rPr>
                <w:rFonts w:ascii="Arial" w:cs="Arial" w:eastAsia="Arial" w:hAnsi="Arial"/>
                <w:sz w:val="20"/>
                <w:szCs w:val="20"/>
                <w:color w:val="auto"/>
              </w:rPr>
              <w:t>[***]</w:t>
            </w:r>
          </w:p>
        </w:tc>
        <w:tc>
          <w:tcPr>
            <w:tcW w:w="2360" w:type="dxa"/>
            <w:vAlign w:val="bottom"/>
            <w:tcBorders>
              <w:right w:val="single" w:sz="8" w:color="auto"/>
            </w:tcBorders>
          </w:tcPr>
          <w:p>
            <w:pPr>
              <w:jc w:val="right"/>
              <w:ind w:right="1719"/>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5"/>
        </w:trPr>
        <w:tc>
          <w:tcPr>
            <w:tcW w:w="1520" w:type="dxa"/>
            <w:vAlign w:val="bottom"/>
            <w:tcBorders>
              <w:left w:val="single" w:sz="8" w:color="auto"/>
              <w:bottom w:val="single" w:sz="8" w:color="auto"/>
              <w:right w:val="single" w:sz="8" w:color="auto"/>
            </w:tcBorders>
          </w:tcPr>
          <w:p>
            <w:pPr>
              <w:spacing w:after="0"/>
              <w:rPr>
                <w:sz w:val="24"/>
                <w:szCs w:val="24"/>
                <w:color w:val="auto"/>
              </w:rPr>
            </w:pPr>
          </w:p>
        </w:tc>
        <w:tc>
          <w:tcPr>
            <w:tcW w:w="5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b w:val="1"/>
                <w:bCs w:val="1"/>
                <w:i w:val="1"/>
                <w:iCs w:val="1"/>
                <w:color w:val="auto"/>
              </w:rPr>
              <w:t>Drug Substance)</w:t>
            </w:r>
          </w:p>
        </w:tc>
        <w:tc>
          <w:tcPr>
            <w:tcW w:w="162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i w:val="1"/>
                <w:iCs w:val="1"/>
                <w:color w:val="auto"/>
              </w:rPr>
              <w:t>5.10</w:t>
            </w:r>
          </w:p>
        </w:tc>
        <w:tc>
          <w:tcPr>
            <w:tcW w:w="53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8"/>
              </w:rPr>
              <w:t xml:space="preserve">[* * *] </w:t>
            </w:r>
            <w:r>
              <w:rPr>
                <w:rFonts w:ascii="Arial" w:cs="Arial" w:eastAsia="Arial" w:hAnsi="Arial"/>
                <w:sz w:val="21"/>
                <w:szCs w:val="21"/>
                <w:b w:val="1"/>
                <w:bCs w:val="1"/>
                <w:i w:val="1"/>
                <w:iCs w:val="1"/>
                <w:color w:val="auto"/>
                <w:w w:val="98"/>
              </w:rPr>
              <w:t>Drug Product Deliverables (Fill/Finish for</w:t>
            </w:r>
            <w:r>
              <w:rPr>
                <w:rFonts w:ascii="Arial" w:cs="Arial" w:eastAsia="Arial" w:hAnsi="Arial"/>
                <w:sz w:val="20"/>
                <w:szCs w:val="20"/>
                <w:color w:val="auto"/>
                <w:w w:val="98"/>
              </w:rPr>
              <w:t xml:space="preserve"> [* * *] </w:t>
            </w:r>
            <w:r>
              <w:rPr>
                <w:rFonts w:ascii="Arial" w:cs="Arial" w:eastAsia="Arial" w:hAnsi="Arial"/>
                <w:sz w:val="21"/>
                <w:szCs w:val="21"/>
                <w:b w:val="1"/>
                <w:bCs w:val="1"/>
                <w:i w:val="1"/>
                <w:iCs w:val="1"/>
                <w:color w:val="auto"/>
                <w:w w:val="98"/>
              </w:rPr>
              <w:t>of</w:t>
            </w:r>
          </w:p>
        </w:tc>
        <w:tc>
          <w:tcPr>
            <w:tcW w:w="1620" w:type="dxa"/>
            <w:vAlign w:val="bottom"/>
            <w:tcBorders>
              <w:right w:val="single" w:sz="8" w:color="auto"/>
            </w:tcBorders>
          </w:tcPr>
          <w:p>
            <w:pPr>
              <w:jc w:val="right"/>
              <w:ind w:right="981"/>
              <w:spacing w:after="0"/>
              <w:rPr>
                <w:sz w:val="20"/>
                <w:szCs w:val="20"/>
                <w:color w:val="auto"/>
              </w:rPr>
            </w:pPr>
            <w:r>
              <w:rPr>
                <w:rFonts w:ascii="Arial" w:cs="Arial" w:eastAsia="Arial" w:hAnsi="Arial"/>
                <w:sz w:val="20"/>
                <w:szCs w:val="20"/>
                <w:color w:val="auto"/>
              </w:rPr>
              <w:t>[***]</w:t>
            </w:r>
          </w:p>
        </w:tc>
        <w:tc>
          <w:tcPr>
            <w:tcW w:w="2360" w:type="dxa"/>
            <w:vAlign w:val="bottom"/>
            <w:tcBorders>
              <w:right w:val="single" w:sz="8" w:color="auto"/>
            </w:tcBorders>
          </w:tcPr>
          <w:p>
            <w:pPr>
              <w:jc w:val="right"/>
              <w:ind w:right="1719"/>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5"/>
        </w:trPr>
        <w:tc>
          <w:tcPr>
            <w:tcW w:w="1520" w:type="dxa"/>
            <w:vAlign w:val="bottom"/>
            <w:tcBorders>
              <w:left w:val="single" w:sz="8" w:color="auto"/>
              <w:bottom w:val="single" w:sz="8" w:color="auto"/>
              <w:right w:val="single" w:sz="8" w:color="auto"/>
            </w:tcBorders>
          </w:tcPr>
          <w:p>
            <w:pPr>
              <w:spacing w:after="0"/>
              <w:rPr>
                <w:sz w:val="24"/>
                <w:szCs w:val="24"/>
                <w:color w:val="auto"/>
              </w:rPr>
            </w:pPr>
          </w:p>
        </w:tc>
        <w:tc>
          <w:tcPr>
            <w:tcW w:w="5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b w:val="1"/>
                <w:bCs w:val="1"/>
                <w:i w:val="1"/>
                <w:iCs w:val="1"/>
                <w:color w:val="auto"/>
              </w:rPr>
              <w:t>Drug Substance)</w:t>
            </w:r>
          </w:p>
        </w:tc>
        <w:tc>
          <w:tcPr>
            <w:tcW w:w="162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i w:val="1"/>
                <w:iCs w:val="1"/>
                <w:color w:val="auto"/>
              </w:rPr>
              <w:t>5.11</w:t>
            </w:r>
          </w:p>
        </w:tc>
        <w:tc>
          <w:tcPr>
            <w:tcW w:w="5320" w:type="dxa"/>
            <w:vAlign w:val="bottom"/>
            <w:tcBorders>
              <w:right w:val="single" w:sz="8" w:color="auto"/>
            </w:tcBorders>
          </w:tcPr>
          <w:p>
            <w:pPr>
              <w:spacing w:after="0"/>
              <w:rPr>
                <w:sz w:val="20"/>
                <w:szCs w:val="20"/>
                <w:color w:val="auto"/>
              </w:rPr>
            </w:pPr>
            <w:r>
              <w:rPr>
                <w:rFonts w:ascii="Arial" w:cs="Arial" w:eastAsia="Arial" w:hAnsi="Arial"/>
                <w:sz w:val="22"/>
                <w:szCs w:val="22"/>
                <w:color w:val="auto"/>
                <w:w w:val="90"/>
              </w:rPr>
              <w:t>Quarterly Technical and Business Status Report, Reference</w:t>
            </w:r>
          </w:p>
        </w:tc>
        <w:tc>
          <w:tcPr>
            <w:tcW w:w="1620" w:type="dxa"/>
            <w:vAlign w:val="bottom"/>
            <w:tcBorders>
              <w:right w:val="single" w:sz="8" w:color="auto"/>
            </w:tcBorders>
          </w:tcPr>
          <w:p>
            <w:pPr>
              <w:jc w:val="right"/>
              <w:ind w:right="981"/>
              <w:spacing w:after="0"/>
              <w:rPr>
                <w:sz w:val="20"/>
                <w:szCs w:val="20"/>
                <w:color w:val="auto"/>
              </w:rPr>
            </w:pPr>
            <w:r>
              <w:rPr>
                <w:rFonts w:ascii="Arial" w:cs="Arial" w:eastAsia="Arial" w:hAnsi="Arial"/>
                <w:sz w:val="20"/>
                <w:szCs w:val="20"/>
                <w:color w:val="auto"/>
              </w:rPr>
              <w:t>[***]</w:t>
            </w:r>
          </w:p>
        </w:tc>
        <w:tc>
          <w:tcPr>
            <w:tcW w:w="2360" w:type="dxa"/>
            <w:vAlign w:val="bottom"/>
            <w:tcBorders>
              <w:right w:val="single" w:sz="8" w:color="auto"/>
            </w:tcBorders>
          </w:tcPr>
          <w:p>
            <w:pPr>
              <w:jc w:val="right"/>
              <w:ind w:right="1719"/>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5"/>
        </w:trPr>
        <w:tc>
          <w:tcPr>
            <w:tcW w:w="1520" w:type="dxa"/>
            <w:vAlign w:val="bottom"/>
            <w:tcBorders>
              <w:left w:val="single" w:sz="8" w:color="auto"/>
              <w:bottom w:val="single" w:sz="8" w:color="auto"/>
              <w:right w:val="single" w:sz="8" w:color="auto"/>
            </w:tcBorders>
          </w:tcPr>
          <w:p>
            <w:pPr>
              <w:spacing w:after="0"/>
              <w:rPr>
                <w:sz w:val="24"/>
                <w:szCs w:val="24"/>
                <w:color w:val="auto"/>
              </w:rPr>
            </w:pPr>
          </w:p>
        </w:tc>
        <w:tc>
          <w:tcPr>
            <w:tcW w:w="5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3.3.1.k</w:t>
            </w:r>
          </w:p>
        </w:tc>
        <w:tc>
          <w:tcPr>
            <w:tcW w:w="162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i w:val="1"/>
                <w:iCs w:val="1"/>
                <w:color w:val="auto"/>
              </w:rPr>
              <w:t>5.12</w:t>
            </w:r>
          </w:p>
        </w:tc>
        <w:tc>
          <w:tcPr>
            <w:tcW w:w="5320" w:type="dxa"/>
            <w:vAlign w:val="bottom"/>
            <w:tcBorders>
              <w:right w:val="single" w:sz="8" w:color="auto"/>
            </w:tcBorders>
          </w:tcPr>
          <w:p>
            <w:pPr>
              <w:spacing w:after="0"/>
              <w:rPr>
                <w:sz w:val="20"/>
                <w:szCs w:val="20"/>
                <w:color w:val="auto"/>
              </w:rPr>
            </w:pPr>
            <w:r>
              <w:rPr>
                <w:rFonts w:ascii="Arial" w:cs="Arial" w:eastAsia="Arial" w:hAnsi="Arial"/>
                <w:sz w:val="22"/>
                <w:szCs w:val="22"/>
                <w:color w:val="auto"/>
                <w:w w:val="94"/>
              </w:rPr>
              <w:t>Annual Technical and Business Status Report, Reference</w:t>
            </w:r>
          </w:p>
        </w:tc>
        <w:tc>
          <w:tcPr>
            <w:tcW w:w="1620" w:type="dxa"/>
            <w:vAlign w:val="bottom"/>
            <w:tcBorders>
              <w:right w:val="single" w:sz="8" w:color="auto"/>
            </w:tcBorders>
          </w:tcPr>
          <w:p>
            <w:pPr>
              <w:jc w:val="right"/>
              <w:ind w:right="981"/>
              <w:spacing w:after="0"/>
              <w:rPr>
                <w:sz w:val="20"/>
                <w:szCs w:val="20"/>
                <w:color w:val="auto"/>
              </w:rPr>
            </w:pPr>
            <w:r>
              <w:rPr>
                <w:rFonts w:ascii="Arial" w:cs="Arial" w:eastAsia="Arial" w:hAnsi="Arial"/>
                <w:sz w:val="20"/>
                <w:szCs w:val="20"/>
                <w:color w:val="auto"/>
              </w:rPr>
              <w:t>[***]</w:t>
            </w:r>
          </w:p>
        </w:tc>
        <w:tc>
          <w:tcPr>
            <w:tcW w:w="2360" w:type="dxa"/>
            <w:vAlign w:val="bottom"/>
            <w:tcBorders>
              <w:right w:val="single" w:sz="8" w:color="auto"/>
            </w:tcBorders>
          </w:tcPr>
          <w:p>
            <w:pPr>
              <w:jc w:val="right"/>
              <w:ind w:right="1719"/>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5"/>
        </w:trPr>
        <w:tc>
          <w:tcPr>
            <w:tcW w:w="1520" w:type="dxa"/>
            <w:vAlign w:val="bottom"/>
            <w:tcBorders>
              <w:left w:val="single" w:sz="8" w:color="auto"/>
              <w:bottom w:val="single" w:sz="8" w:color="auto"/>
              <w:right w:val="single" w:sz="8" w:color="auto"/>
            </w:tcBorders>
          </w:tcPr>
          <w:p>
            <w:pPr>
              <w:spacing w:after="0"/>
              <w:rPr>
                <w:sz w:val="24"/>
                <w:szCs w:val="24"/>
                <w:color w:val="auto"/>
              </w:rPr>
            </w:pPr>
          </w:p>
        </w:tc>
        <w:tc>
          <w:tcPr>
            <w:tcW w:w="5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3.3.1.l</w:t>
            </w:r>
          </w:p>
        </w:tc>
        <w:tc>
          <w:tcPr>
            <w:tcW w:w="162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i w:val="1"/>
                <w:iCs w:val="1"/>
                <w:color w:val="auto"/>
              </w:rPr>
              <w:t>5.13</w:t>
            </w:r>
          </w:p>
        </w:tc>
        <w:tc>
          <w:tcPr>
            <w:tcW w:w="5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 xml:space="preserve">Storage of Drug Product in VMI </w:t>
            </w:r>
            <w:r>
              <w:rPr>
                <w:rFonts w:ascii="Arial" w:cs="Arial" w:eastAsia="Arial" w:hAnsi="Arial"/>
                <w:sz w:val="19"/>
                <w:szCs w:val="19"/>
                <w:color w:val="auto"/>
              </w:rPr>
              <w:t>[* * *]</w:t>
            </w:r>
          </w:p>
        </w:tc>
        <w:tc>
          <w:tcPr>
            <w:tcW w:w="1620" w:type="dxa"/>
            <w:vAlign w:val="bottom"/>
            <w:tcBorders>
              <w:bottom w:val="single" w:sz="8" w:color="auto"/>
              <w:right w:val="single" w:sz="8" w:color="auto"/>
            </w:tcBorders>
          </w:tcPr>
          <w:p>
            <w:pPr>
              <w:jc w:val="right"/>
              <w:ind w:right="981"/>
              <w:spacing w:after="0"/>
              <w:rPr>
                <w:sz w:val="20"/>
                <w:szCs w:val="20"/>
                <w:color w:val="auto"/>
              </w:rPr>
            </w:pPr>
            <w:r>
              <w:rPr>
                <w:rFonts w:ascii="Arial" w:cs="Arial" w:eastAsia="Arial" w:hAnsi="Arial"/>
                <w:sz w:val="20"/>
                <w:szCs w:val="20"/>
                <w:color w:val="auto"/>
              </w:rPr>
              <w:t>[***]</w:t>
            </w:r>
          </w:p>
        </w:tc>
        <w:tc>
          <w:tcPr>
            <w:tcW w:w="2360" w:type="dxa"/>
            <w:vAlign w:val="bottom"/>
            <w:tcBorders>
              <w:bottom w:val="single" w:sz="8" w:color="auto"/>
              <w:right w:val="single" w:sz="8" w:color="auto"/>
            </w:tcBorders>
          </w:tcPr>
          <w:p>
            <w:pPr>
              <w:jc w:val="right"/>
              <w:ind w:right="1719"/>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04"/>
        </w:trPr>
        <w:tc>
          <w:tcPr>
            <w:tcW w:w="1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i w:val="1"/>
                <w:iCs w:val="1"/>
                <w:color w:val="auto"/>
              </w:rPr>
              <w:t>5.14</w:t>
            </w:r>
          </w:p>
        </w:tc>
        <w:tc>
          <w:tcPr>
            <w:tcW w:w="5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 xml:space="preserve">Storage of Drug Product in VMI </w:t>
            </w:r>
            <w:r>
              <w:rPr>
                <w:rFonts w:ascii="Arial" w:cs="Arial" w:eastAsia="Arial" w:hAnsi="Arial"/>
                <w:sz w:val="19"/>
                <w:szCs w:val="19"/>
                <w:color w:val="auto"/>
              </w:rPr>
              <w:t>[* * *]</w:t>
            </w:r>
          </w:p>
        </w:tc>
        <w:tc>
          <w:tcPr>
            <w:tcW w:w="1620" w:type="dxa"/>
            <w:vAlign w:val="bottom"/>
            <w:tcBorders>
              <w:bottom w:val="single" w:sz="8" w:color="auto"/>
              <w:right w:val="single" w:sz="8" w:color="auto"/>
            </w:tcBorders>
          </w:tcPr>
          <w:p>
            <w:pPr>
              <w:jc w:val="right"/>
              <w:ind w:right="981"/>
              <w:spacing w:after="0"/>
              <w:rPr>
                <w:sz w:val="20"/>
                <w:szCs w:val="20"/>
                <w:color w:val="auto"/>
              </w:rPr>
            </w:pPr>
            <w:r>
              <w:rPr>
                <w:rFonts w:ascii="Arial" w:cs="Arial" w:eastAsia="Arial" w:hAnsi="Arial"/>
                <w:sz w:val="20"/>
                <w:szCs w:val="20"/>
                <w:color w:val="auto"/>
              </w:rPr>
              <w:t>[***]</w:t>
            </w:r>
          </w:p>
        </w:tc>
        <w:tc>
          <w:tcPr>
            <w:tcW w:w="2360" w:type="dxa"/>
            <w:vAlign w:val="bottom"/>
            <w:tcBorders>
              <w:bottom w:val="single" w:sz="8" w:color="auto"/>
              <w:right w:val="single" w:sz="8" w:color="auto"/>
            </w:tcBorders>
          </w:tcPr>
          <w:p>
            <w:pPr>
              <w:jc w:val="right"/>
              <w:ind w:right="1719"/>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04"/>
        </w:trPr>
        <w:tc>
          <w:tcPr>
            <w:tcW w:w="1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i w:val="1"/>
                <w:iCs w:val="1"/>
                <w:color w:val="auto"/>
              </w:rPr>
              <w:t>5.15</w:t>
            </w:r>
          </w:p>
        </w:tc>
        <w:tc>
          <w:tcPr>
            <w:tcW w:w="5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 xml:space="preserve">Storage of Drug Product in VMI </w:t>
            </w:r>
            <w:r>
              <w:rPr>
                <w:rFonts w:ascii="Arial" w:cs="Arial" w:eastAsia="Arial" w:hAnsi="Arial"/>
                <w:sz w:val="19"/>
                <w:szCs w:val="19"/>
                <w:color w:val="auto"/>
              </w:rPr>
              <w:t>[* * *]</w:t>
            </w:r>
          </w:p>
        </w:tc>
        <w:tc>
          <w:tcPr>
            <w:tcW w:w="1620" w:type="dxa"/>
            <w:vAlign w:val="bottom"/>
            <w:tcBorders>
              <w:bottom w:val="single" w:sz="8" w:color="auto"/>
              <w:right w:val="single" w:sz="8" w:color="auto"/>
            </w:tcBorders>
          </w:tcPr>
          <w:p>
            <w:pPr>
              <w:jc w:val="right"/>
              <w:ind w:right="981"/>
              <w:spacing w:after="0"/>
              <w:rPr>
                <w:sz w:val="20"/>
                <w:szCs w:val="20"/>
                <w:color w:val="auto"/>
              </w:rPr>
            </w:pPr>
            <w:r>
              <w:rPr>
                <w:rFonts w:ascii="Arial" w:cs="Arial" w:eastAsia="Arial" w:hAnsi="Arial"/>
                <w:sz w:val="20"/>
                <w:szCs w:val="20"/>
                <w:color w:val="auto"/>
              </w:rPr>
              <w:t>[***]</w:t>
            </w:r>
          </w:p>
        </w:tc>
        <w:tc>
          <w:tcPr>
            <w:tcW w:w="2360" w:type="dxa"/>
            <w:vAlign w:val="bottom"/>
            <w:tcBorders>
              <w:bottom w:val="single" w:sz="8" w:color="auto"/>
              <w:right w:val="single" w:sz="8" w:color="auto"/>
            </w:tcBorders>
          </w:tcPr>
          <w:p>
            <w:pPr>
              <w:jc w:val="right"/>
              <w:ind w:right="1719"/>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04"/>
        </w:trPr>
        <w:tc>
          <w:tcPr>
            <w:tcW w:w="1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i w:val="1"/>
                <w:iCs w:val="1"/>
                <w:color w:val="auto"/>
              </w:rPr>
              <w:t>5.16</w:t>
            </w:r>
          </w:p>
        </w:tc>
        <w:tc>
          <w:tcPr>
            <w:tcW w:w="5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 xml:space="preserve">Storage of Drug Product in VMI </w:t>
            </w:r>
            <w:r>
              <w:rPr>
                <w:rFonts w:ascii="Arial" w:cs="Arial" w:eastAsia="Arial" w:hAnsi="Arial"/>
                <w:sz w:val="19"/>
                <w:szCs w:val="19"/>
                <w:color w:val="auto"/>
              </w:rPr>
              <w:t>[* * *]</w:t>
            </w:r>
          </w:p>
        </w:tc>
        <w:tc>
          <w:tcPr>
            <w:tcW w:w="1620" w:type="dxa"/>
            <w:vAlign w:val="bottom"/>
            <w:tcBorders>
              <w:bottom w:val="single" w:sz="8" w:color="auto"/>
              <w:right w:val="single" w:sz="8" w:color="auto"/>
            </w:tcBorders>
          </w:tcPr>
          <w:p>
            <w:pPr>
              <w:jc w:val="right"/>
              <w:ind w:right="981"/>
              <w:spacing w:after="0"/>
              <w:rPr>
                <w:sz w:val="20"/>
                <w:szCs w:val="20"/>
                <w:color w:val="auto"/>
              </w:rPr>
            </w:pPr>
            <w:r>
              <w:rPr>
                <w:rFonts w:ascii="Arial" w:cs="Arial" w:eastAsia="Arial" w:hAnsi="Arial"/>
                <w:sz w:val="20"/>
                <w:szCs w:val="20"/>
                <w:color w:val="auto"/>
              </w:rPr>
              <w:t>[***]</w:t>
            </w:r>
          </w:p>
        </w:tc>
        <w:tc>
          <w:tcPr>
            <w:tcW w:w="2360" w:type="dxa"/>
            <w:vAlign w:val="bottom"/>
            <w:tcBorders>
              <w:bottom w:val="single" w:sz="8" w:color="auto"/>
              <w:right w:val="single" w:sz="8" w:color="auto"/>
            </w:tcBorders>
          </w:tcPr>
          <w:p>
            <w:pPr>
              <w:jc w:val="right"/>
              <w:ind w:right="1719"/>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04"/>
        </w:trPr>
        <w:tc>
          <w:tcPr>
            <w:tcW w:w="1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i w:val="1"/>
                <w:iCs w:val="1"/>
                <w:color w:val="auto"/>
              </w:rPr>
              <w:t>5.17</w:t>
            </w:r>
          </w:p>
        </w:tc>
        <w:tc>
          <w:tcPr>
            <w:tcW w:w="5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b w:val="1"/>
                <w:bCs w:val="1"/>
                <w:i w:val="1"/>
                <w:iCs w:val="1"/>
                <w:color w:val="auto"/>
              </w:rPr>
              <w:t xml:space="preserve">Support of Distribution of Drug Product and </w:t>
            </w:r>
            <w:r>
              <w:rPr>
                <w:rFonts w:ascii="Arial" w:cs="Arial" w:eastAsia="Arial" w:hAnsi="Arial"/>
                <w:sz w:val="19"/>
                <w:szCs w:val="19"/>
                <w:color w:val="auto"/>
              </w:rPr>
              <w:t>[* * *]</w:t>
            </w:r>
          </w:p>
        </w:tc>
        <w:tc>
          <w:tcPr>
            <w:tcW w:w="1620" w:type="dxa"/>
            <w:vAlign w:val="bottom"/>
            <w:tcBorders>
              <w:bottom w:val="single" w:sz="8" w:color="auto"/>
              <w:right w:val="single" w:sz="8" w:color="auto"/>
            </w:tcBorders>
          </w:tcPr>
          <w:p>
            <w:pPr>
              <w:jc w:val="right"/>
              <w:ind w:right="981"/>
              <w:spacing w:after="0"/>
              <w:rPr>
                <w:sz w:val="20"/>
                <w:szCs w:val="20"/>
                <w:color w:val="auto"/>
              </w:rPr>
            </w:pPr>
            <w:r>
              <w:rPr>
                <w:rFonts w:ascii="Arial" w:cs="Arial" w:eastAsia="Arial" w:hAnsi="Arial"/>
                <w:sz w:val="20"/>
                <w:szCs w:val="20"/>
                <w:color w:val="auto"/>
              </w:rPr>
              <w:t>[***]</w:t>
            </w:r>
          </w:p>
        </w:tc>
        <w:tc>
          <w:tcPr>
            <w:tcW w:w="2360" w:type="dxa"/>
            <w:vAlign w:val="bottom"/>
            <w:tcBorders>
              <w:bottom w:val="single" w:sz="8" w:color="auto"/>
              <w:right w:val="single" w:sz="8" w:color="auto"/>
            </w:tcBorders>
          </w:tcPr>
          <w:p>
            <w:pPr>
              <w:jc w:val="right"/>
              <w:ind w:right="1719"/>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04"/>
        </w:trPr>
        <w:tc>
          <w:tcPr>
            <w:tcW w:w="1520" w:type="dxa"/>
            <w:vAlign w:val="bottom"/>
            <w:tcBorders>
              <w:left w:val="single" w:sz="8" w:color="auto"/>
              <w:bottom w:val="single" w:sz="8" w:color="auto"/>
            </w:tcBorders>
          </w:tcPr>
          <w:p>
            <w:pPr>
              <w:spacing w:after="0"/>
              <w:rPr>
                <w:sz w:val="24"/>
                <w:szCs w:val="24"/>
                <w:color w:val="auto"/>
              </w:rPr>
            </w:pPr>
          </w:p>
        </w:tc>
        <w:tc>
          <w:tcPr>
            <w:tcW w:w="694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22"/>
                <w:szCs w:val="22"/>
                <w:b w:val="1"/>
                <w:bCs w:val="1"/>
                <w:color w:val="auto"/>
              </w:rPr>
              <w:t>Total (Include Payment Type; FFP</w:t>
            </w:r>
            <w:r>
              <w:rPr>
                <w:rFonts w:ascii="Arial" w:cs="Arial" w:eastAsia="Arial" w:hAnsi="Arial"/>
                <w:sz w:val="22"/>
                <w:szCs w:val="22"/>
                <w:b w:val="1"/>
                <w:bCs w:val="1"/>
                <w:i w:val="1"/>
                <w:iCs w:val="1"/>
                <w:color w:val="auto"/>
              </w:rPr>
              <w:t>/CR</w:t>
            </w:r>
            <w:r>
              <w:rPr>
                <w:rFonts w:ascii="Arial" w:cs="Arial" w:eastAsia="Arial" w:hAnsi="Arial"/>
                <w:sz w:val="22"/>
                <w:szCs w:val="22"/>
                <w:b w:val="1"/>
                <w:bCs w:val="1"/>
                <w:color w:val="auto"/>
              </w:rPr>
              <w:t>):</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w:t>
            </w:r>
            <w:r>
              <w:rPr>
                <w:rFonts w:ascii="Arial" w:cs="Arial" w:eastAsia="Arial" w:hAnsi="Arial"/>
                <w:sz w:val="22"/>
                <w:szCs w:val="22"/>
                <w:b w:val="1"/>
                <w:bCs w:val="1"/>
                <w:i w:val="1"/>
                <w:iCs w:val="1"/>
                <w:color w:val="auto"/>
                <w:w w:val="89"/>
              </w:rPr>
              <w:t>465,861,635</w:t>
            </w:r>
          </w:p>
        </w:tc>
        <w:tc>
          <w:tcPr>
            <w:tcW w:w="0" w:type="dxa"/>
            <w:vAlign w:val="bottom"/>
          </w:tcPr>
          <w:p>
            <w:pPr>
              <w:spacing w:after="0"/>
              <w:rPr>
                <w:sz w:val="1"/>
                <w:szCs w:val="1"/>
                <w:color w:val="auto"/>
              </w:rPr>
            </w:pPr>
          </w:p>
        </w:tc>
      </w:tr>
      <w:tr>
        <w:trPr>
          <w:trHeight w:val="276"/>
        </w:trPr>
        <w:tc>
          <w:tcPr>
            <w:tcW w:w="1520" w:type="dxa"/>
            <w:vAlign w:val="bottom"/>
            <w:tcBorders>
              <w:left w:val="single" w:sz="8" w:color="auto"/>
            </w:tcBorders>
          </w:tcPr>
          <w:p>
            <w:pPr>
              <w:spacing w:after="0"/>
              <w:rPr>
                <w:sz w:val="23"/>
                <w:szCs w:val="23"/>
                <w:color w:val="auto"/>
              </w:rPr>
            </w:pPr>
          </w:p>
        </w:tc>
        <w:tc>
          <w:tcPr>
            <w:tcW w:w="6940" w:type="dxa"/>
            <w:vAlign w:val="bottom"/>
            <w:tcBorders>
              <w:right w:val="single" w:sz="8" w:color="auto"/>
            </w:tcBorders>
            <w:gridSpan w:val="2"/>
          </w:tcPr>
          <w:p>
            <w:pPr>
              <w:jc w:val="right"/>
              <w:spacing w:after="0"/>
              <w:rPr>
                <w:sz w:val="20"/>
                <w:szCs w:val="20"/>
                <w:color w:val="auto"/>
              </w:rPr>
            </w:pPr>
            <w:r>
              <w:rPr>
                <w:rFonts w:ascii="Arial" w:cs="Arial" w:eastAsia="Arial" w:hAnsi="Arial"/>
                <w:sz w:val="22"/>
                <w:szCs w:val="22"/>
                <w:b w:val="1"/>
                <w:bCs w:val="1"/>
                <w:color w:val="auto"/>
              </w:rPr>
              <w:t>Period of Performance:</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6"/>
              </w:rPr>
              <w:t>June 2020 –</w:t>
            </w:r>
          </w:p>
        </w:tc>
        <w:tc>
          <w:tcPr>
            <w:tcW w:w="0" w:type="dxa"/>
            <w:vAlign w:val="bottom"/>
          </w:tcPr>
          <w:p>
            <w:pPr>
              <w:spacing w:after="0"/>
              <w:rPr>
                <w:sz w:val="1"/>
                <w:szCs w:val="1"/>
                <w:color w:val="auto"/>
              </w:rPr>
            </w:pPr>
          </w:p>
        </w:tc>
      </w:tr>
      <w:tr>
        <w:trPr>
          <w:trHeight w:val="285"/>
        </w:trPr>
        <w:tc>
          <w:tcPr>
            <w:tcW w:w="1520" w:type="dxa"/>
            <w:vAlign w:val="bottom"/>
            <w:tcBorders>
              <w:left w:val="single" w:sz="8" w:color="auto"/>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i w:val="1"/>
                <w:iCs w:val="1"/>
                <w:color w:val="auto"/>
                <w:w w:val="86"/>
              </w:rPr>
              <w:t>November 2021</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314" w:lineRule="auto"/>
        <w:rPr>
          <w:sz w:val="20"/>
          <w:szCs w:val="20"/>
          <w:color w:val="auto"/>
        </w:rPr>
      </w:pPr>
      <w:r>
        <w:rPr>
          <w:rFonts w:ascii="Arial" w:cs="Arial" w:eastAsia="Arial" w:hAnsi="Arial"/>
          <w:sz w:val="18"/>
          <w:szCs w:val="18"/>
          <w:b w:val="1"/>
          <w:bCs w:val="1"/>
          <w:i w:val="1"/>
          <w:iCs w:val="1"/>
          <w:color w:val="auto"/>
        </w:rPr>
        <w:t xml:space="preserve">The overall price is a not-to-exceed price of $465,861,635, structured as a firm fixed price of </w:t>
      </w:r>
      <w:r>
        <w:rPr>
          <w:rFonts w:ascii="Arial" w:cs="Arial" w:eastAsia="Arial" w:hAnsi="Arial"/>
          <w:sz w:val="18"/>
          <w:szCs w:val="18"/>
          <w:b w:val="1"/>
          <w:bCs w:val="1"/>
          <w:color w:val="auto"/>
        </w:rPr>
        <w:t>[* * *]</w:t>
      </w:r>
      <w:r>
        <w:rPr>
          <w:rFonts w:ascii="Arial" w:cs="Arial" w:eastAsia="Arial" w:hAnsi="Arial"/>
          <w:sz w:val="18"/>
          <w:szCs w:val="18"/>
          <w:b w:val="1"/>
          <w:bCs w:val="1"/>
          <w:i w:val="1"/>
          <w:iCs w:val="1"/>
          <w:color w:val="auto"/>
        </w:rPr>
        <w:t xml:space="preserve"> and a cost reimbursement budget (for support of distribution and </w:t>
      </w:r>
      <w:r>
        <w:rPr>
          <w:rFonts w:ascii="Arial" w:cs="Arial" w:eastAsia="Arial" w:hAnsi="Arial"/>
          <w:sz w:val="18"/>
          <w:szCs w:val="18"/>
          <w:b w:val="1"/>
          <w:bCs w:val="1"/>
          <w:color w:val="auto"/>
        </w:rPr>
        <w:t>[* * *]</w:t>
      </w:r>
      <w:r>
        <w:rPr>
          <w:rFonts w:ascii="Arial" w:cs="Arial" w:eastAsia="Arial" w:hAnsi="Arial"/>
          <w:sz w:val="18"/>
          <w:szCs w:val="18"/>
          <w:b w:val="1"/>
          <w:bCs w:val="1"/>
          <w:i w:val="1"/>
          <w:iCs w:val="1"/>
          <w:color w:val="auto"/>
        </w:rPr>
        <w:t xml:space="preserve"> only) of </w:t>
      </w:r>
      <w:r>
        <w:rPr>
          <w:rFonts w:ascii="Arial" w:cs="Arial" w:eastAsia="Arial" w:hAnsi="Arial"/>
          <w:sz w:val="18"/>
          <w:szCs w:val="18"/>
          <w:b w:val="1"/>
          <w:bCs w:val="1"/>
          <w:color w:val="auto"/>
        </w:rPr>
        <w:t>[* * *]</w:t>
      </w:r>
      <w:r>
        <w:rPr>
          <w:rFonts w:ascii="Arial" w:cs="Arial" w:eastAsia="Arial" w:hAnsi="Arial"/>
          <w:sz w:val="18"/>
          <w:szCs w:val="18"/>
          <w:b w:val="1"/>
          <w:bCs w:val="1"/>
          <w:i w:val="1"/>
          <w:iCs w:val="1"/>
          <w:color w:val="auto"/>
        </w:rPr>
        <w:t xml:space="preserve">. Milestone payments will be made monthly or quarterly. The Parties acknowledge that deliverables for a given month or quarter may not correspond to the table above. In the event the deliverables in a given month or quarter are less than or exceed the projected quantity for such month or quarter, or in the event of a monthly invoice against an amount designated for a quarter in the table above, the milestone payment will be equitably adjusted based on the shortfall, excess or monthly amount, as applicable. With respect to the Distribution and </w:t>
      </w:r>
      <w:r>
        <w:rPr>
          <w:rFonts w:ascii="Arial" w:cs="Arial" w:eastAsia="Arial" w:hAnsi="Arial"/>
          <w:sz w:val="18"/>
          <w:szCs w:val="18"/>
          <w:b w:val="1"/>
          <w:bCs w:val="1"/>
          <w:color w:val="auto"/>
        </w:rPr>
        <w:t>[* * *]</w:t>
      </w:r>
    </w:p>
    <w:p>
      <w:pPr>
        <w:sectPr>
          <w:pgSz w:w="11900" w:h="16838" w:orient="portrait"/>
          <w:cols w:equalWidth="0" w:num="1">
            <w:col w:w="11240"/>
          </w:cols>
          <w:pgMar w:left="320" w:top="855" w:right="33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CONFIDENTIAL/PROPRIETARY</w:t>
      </w:r>
    </w:p>
    <w:p>
      <w:pPr>
        <w:sectPr>
          <w:pgSz w:w="11900" w:h="16838" w:orient="portrait"/>
          <w:cols w:equalWidth="0" w:num="1">
            <w:col w:w="11240"/>
          </w:cols>
          <w:pgMar w:left="320" w:top="855" w:right="339" w:bottom="1440" w:gutter="0" w:footer="0" w:header="0"/>
          <w:type w:val="continuous"/>
        </w:sectPr>
      </w:pPr>
    </w:p>
    <w:bookmarkStart w:id="248" w:name="page249"/>
    <w:bookmarkEnd w:id="248"/>
    <w:p>
      <w:pPr>
        <w:jc w:val="both"/>
        <w:spacing w:after="0" w:line="253" w:lineRule="auto"/>
        <w:rPr>
          <w:sz w:val="20"/>
          <w:szCs w:val="20"/>
          <w:color w:val="auto"/>
        </w:rPr>
      </w:pPr>
      <w:r>
        <w:rPr>
          <w:rFonts w:ascii="Arial" w:cs="Arial" w:eastAsia="Arial" w:hAnsi="Arial"/>
          <w:sz w:val="22"/>
          <w:szCs w:val="22"/>
          <w:b w:val="1"/>
          <w:bCs w:val="1"/>
          <w:i w:val="1"/>
          <w:iCs w:val="1"/>
          <w:color w:val="auto"/>
        </w:rPr>
        <w:t xml:space="preserve">milestone (5.17), Regeneron shall invoice against such milestone based on actual, external costs incurred by Regeneron during the applicable period, plus an allowance for Regeneron’s general and administrative expense. </w:t>
      </w:r>
      <w:r>
        <w:rPr>
          <w:rFonts w:ascii="Arial" w:cs="Arial" w:eastAsia="Arial" w:hAnsi="Arial"/>
          <w:sz w:val="22"/>
          <w:szCs w:val="22"/>
          <w:color w:val="auto"/>
        </w:rPr>
        <w:t>Milestone payment terms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will be net 30 days.</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 xml:space="preserve">Total pricing </w:t>
      </w:r>
      <w:r>
        <w:rPr>
          <w:rFonts w:ascii="Arial" w:cs="Arial" w:eastAsia="Arial" w:hAnsi="Arial"/>
          <w:sz w:val="19"/>
          <w:szCs w:val="19"/>
          <w:b w:val="1"/>
          <w:bCs w:val="1"/>
          <w:i w:val="1"/>
          <w:iCs w:val="1"/>
          <w:color w:val="auto"/>
        </w:rPr>
        <w:t>for Drug Substance and Drug Product</w:t>
      </w:r>
      <w:r>
        <w:rPr>
          <w:rFonts w:ascii="Arial" w:cs="Arial" w:eastAsia="Arial" w:hAnsi="Arial"/>
          <w:sz w:val="19"/>
          <w:szCs w:val="19"/>
          <w:color w:val="auto"/>
        </w:rPr>
        <w:t xml:space="preserve"> is a firm fixed price per lot, </w:t>
      </w:r>
      <w:r>
        <w:rPr>
          <w:rFonts w:ascii="Arial" w:cs="Arial" w:eastAsia="Arial" w:hAnsi="Arial"/>
          <w:sz w:val="17"/>
          <w:szCs w:val="17"/>
          <w:color w:val="auto"/>
        </w:rPr>
        <w:t>[* * *]</w:t>
      </w:r>
      <w:r>
        <w:rPr>
          <w:rFonts w:ascii="Arial" w:cs="Arial" w:eastAsia="Arial" w:hAnsi="Arial"/>
          <w:sz w:val="19"/>
          <w:szCs w:val="19"/>
          <w:color w:val="auto"/>
        </w:rPr>
        <w:t xml:space="preserve">. Regeneron will deliver </w:t>
      </w:r>
      <w:r>
        <w:rPr>
          <w:rFonts w:ascii="Arial" w:cs="Arial" w:eastAsia="Arial" w:hAnsi="Arial"/>
          <w:sz w:val="17"/>
          <w:szCs w:val="17"/>
          <w:color w:val="auto"/>
        </w:rPr>
        <w:t>[* * *]</w:t>
      </w:r>
      <w:r>
        <w:rPr>
          <w:rFonts w:ascii="Arial" w:cs="Arial" w:eastAsia="Arial" w:hAnsi="Arial"/>
          <w:sz w:val="19"/>
          <w:szCs w:val="19"/>
          <w:color w:val="auto"/>
        </w:rPr>
        <w:t xml:space="preserve"> of filled/finished drug product. Regeneron will be entitled to full payment for drug product upon delivery/acceptance (as described herein) of filled/finished drug product, prior to packaging and labeling. However, Regeneron shall be responsible for the packaging and labeling of product at no additional cost following the determination of the use of such drug product (e.g., for clinical trials or for distribution under an EUA or BLA). Drug product will comply with the Drug Supply Chain Security Act serialization and tracking requirements</w:t>
      </w:r>
      <w:r>
        <w:rPr>
          <w:rFonts w:ascii="Arial" w:cs="Arial" w:eastAsia="Arial" w:hAnsi="Arial"/>
          <w:sz w:val="19"/>
          <w:szCs w:val="19"/>
          <w:b w:val="1"/>
          <w:bCs w:val="1"/>
          <w:i w:val="1"/>
          <w:iCs w:val="1"/>
          <w:color w:val="auto"/>
        </w:rPr>
        <w:t>, unless waived or otherwise not applicable.</w:t>
      </w:r>
      <w:r>
        <w:rPr>
          <w:rFonts w:ascii="Arial" w:cs="Arial" w:eastAsia="Arial" w:hAnsi="Arial"/>
          <w:sz w:val="19"/>
          <w:szCs w:val="19"/>
          <w:color w:val="auto"/>
        </w:rPr>
        <w:t xml:space="preserve"> Drug product will not be co-formulated, except as otherwise mutually agreed </w:t>
      </w:r>
      <w:r>
        <w:rPr>
          <w:rFonts w:ascii="Arial" w:cs="Arial" w:eastAsia="Arial" w:hAnsi="Arial"/>
          <w:sz w:val="19"/>
          <w:szCs w:val="19"/>
          <w:b w:val="1"/>
          <w:bCs w:val="1"/>
          <w:i w:val="1"/>
          <w:iCs w:val="1"/>
          <w:color w:val="auto"/>
        </w:rPr>
        <w:t>upon</w:t>
      </w:r>
      <w:r>
        <w:rPr>
          <w:rFonts w:ascii="Arial" w:cs="Arial" w:eastAsia="Arial" w:hAnsi="Arial"/>
          <w:sz w:val="19"/>
          <w:szCs w:val="19"/>
          <w:color w:val="auto"/>
        </w:rPr>
        <w:t xml:space="preserve"> by the parties. Unless and until otherwise mutually agreed </w:t>
      </w:r>
      <w:r>
        <w:rPr>
          <w:rFonts w:ascii="Arial" w:cs="Arial" w:eastAsia="Arial" w:hAnsi="Arial"/>
          <w:sz w:val="19"/>
          <w:szCs w:val="19"/>
          <w:b w:val="1"/>
          <w:bCs w:val="1"/>
          <w:i w:val="1"/>
          <w:iCs w:val="1"/>
          <w:color w:val="auto"/>
        </w:rPr>
        <w:t>upon, approximately</w:t>
      </w:r>
      <w:r>
        <w:rPr>
          <w:rFonts w:ascii="Arial" w:cs="Arial" w:eastAsia="Arial" w:hAnsi="Arial"/>
          <w:sz w:val="19"/>
          <w:szCs w:val="19"/>
          <w:color w:val="auto"/>
        </w:rPr>
        <w:t xml:space="preserve"> </w:t>
      </w:r>
      <w:r>
        <w:rPr>
          <w:rFonts w:ascii="Arial" w:cs="Arial" w:eastAsia="Arial" w:hAnsi="Arial"/>
          <w:sz w:val="19"/>
          <w:szCs w:val="19"/>
          <w:b w:val="1"/>
          <w:bCs w:val="1"/>
          <w:color w:val="auto"/>
        </w:rPr>
        <w:t>[* *</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of</w:t>
      </w:r>
      <w:r>
        <w:rPr>
          <w:rFonts w:ascii="Arial" w:cs="Arial" w:eastAsia="Arial" w:hAnsi="Arial"/>
          <w:sz w:val="19"/>
          <w:szCs w:val="19"/>
          <w:b w:val="1"/>
          <w:bCs w:val="1"/>
          <w:color w:val="auto"/>
        </w:rPr>
        <w:t xml:space="preserve"> </w:t>
      </w:r>
      <w:r>
        <w:rPr>
          <w:rFonts w:ascii="Arial" w:cs="Arial" w:eastAsia="Arial" w:hAnsi="Arial"/>
          <w:sz w:val="19"/>
          <w:szCs w:val="19"/>
          <w:color w:val="auto"/>
        </w:rPr>
        <w:t>the drug product produced under this Statement of Work will be filled</w:t>
      </w:r>
      <w:r>
        <w:rPr>
          <w:rFonts w:ascii="Arial" w:cs="Arial" w:eastAsia="Arial" w:hAnsi="Arial"/>
          <w:sz w:val="19"/>
          <w:szCs w:val="19"/>
          <w:b w:val="1"/>
          <w:bCs w:val="1"/>
          <w:color w:val="auto"/>
        </w:rPr>
        <w:t xml:space="preserve"> </w:t>
      </w:r>
      <w:r>
        <w:rPr>
          <w:rFonts w:ascii="Arial" w:cs="Arial" w:eastAsia="Arial" w:hAnsi="Arial"/>
          <w:sz w:val="17"/>
          <w:szCs w:val="17"/>
          <w:color w:val="auto"/>
        </w:rPr>
        <w:t>[* * *]</w:t>
      </w:r>
      <w:r>
        <w:rPr>
          <w:rFonts w:ascii="Arial" w:cs="Arial" w:eastAsia="Arial" w:hAnsi="Arial"/>
          <w:sz w:val="19"/>
          <w:szCs w:val="19"/>
          <w:b w:val="1"/>
          <w:bCs w:val="1"/>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In order to change this allocation, Regeneron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will require at least </w:t>
      </w:r>
      <w:r>
        <w:rPr>
          <w:rFonts w:ascii="Arial" w:cs="Arial" w:eastAsia="Arial" w:hAnsi="Arial"/>
          <w:sz w:val="17"/>
          <w:szCs w:val="17"/>
          <w:color w:val="auto"/>
        </w:rPr>
        <w:t>[* * *]</w:t>
      </w:r>
      <w:r>
        <w:rPr>
          <w:rFonts w:ascii="Arial" w:cs="Arial" w:eastAsia="Arial" w:hAnsi="Arial"/>
          <w:sz w:val="19"/>
          <w:szCs w:val="19"/>
          <w:color w:val="auto"/>
        </w:rPr>
        <w:t xml:space="preserve"> prior written notice, in order to meet Regeneron’s notification requirements to its fill/finish subcontractor. </w:t>
      </w:r>
      <w:r>
        <w:rPr>
          <w:rFonts w:ascii="Arial" w:cs="Arial" w:eastAsia="Arial" w:hAnsi="Arial"/>
          <w:sz w:val="19"/>
          <w:szCs w:val="19"/>
          <w:b w:val="1"/>
          <w:bCs w:val="1"/>
          <w:i w:val="1"/>
          <w:iCs w:val="1"/>
          <w:color w:val="auto"/>
          <w:strike w:val="1"/>
        </w:rPr>
        <w:t>Regeneron will provide the Government with the timeline for fill/finish activities, including the dates by which</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strike w:val="1"/>
        </w:rPr>
        <w:t>the parties must determine the allocation of fill/finish activities.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Notwithstanding the foregoing, as part of this Project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Agreement, Regeneron will have the right to utilize material and capacity supported by this agreement </w:t>
      </w:r>
      <w:r>
        <w:rPr>
          <w:rFonts w:ascii="Arial" w:cs="Arial" w:eastAsia="Arial" w:hAnsi="Arial"/>
          <w:sz w:val="19"/>
          <w:szCs w:val="19"/>
          <w:b w:val="1"/>
          <w:bCs w:val="1"/>
          <w:i w:val="1"/>
          <w:iCs w:val="1"/>
          <w:color w:val="auto"/>
        </w:rPr>
        <w:t>of</w:t>
      </w:r>
      <w:r>
        <w:rPr>
          <w:rFonts w:ascii="Arial" w:cs="Arial" w:eastAsia="Arial" w:hAnsi="Arial"/>
          <w:sz w:val="19"/>
          <w:szCs w:val="19"/>
          <w:color w:val="auto"/>
        </w:rPr>
        <w:t xml:space="preserve"> up to </w:t>
      </w:r>
      <w:r>
        <w:rPr>
          <w:rFonts w:ascii="Arial" w:cs="Arial" w:eastAsia="Arial" w:hAnsi="Arial"/>
          <w:sz w:val="17"/>
          <w:szCs w:val="17"/>
          <w:color w:val="auto"/>
        </w:rPr>
        <w:t>[* * *]</w:t>
      </w:r>
      <w:r>
        <w:rPr>
          <w:rFonts w:ascii="Arial" w:cs="Arial" w:eastAsia="Arial" w:hAnsi="Arial"/>
          <w:sz w:val="19"/>
          <w:szCs w:val="19"/>
          <w:color w:val="auto"/>
        </w:rPr>
        <w:t xml:space="preserve">, as well as any additional drug product </w:t>
      </w:r>
      <w:r>
        <w:rPr>
          <w:rFonts w:ascii="Arial" w:cs="Arial" w:eastAsia="Arial" w:hAnsi="Arial"/>
          <w:sz w:val="19"/>
          <w:szCs w:val="19"/>
          <w:b w:val="1"/>
          <w:bCs w:val="1"/>
          <w:i w:val="1"/>
          <w:iCs w:val="1"/>
          <w:color w:val="auto"/>
        </w:rPr>
        <w:t>for such uses, as</w:t>
      </w:r>
      <w:r>
        <w:rPr>
          <w:rFonts w:ascii="Arial" w:cs="Arial" w:eastAsia="Arial" w:hAnsi="Arial"/>
          <w:sz w:val="19"/>
          <w:szCs w:val="19"/>
          <w:color w:val="auto"/>
        </w:rPr>
        <w:t xml:space="preserve"> mutually agreed upon by Regeneron and the Government (with respect to which use the Government will not unreasonably withhold consent).</w:t>
      </w:r>
    </w:p>
    <w:p>
      <w:pPr>
        <w:spacing w:after="0" w:line="200" w:lineRule="exact"/>
        <w:rPr>
          <w:sz w:val="20"/>
          <w:szCs w:val="20"/>
          <w:color w:val="auto"/>
        </w:rPr>
      </w:pPr>
    </w:p>
    <w:p>
      <w:pPr>
        <w:spacing w:after="0" w:line="249"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In the event this Statement of Work is terminated prior to completion, termination costs recoverable by Regeneron under Section 2.04 of the MCDC Base Agreement, shall include the following: the full contract price for any drug product manufactured and not yet paid for; a pro-rated portion of the contract price for drug substance or drug product that is in process, based on the stage of production; </w:t>
      </w:r>
      <w:r>
        <w:rPr>
          <w:rFonts w:ascii="Arial" w:cs="Arial" w:eastAsia="Arial" w:hAnsi="Arial"/>
          <w:sz w:val="19"/>
          <w:szCs w:val="19"/>
          <w:color w:val="auto"/>
        </w:rPr>
        <w:t>[* * *]</w:t>
      </w:r>
      <w:r>
        <w:rPr>
          <w:rFonts w:ascii="Arial" w:cs="Arial" w:eastAsia="Arial" w:hAnsi="Arial"/>
          <w:sz w:val="22"/>
          <w:szCs w:val="22"/>
          <w:color w:val="auto"/>
        </w:rPr>
        <w:t xml:space="preserve"> raw materials that Regeneron purchased (or is obligated to purchase) that cannot be allocated to other products</w:t>
      </w:r>
      <w:r>
        <w:rPr>
          <w:rFonts w:ascii="Arial" w:cs="Arial" w:eastAsia="Arial" w:hAnsi="Arial"/>
          <w:sz w:val="22"/>
          <w:szCs w:val="22"/>
          <w:b w:val="1"/>
          <w:bCs w:val="1"/>
          <w:i w:val="1"/>
          <w:iCs w:val="1"/>
          <w:color w:val="auto"/>
        </w:rPr>
        <w:t>;</w:t>
      </w:r>
      <w:r>
        <w:rPr>
          <w:rFonts w:ascii="Arial" w:cs="Arial" w:eastAsia="Arial" w:hAnsi="Arial"/>
          <w:sz w:val="22"/>
          <w:szCs w:val="22"/>
          <w:color w:val="auto"/>
        </w:rPr>
        <w:t xml:space="preserve"> </w:t>
      </w:r>
      <w:r>
        <w:rPr>
          <w:rFonts w:ascii="Arial" w:cs="Arial" w:eastAsia="Arial" w:hAnsi="Arial"/>
          <w:sz w:val="19"/>
          <w:szCs w:val="19"/>
          <w:color w:val="auto"/>
        </w:rPr>
        <w:t>[* * *]</w:t>
      </w:r>
      <w:r>
        <w:rPr>
          <w:rFonts w:ascii="Arial" w:cs="Arial" w:eastAsia="Arial" w:hAnsi="Arial"/>
          <w:sz w:val="22"/>
          <w:szCs w:val="22"/>
          <w:b w:val="1"/>
          <w:bCs w:val="1"/>
          <w:i w:val="1"/>
          <w:iCs w:val="1"/>
          <w:color w:val="auto"/>
        </w:rPr>
        <w:t>.</w:t>
      </w:r>
    </w:p>
    <w:p>
      <w:pPr>
        <w:spacing w:after="0" w:line="213"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6.0</w:t>
      </w:r>
      <w:r>
        <w:rPr>
          <w:sz w:val="20"/>
          <w:szCs w:val="20"/>
          <w:color w:val="auto"/>
        </w:rPr>
        <w:tab/>
      </w:r>
      <w:r>
        <w:rPr>
          <w:rFonts w:ascii="Arial" w:cs="Arial" w:eastAsia="Arial" w:hAnsi="Arial"/>
          <w:sz w:val="21"/>
          <w:szCs w:val="21"/>
          <w:b w:val="1"/>
          <w:bCs w:val="1"/>
          <w:i w:val="1"/>
          <w:iCs w:val="1"/>
          <w:color w:val="auto"/>
        </w:rPr>
        <w:t xml:space="preserve">SALE, </w:t>
      </w:r>
      <w:r>
        <w:rPr>
          <w:rFonts w:ascii="Arial" w:cs="Arial" w:eastAsia="Arial" w:hAnsi="Arial"/>
          <w:sz w:val="21"/>
          <w:szCs w:val="21"/>
          <w:b w:val="1"/>
          <w:bCs w:val="1"/>
          <w:color w:val="auto"/>
        </w:rPr>
        <w:t>STORAGE, AND SHIPPING PROVISIONS</w:t>
      </w:r>
    </w:p>
    <w:p>
      <w:pPr>
        <w:spacing w:after="0" w:line="25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Upon acceptance by the Agreements Officer Representative of any lot of antibodies under this contract, title to such antibodies will transfer as follows: upon delivery of drug product to vendor-managed inventory and the Government’s corresponding written acceptance of the delivery of each such lot of drug product. The Government shall accept product that conforms to contract requirements based on a Certificate of Analysis (COA) provided by Regeneron</w:t>
      </w:r>
      <w:r>
        <w:rPr>
          <w:rFonts w:ascii="Arial" w:cs="Arial" w:eastAsia="Arial" w:hAnsi="Arial"/>
          <w:sz w:val="19"/>
          <w:szCs w:val="19"/>
          <w:b w:val="1"/>
          <w:bCs w:val="1"/>
          <w:i w:val="1"/>
          <w:iCs w:val="1"/>
          <w:color w:val="auto"/>
        </w:rPr>
        <w:t>, and the parties shall perform their obligations</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 xml:space="preserve">relating to product delivery set forth in the applicable Quality Agreement for the product. </w:t>
      </w:r>
      <w:r>
        <w:rPr>
          <w:rFonts w:ascii="Arial" w:cs="Arial" w:eastAsia="Arial" w:hAnsi="Arial"/>
          <w:sz w:val="19"/>
          <w:szCs w:val="19"/>
          <w:color w:val="auto"/>
        </w:rPr>
        <w:t>The Government's acceptance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product will be </w:t>
      </w:r>
      <w:r>
        <w:rPr>
          <w:rFonts w:ascii="Arial" w:cs="Arial" w:eastAsia="Arial" w:hAnsi="Arial"/>
          <w:sz w:val="17"/>
          <w:szCs w:val="17"/>
          <w:color w:val="auto"/>
        </w:rPr>
        <w:t>[* * *]</w:t>
      </w:r>
      <w:r>
        <w:rPr>
          <w:rFonts w:ascii="Arial" w:cs="Arial" w:eastAsia="Arial" w:hAnsi="Arial"/>
          <w:sz w:val="19"/>
          <w:szCs w:val="19"/>
          <w:color w:val="auto"/>
        </w:rPr>
        <w:t xml:space="preserve"> provide written notice of acceptance or rejection </w:t>
      </w:r>
      <w:r>
        <w:rPr>
          <w:rFonts w:ascii="Arial" w:cs="Arial" w:eastAsia="Arial" w:hAnsi="Arial"/>
          <w:sz w:val="17"/>
          <w:szCs w:val="17"/>
          <w:color w:val="auto"/>
        </w:rPr>
        <w:t>[* * *]</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In the event of an EUA, Regeneron will transfer</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 xml:space="preserve">product from VMI to the Distributor for distribution directed by the Government; provided that, product shall not be provided to the Distributor until it is accepted by the Government. </w:t>
      </w:r>
      <w:r>
        <w:rPr>
          <w:rFonts w:ascii="Arial" w:cs="Arial" w:eastAsia="Arial" w:hAnsi="Arial"/>
          <w:sz w:val="19"/>
          <w:szCs w:val="19"/>
          <w:color w:val="auto"/>
        </w:rPr>
        <w:t>Unless otherwise mutually agreed upon by the parties, drug product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shall be shipped to the Government </w:t>
      </w:r>
      <w:r>
        <w:rPr>
          <w:rFonts w:ascii="Arial" w:cs="Arial" w:eastAsia="Arial" w:hAnsi="Arial"/>
          <w:sz w:val="19"/>
          <w:szCs w:val="19"/>
          <w:b w:val="1"/>
          <w:bCs w:val="1"/>
          <w:i w:val="1"/>
          <w:iCs w:val="1"/>
          <w:color w:val="auto"/>
        </w:rPr>
        <w:t>or distributed, as applicable,</w:t>
      </w:r>
      <w:r>
        <w:rPr>
          <w:rFonts w:ascii="Arial" w:cs="Arial" w:eastAsia="Arial" w:hAnsi="Arial"/>
          <w:sz w:val="19"/>
          <w:szCs w:val="19"/>
          <w:color w:val="auto"/>
        </w:rPr>
        <w:t xml:space="preserve"> within the continental United States. Regeneron will </w:t>
      </w:r>
      <w:r>
        <w:rPr>
          <w:rFonts w:ascii="Arial" w:cs="Arial" w:eastAsia="Arial" w:hAnsi="Arial"/>
          <w:sz w:val="17"/>
          <w:szCs w:val="17"/>
          <w:color w:val="auto"/>
        </w:rPr>
        <w:t>[* * *]</w:t>
      </w:r>
      <w:r>
        <w:rPr>
          <w:rFonts w:ascii="Arial" w:cs="Arial" w:eastAsia="Arial" w:hAnsi="Arial"/>
          <w:sz w:val="19"/>
          <w:szCs w:val="19"/>
          <w:color w:val="auto"/>
        </w:rPr>
        <w:t xml:space="preserve"> for all product stored as vendor-managed inventory</w:t>
      </w:r>
      <w:r>
        <w:rPr>
          <w:rFonts w:ascii="Arial" w:cs="Arial" w:eastAsia="Arial" w:hAnsi="Arial"/>
          <w:sz w:val="19"/>
          <w:szCs w:val="19"/>
          <w:b w:val="1"/>
          <w:bCs w:val="1"/>
          <w:i w:val="1"/>
          <w:iCs w:val="1"/>
          <w:color w:val="auto"/>
        </w:rPr>
        <w:t>, and while such product is in the possession of the Distributor and being</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 xml:space="preserve">distributed for the Government. With respect to product being distributed, </w:t>
      </w:r>
      <w:r>
        <w:rPr>
          <w:rFonts w:ascii="Arial" w:cs="Arial" w:eastAsia="Arial" w:hAnsi="Arial"/>
          <w:sz w:val="19"/>
          <w:szCs w:val="19"/>
          <w:b w:val="1"/>
          <w:bCs w:val="1"/>
          <w:color w:val="auto"/>
        </w:rPr>
        <w:t>[* * *]</w:t>
      </w:r>
      <w:r>
        <w:rPr>
          <w:rFonts w:ascii="Arial" w:cs="Arial" w:eastAsia="Arial" w:hAnsi="Arial"/>
          <w:sz w:val="19"/>
          <w:szCs w:val="19"/>
          <w:b w:val="1"/>
          <w:bCs w:val="1"/>
          <w:i w:val="1"/>
          <w:iCs w:val="1"/>
          <w:color w:val="auto"/>
        </w:rPr>
        <w:t xml:space="preserve"> to the Government upon delivery from the Distributor to the end-user (e.g., the hospital, infusion center or other end-user). </w:t>
      </w:r>
      <w:r>
        <w:rPr>
          <w:rFonts w:ascii="Arial" w:cs="Arial" w:eastAsia="Arial" w:hAnsi="Arial"/>
          <w:sz w:val="19"/>
          <w:szCs w:val="19"/>
          <w:color w:val="auto"/>
        </w:rPr>
        <w:t>To the extent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CONFIDENTIAL/PROPRIETARY</w:t>
      </w:r>
    </w:p>
    <w:p>
      <w:pPr>
        <w:sectPr>
          <w:pgSz w:w="11900" w:h="16838" w:orient="portrait"/>
          <w:cols w:equalWidth="0" w:num="1">
            <w:col w:w="11240"/>
          </w:cols>
          <w:pgMar w:left="320" w:top="861" w:right="339" w:bottom="1440" w:gutter="0" w:footer="0" w:header="0"/>
        </w:sectPr>
      </w:pPr>
    </w:p>
    <w:bookmarkStart w:id="249" w:name="page250"/>
    <w:bookmarkEnd w:id="249"/>
    <w:p>
      <w:pPr>
        <w:jc w:val="both"/>
        <w:spacing w:after="0" w:line="258" w:lineRule="auto"/>
        <w:rPr>
          <w:sz w:val="20"/>
          <w:szCs w:val="20"/>
          <w:color w:val="auto"/>
        </w:rPr>
      </w:pPr>
      <w:r>
        <w:rPr>
          <w:rFonts w:ascii="Arial" w:cs="Arial" w:eastAsia="Arial" w:hAnsi="Arial"/>
          <w:sz w:val="21"/>
          <w:szCs w:val="21"/>
          <w:color w:val="auto"/>
        </w:rPr>
        <w:t xml:space="preserve">that Regeneron is responsible for the correction, repair or replacement of Government property held in vendor-managed inventory </w:t>
      </w:r>
      <w:r>
        <w:rPr>
          <w:rFonts w:ascii="Arial" w:cs="Arial" w:eastAsia="Arial" w:hAnsi="Arial"/>
          <w:sz w:val="21"/>
          <w:szCs w:val="21"/>
          <w:b w:val="1"/>
          <w:bCs w:val="1"/>
          <w:i w:val="1"/>
          <w:iCs w:val="1"/>
          <w:color w:val="auto"/>
        </w:rPr>
        <w:t>or in distribution and in the possession of the Distributor,</w:t>
      </w:r>
      <w:r>
        <w:rPr>
          <w:rFonts w:ascii="Arial" w:cs="Arial" w:eastAsia="Arial" w:hAnsi="Arial"/>
          <w:sz w:val="21"/>
          <w:szCs w:val="21"/>
          <w:color w:val="auto"/>
        </w:rPr>
        <w:t xml:space="preserve"> [* * *], the Government will </w:t>
      </w:r>
      <w:r>
        <w:rPr>
          <w:rFonts w:ascii="Arial" w:cs="Arial" w:eastAsia="Arial" w:hAnsi="Arial"/>
          <w:sz w:val="18"/>
          <w:szCs w:val="18"/>
          <w:color w:val="auto"/>
        </w:rPr>
        <w:t>[* * *]</w:t>
      </w:r>
      <w:r>
        <w:rPr>
          <w:rFonts w:ascii="Arial" w:cs="Arial" w:eastAsia="Arial" w:hAnsi="Arial"/>
          <w:sz w:val="21"/>
          <w:szCs w:val="21"/>
          <w:color w:val="auto"/>
        </w:rPr>
        <w:t xml:space="preserve"> of such property. Vendor-managed storage of product manufactured under this agreement is supported through June 30, 2021 </w:t>
      </w:r>
      <w:r>
        <w:rPr>
          <w:rFonts w:ascii="Arial" w:cs="Arial" w:eastAsia="Arial" w:hAnsi="Arial"/>
          <w:sz w:val="21"/>
          <w:szCs w:val="21"/>
          <w:b w:val="1"/>
          <w:bCs w:val="1"/>
          <w:i w:val="1"/>
          <w:iCs w:val="1"/>
          <w:color w:val="auto"/>
        </w:rPr>
        <w:t>or, if an EUA is</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 xml:space="preserve">granted, for the 12-month period following an EUA. As such, if an EUA is not granted, </w:t>
      </w:r>
      <w:r>
        <w:rPr>
          <w:rFonts w:ascii="Arial" w:cs="Arial" w:eastAsia="Arial" w:hAnsi="Arial"/>
          <w:sz w:val="21"/>
          <w:szCs w:val="21"/>
          <w:color w:val="auto"/>
        </w:rPr>
        <w:t>the Government must either (a) take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possession on or before </w:t>
      </w:r>
      <w:r>
        <w:rPr>
          <w:rFonts w:ascii="Arial" w:cs="Arial" w:eastAsia="Arial" w:hAnsi="Arial"/>
          <w:sz w:val="21"/>
          <w:szCs w:val="21"/>
          <w:b w:val="1"/>
          <w:bCs w:val="1"/>
          <w:i w:val="1"/>
          <w:iCs w:val="1"/>
          <w:color w:val="auto"/>
        </w:rPr>
        <w:t>June 30, 2021</w:t>
      </w:r>
      <w:r>
        <w:rPr>
          <w:rFonts w:ascii="Arial" w:cs="Arial" w:eastAsia="Arial" w:hAnsi="Arial"/>
          <w:sz w:val="21"/>
          <w:szCs w:val="21"/>
          <w:color w:val="auto"/>
        </w:rPr>
        <w:t xml:space="preserve"> and provide Regeneron with disposition instructions in sufficient time to transfer physical material from Regeneron by this date, or (b) bilaterally modify this agreement to extend the period of vendor management of storage prior to this date. </w:t>
      </w:r>
      <w:r>
        <w:rPr>
          <w:rFonts w:ascii="Arial" w:cs="Arial" w:eastAsia="Arial" w:hAnsi="Arial"/>
          <w:sz w:val="21"/>
          <w:szCs w:val="21"/>
          <w:b w:val="1"/>
          <w:bCs w:val="1"/>
          <w:i w:val="1"/>
          <w:iCs w:val="1"/>
          <w:color w:val="auto"/>
        </w:rPr>
        <w:t>If an EUA is granted prior to June 30, 2021, then storage and distribution activities under the EUA</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shall be supported under this agreement for up to 12 months following the grant of an EUA, except that additional costs may apply (and the storage milestones shall be equitably adjusted) if storage of product as VMI is required following the end of June 30, 2021.</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The Government understands that prices identified in this contract include [* * *] applicable to material that will become Government property, including product stored as vendor-managed inventory </w:t>
      </w:r>
      <w:r>
        <w:rPr>
          <w:rFonts w:ascii="Arial" w:cs="Arial" w:eastAsia="Arial" w:hAnsi="Arial"/>
          <w:sz w:val="22"/>
          <w:szCs w:val="22"/>
          <w:b w:val="1"/>
          <w:bCs w:val="1"/>
          <w:i w:val="1"/>
          <w:iCs w:val="1"/>
          <w:color w:val="auto"/>
        </w:rPr>
        <w:t>or in the possession of the Distributor, and being</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distributed for the Government.</w:t>
      </w:r>
    </w:p>
    <w:p>
      <w:pPr>
        <w:spacing w:after="0" w:line="206"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auto"/>
        </w:rPr>
        <w:t>7.0</w:t>
      </w:r>
      <w:r>
        <w:rPr>
          <w:sz w:val="20"/>
          <w:szCs w:val="20"/>
          <w:color w:val="auto"/>
        </w:rPr>
        <w:tab/>
      </w:r>
      <w:r>
        <w:rPr>
          <w:rFonts w:ascii="Arial" w:cs="Arial" w:eastAsia="Arial" w:hAnsi="Arial"/>
          <w:sz w:val="21"/>
          <w:szCs w:val="21"/>
          <w:b w:val="1"/>
          <w:bCs w:val="1"/>
          <w:color w:val="auto"/>
        </w:rPr>
        <w:t>PATENT RIGHTS; DATA RIGHTS; PREP ACT AND TRANSPARENCY</w:t>
      </w:r>
    </w:p>
    <w:p>
      <w:pPr>
        <w:spacing w:after="0" w:line="25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Article X, (“PATENT RIGHTS”) and Article XI. (“DATA RIGHTS”) of Other Transaction Agreement number W15QKN-16-9-1002 shall not apply to this Project Agreement and are hereby replaced for the purpose of this Project Agreement, with this Section 7.0 (including Sections 7.1-7.4 and the Definitions Appendix). Definitions:</w:t>
      </w:r>
    </w:p>
    <w:p>
      <w:pPr>
        <w:spacing w:after="0" w:line="200" w:lineRule="exact"/>
        <w:rPr>
          <w:sz w:val="20"/>
          <w:szCs w:val="20"/>
          <w:color w:val="auto"/>
        </w:rPr>
      </w:pPr>
    </w:p>
    <w:p>
      <w:pPr>
        <w:spacing w:after="0" w:line="2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Capitalized terms used in this Section 7.0 (including Sections 7.1-7.4) shall have the meanings ascribed to such terms in the Definitions Appendix to this Project Agreement.</w:t>
      </w:r>
    </w:p>
    <w:p>
      <w:pPr>
        <w:spacing w:after="0" w:line="202"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For purposes of this Project Agreement, all rights of the Government in and to Data or Subject Inventions are granted solely to The United States of America, as represented by the Department of Health &amp; Human Services, Office of the Assistant Secretary for Preparedness &amp; Response (“ASPR”), Office of Biomedical Advanced Research and Development (“BARDA”) (represented by Office of Acquisition Management, Contracts and Grants (AMCG)) and to no other agency of the United States of America (including JPEO) or representative of any such other agency (including the CMF). The parties acknowledge that Regeneron is permitted to communicate solely with BARDA regarding the matters described in this Section 7.0 (including Sections 7.1-7.4) and is not obligated to communicate with any other Government agency or representative regarding such matters.</w:t>
      </w:r>
    </w:p>
    <w:p>
      <w:pPr>
        <w:spacing w:after="0" w:line="17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7.1</w:t>
      </w:r>
      <w:r>
        <w:rPr>
          <w:sz w:val="20"/>
          <w:szCs w:val="20"/>
          <w:color w:val="auto"/>
        </w:rPr>
        <w:tab/>
      </w:r>
      <w:r>
        <w:rPr>
          <w:rFonts w:ascii="Arial" w:cs="Arial" w:eastAsia="Arial" w:hAnsi="Arial"/>
          <w:sz w:val="21"/>
          <w:szCs w:val="21"/>
          <w:b w:val="1"/>
          <w:bCs w:val="1"/>
          <w:color w:val="auto"/>
        </w:rPr>
        <w:t>BACKGROUND INTELLECTUAL PROPERTY</w:t>
      </w:r>
    </w:p>
    <w:p>
      <w:pPr>
        <w:spacing w:after="0" w:line="25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Each party acknowledges that it has no rights to the other party’s inventions, discoveries, know-how, Data, technology or intellectual property generated, discovered, conceived or reduced to practice prior to or otherwise outside of this Statement of Work (also referred to herein as, this “Project Agreement” or this “Agreement”), and any improvements or modifications thereto, including, without limitation, the background intellectual property (and improvements/modifications) for the Government and Regeneron described below, as follows: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CONFIDENTIAL/PROPRIETARY</w:t>
      </w:r>
    </w:p>
    <w:p>
      <w:pPr>
        <w:sectPr>
          <w:pgSz w:w="11900" w:h="16838" w:orient="portrait"/>
          <w:cols w:equalWidth="0" w:num="1">
            <w:col w:w="11240"/>
          </w:cols>
          <w:pgMar w:left="320" w:top="861" w:right="339" w:bottom="1440" w:gutter="0" w:footer="0" w:header="0"/>
        </w:sectPr>
      </w:pPr>
    </w:p>
    <w:bookmarkStart w:id="250" w:name="page251"/>
    <w:bookmarkEnd w:id="250"/>
    <w:p>
      <w:pPr>
        <w:spacing w:after="0"/>
        <w:rPr>
          <w:sz w:val="20"/>
          <w:szCs w:val="20"/>
          <w:color w:val="auto"/>
        </w:rPr>
      </w:pPr>
      <w:r>
        <w:rPr>
          <w:rFonts w:ascii="Arial" w:cs="Arial" w:eastAsia="Arial" w:hAnsi="Arial"/>
          <w:sz w:val="22"/>
          <w:szCs w:val="22"/>
          <w:i w:val="1"/>
          <w:iCs w:val="1"/>
          <w:color w:val="auto"/>
        </w:rPr>
        <w:t>Government Background Intellectual Property</w:t>
      </w:r>
      <w:r>
        <w:rPr>
          <w:rFonts w:ascii="Arial" w:cs="Arial" w:eastAsia="Arial" w:hAnsi="Arial"/>
          <w:sz w:val="22"/>
          <w:szCs w:val="22"/>
          <w:color w:val="auto"/>
        </w:rPr>
        <w:t>. None.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Contractor Background Intellectual Property: </w:t>
      </w:r>
      <w:r>
        <w:rPr>
          <w:rFonts w:ascii="Arial" w:cs="Arial" w:eastAsia="Arial" w:hAnsi="Arial"/>
          <w:sz w:val="22"/>
          <w:szCs w:val="22"/>
          <w:color w:val="auto"/>
        </w:rPr>
        <w:t>Includes, but is not limited to, [* * *]:</w:t>
      </w:r>
    </w:p>
    <w:p>
      <w:pPr>
        <w:spacing w:after="0" w:line="247" w:lineRule="exact"/>
        <w:rPr>
          <w:sz w:val="20"/>
          <w:szCs w:val="20"/>
          <w:color w:val="auto"/>
        </w:rPr>
      </w:pPr>
    </w:p>
    <w:p>
      <w:pPr>
        <w:ind w:right="1040"/>
        <w:spacing w:after="0" w:line="345" w:lineRule="auto"/>
        <w:rPr>
          <w:sz w:val="20"/>
          <w:szCs w:val="20"/>
          <w:color w:val="auto"/>
        </w:rPr>
      </w:pPr>
      <w:r>
        <w:rPr>
          <w:rFonts w:ascii="Arial" w:cs="Arial" w:eastAsia="Arial" w:hAnsi="Arial"/>
          <w:sz w:val="22"/>
          <w:szCs w:val="22"/>
          <w:color w:val="auto"/>
        </w:rPr>
        <w:t>63/004,312, filed April 2, 2020 “Anti-SARS-CoV-2-Spike Glycoprotein Antibodies and Antigen-Binding Fragments” [***]</w:t>
      </w:r>
    </w:p>
    <w:p>
      <w:pPr>
        <w:spacing w:after="0" w:line="2" w:lineRule="exact"/>
        <w:rPr>
          <w:sz w:val="20"/>
          <w:szCs w:val="20"/>
          <w:color w:val="auto"/>
        </w:rPr>
      </w:pPr>
    </w:p>
    <w:p>
      <w:pPr>
        <w:ind w:right="940"/>
        <w:spacing w:after="0" w:line="345" w:lineRule="auto"/>
        <w:rPr>
          <w:sz w:val="20"/>
          <w:szCs w:val="20"/>
          <w:color w:val="auto"/>
        </w:rPr>
      </w:pPr>
      <w:r>
        <w:rPr>
          <w:rFonts w:ascii="Arial" w:cs="Arial" w:eastAsia="Arial" w:hAnsi="Arial"/>
          <w:sz w:val="22"/>
          <w:szCs w:val="22"/>
          <w:color w:val="auto"/>
        </w:rPr>
        <w:t>63/014,687, filed April 23, 2020 “Anti-SARS-CoV-2-Spike Glycoprotein Antibodies and Antigen-Binding Fragments” [***]</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63/025,949, filed May 15, 2020 “Anti-SARS-CoV-2-Spike Glycoprotein Antibodies and Antigen-Binding Fragments”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63/034,865, filed June 4, 2020 “Anti-SARS-CoV-2-Spike Glycoprotein Antibodies and Antigen-Binding Fragments”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No party relinquishes rights in any of its background intellectual property to any other party under this contract.</w:t>
      </w:r>
    </w:p>
    <w:p>
      <w:pPr>
        <w:spacing w:after="0" w:line="247"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Either Party may update its disclosure of background intellectual property under this Section 7.1 upon written notice to the other Party.</w:t>
      </w:r>
    </w:p>
    <w:p>
      <w:pPr>
        <w:spacing w:after="0" w:line="196"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auto"/>
        </w:rPr>
        <w:t>7.2</w:t>
      </w:r>
      <w:r>
        <w:rPr>
          <w:sz w:val="20"/>
          <w:szCs w:val="20"/>
          <w:color w:val="auto"/>
        </w:rPr>
        <w:tab/>
      </w:r>
      <w:r>
        <w:rPr>
          <w:rFonts w:ascii="Arial" w:cs="Arial" w:eastAsia="Arial" w:hAnsi="Arial"/>
          <w:sz w:val="21"/>
          <w:szCs w:val="21"/>
          <w:b w:val="1"/>
          <w:bCs w:val="1"/>
          <w:color w:val="auto"/>
        </w:rPr>
        <w:t>PATENT RIGHTS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  Allocation of Principal Rights</w:t>
      </w:r>
    </w:p>
    <w:p>
      <w:pPr>
        <w:spacing w:after="0" w:line="11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The parties agree that the Bayh-Dole statute does not apply to this Project Agreement. Ownership of inventions Made in the performance of this Project Agreement shall follow inventorship, and inventorship shall be determined in accordance with United States patent laws. With respect to any Subject Invention Made (in whole or in part) by or on behalf of Regeneron, unless Regeneron shall have notified the Government (in accordance with Subparagraph b. below) that Regeneron does not intend to properly disclose and elect title to a Subject Invention, Regeneron shall retain the entire right, title, and interest throughout the world to such Subject Invention, and the Government shall have a nonexclusive, nontransferable, irrevocable, paid-up license to practice or have practiced on behalf of the United States the Subject Invention</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CONFIDENTIAL/PROPRIETARY</w:t>
      </w:r>
    </w:p>
    <w:p>
      <w:pPr>
        <w:sectPr>
          <w:pgSz w:w="11900" w:h="16838" w:orient="portrait"/>
          <w:cols w:equalWidth="0" w:num="1">
            <w:col w:w="11240"/>
          </w:cols>
          <w:pgMar w:left="320" w:top="861" w:right="339" w:bottom="1440" w:gutter="0" w:footer="0" w:header="0"/>
        </w:sectPr>
      </w:pPr>
    </w:p>
    <w:bookmarkStart w:id="251" w:name="page252"/>
    <w:bookmarkEnd w:id="251"/>
    <w:p>
      <w:pPr>
        <w:jc w:val="both"/>
        <w:spacing w:after="0" w:line="250" w:lineRule="auto"/>
        <w:rPr>
          <w:sz w:val="20"/>
          <w:szCs w:val="20"/>
          <w:color w:val="auto"/>
        </w:rPr>
      </w:pPr>
      <w:r>
        <w:rPr>
          <w:rFonts w:ascii="Arial" w:cs="Arial" w:eastAsia="Arial" w:hAnsi="Arial"/>
          <w:sz w:val="22"/>
          <w:szCs w:val="22"/>
          <w:color w:val="auto"/>
        </w:rPr>
        <w:t>throughout the world. This license does not include the right to use or allow others to use the Subject Invention for commercial purposes. If Regeneron does not properly disclose and elect title to any such Subject Invention (in accordance with Subparagraph b. below), then the Government may exercise its rights to seek ownership of such Subject Invention, pursuant to clause 7.2.c. below.</w:t>
      </w:r>
    </w:p>
    <w:p>
      <w:pPr>
        <w:spacing w:after="0" w:line="209" w:lineRule="exact"/>
        <w:rPr>
          <w:sz w:val="20"/>
          <w:szCs w:val="20"/>
          <w:color w:val="auto"/>
        </w:rPr>
      </w:pPr>
    </w:p>
    <w:p>
      <w:pPr>
        <w:ind w:left="980" w:hanging="324"/>
        <w:spacing w:after="0"/>
        <w:tabs>
          <w:tab w:leader="none" w:pos="980" w:val="left"/>
        </w:tabs>
        <w:numPr>
          <w:ilvl w:val="0"/>
          <w:numId w:val="198"/>
        </w:numPr>
        <w:rPr>
          <w:rFonts w:ascii="Arial" w:cs="Arial" w:eastAsia="Arial" w:hAnsi="Arial"/>
          <w:sz w:val="22"/>
          <w:szCs w:val="22"/>
          <w:b w:val="1"/>
          <w:bCs w:val="1"/>
          <w:color w:val="auto"/>
        </w:rPr>
      </w:pPr>
      <w:r>
        <w:rPr>
          <w:rFonts w:ascii="Arial" w:cs="Arial" w:eastAsia="Arial" w:hAnsi="Arial"/>
          <w:sz w:val="22"/>
          <w:szCs w:val="22"/>
          <w:b w:val="1"/>
          <w:bCs w:val="1"/>
          <w:color w:val="auto"/>
        </w:rPr>
        <w:t>Invention Disclosure, Election of Title, and Filing of Patent Application</w:t>
      </w:r>
    </w:p>
    <w:p>
      <w:pPr>
        <w:spacing w:after="0" w:line="117" w:lineRule="exact"/>
        <w:rPr>
          <w:rFonts w:ascii="Arial" w:cs="Arial" w:eastAsia="Arial" w:hAnsi="Arial"/>
          <w:sz w:val="22"/>
          <w:szCs w:val="22"/>
          <w:b w:val="1"/>
          <w:bCs w:val="1"/>
          <w:color w:val="auto"/>
        </w:rPr>
      </w:pPr>
    </w:p>
    <w:p>
      <w:pPr>
        <w:jc w:val="both"/>
        <w:ind w:left="1640" w:hanging="168"/>
        <w:spacing w:after="0" w:line="289" w:lineRule="auto"/>
        <w:tabs>
          <w:tab w:leader="none" w:pos="1640" w:val="left"/>
        </w:tabs>
        <w:numPr>
          <w:ilvl w:val="1"/>
          <w:numId w:val="198"/>
        </w:numPr>
        <w:rPr>
          <w:rFonts w:ascii="Arial" w:cs="Arial" w:eastAsia="Arial" w:hAnsi="Arial"/>
          <w:sz w:val="19"/>
          <w:szCs w:val="19"/>
          <w:color w:val="auto"/>
        </w:rPr>
      </w:pPr>
      <w:r>
        <w:rPr>
          <w:rFonts w:ascii="Arial" w:cs="Arial" w:eastAsia="Arial" w:hAnsi="Arial"/>
          <w:sz w:val="19"/>
          <w:szCs w:val="19"/>
          <w:color w:val="auto"/>
        </w:rPr>
        <w:t>Regeneron shall disclose in writing each Subject Invention to the OTTR within 12 months after the inventor discloses it in writing to Regeneron personnel responsible for patent matters. The disclosure shall identify the inventor(s) and this Project Agreement under which the Subject Invention was made. It shall be sufficiently complete in technical detail to convey a clear understanding of the Subject Invention. The disclosure shall also identify any publication, on sale (i.e., sale or offer for sale), or public use of the Subject Invention, or whether a manuscript describing the Subject Invention has been submitted for publication and, if so, whether it has been accepted for publication. In addition, after disclosure to the Government funding agency (HHS/BARDA), Regeneron shall promptly notify the OTTR of the acceptance of any manuscript describing the Subject Invention for publication and any on sale or public use.</w:t>
      </w:r>
    </w:p>
    <w:p>
      <w:pPr>
        <w:spacing w:after="0" w:line="49" w:lineRule="exact"/>
        <w:rPr>
          <w:sz w:val="20"/>
          <w:szCs w:val="20"/>
          <w:color w:val="auto"/>
        </w:rPr>
      </w:pPr>
    </w:p>
    <w:p>
      <w:pPr>
        <w:jc w:val="both"/>
        <w:ind w:left="1640" w:hanging="167"/>
        <w:spacing w:after="0" w:line="263" w:lineRule="auto"/>
        <w:rPr>
          <w:sz w:val="20"/>
          <w:szCs w:val="20"/>
          <w:color w:val="auto"/>
        </w:rPr>
      </w:pPr>
      <w:r>
        <w:rPr>
          <w:rFonts w:ascii="Arial" w:cs="Arial" w:eastAsia="Arial" w:hAnsi="Arial"/>
          <w:sz w:val="20"/>
          <w:szCs w:val="20"/>
          <w:color w:val="auto"/>
        </w:rPr>
        <w:t>ii.</w:t>
      </w:r>
      <w:r>
        <w:rPr>
          <w:rFonts w:ascii="Arial" w:cs="Arial" w:eastAsia="Arial" w:hAnsi="Arial"/>
          <w:sz w:val="21"/>
          <w:szCs w:val="21"/>
          <w:color w:val="auto"/>
        </w:rPr>
        <w:t>Regeneron shall elect in writing whether or not to retain ownership of any Subject Invention by notifying the</w:t>
      </w:r>
      <w:r>
        <w:rPr>
          <w:rFonts w:ascii="Arial" w:cs="Arial" w:eastAsia="Arial" w:hAnsi="Arial"/>
          <w:sz w:val="20"/>
          <w:szCs w:val="20"/>
          <w:color w:val="auto"/>
        </w:rPr>
        <w:t xml:space="preserve"> </w:t>
      </w:r>
      <w:r>
        <w:rPr>
          <w:rFonts w:ascii="Arial" w:cs="Arial" w:eastAsia="Arial" w:hAnsi="Arial"/>
          <w:sz w:val="21"/>
          <w:szCs w:val="21"/>
          <w:color w:val="auto"/>
        </w:rPr>
        <w:t>OTTR within 2 years of disclosure to the Government funding agency. However, in any case where publication, on sale, or public use has initiated the 1-year statutory period during which valid patent protection can be obtained in the United States, the period for election of title may be shortened by the agency to a date that is no more than 60 calendar days prior to the end of the statutory period.</w:t>
      </w:r>
    </w:p>
    <w:p>
      <w:pPr>
        <w:spacing w:after="0" w:line="202" w:lineRule="exact"/>
        <w:rPr>
          <w:sz w:val="20"/>
          <w:szCs w:val="20"/>
          <w:color w:val="auto"/>
        </w:rPr>
      </w:pPr>
    </w:p>
    <w:p>
      <w:pPr>
        <w:jc w:val="both"/>
        <w:ind w:left="1620" w:hanging="242"/>
        <w:spacing w:after="0" w:line="292" w:lineRule="auto"/>
        <w:rPr>
          <w:sz w:val="20"/>
          <w:szCs w:val="20"/>
          <w:color w:val="auto"/>
        </w:rPr>
      </w:pPr>
      <w:r>
        <w:rPr>
          <w:rFonts w:ascii="Arial" w:cs="Arial" w:eastAsia="Arial" w:hAnsi="Arial"/>
          <w:sz w:val="19"/>
          <w:szCs w:val="19"/>
          <w:color w:val="auto"/>
        </w:rPr>
        <w:t>iii.Regeneron shall file either a provisional or a non-provisional patent application for an elected Subject Invention within 1 year after election of title. However, in any case where a publication, on sale, or public use has initiated the 1-year statutory period during which valid patent protection can be obtained in the United States, Regeneron shall file the application prior to the end of that statutory period. If Regeneron files an initial provisional application, it shall file a non-provisional application within 10 months of the filing of the initial provisional application. Regeneron shall include a Government Support Clause (GSC) within the specification of any United States patent applications and any patent issuing thereon covering a subject invention.</w:t>
      </w:r>
    </w:p>
    <w:p>
      <w:pPr>
        <w:spacing w:after="0" w:line="178" w:lineRule="exact"/>
        <w:rPr>
          <w:sz w:val="20"/>
          <w:szCs w:val="20"/>
          <w:color w:val="auto"/>
        </w:rPr>
      </w:pPr>
    </w:p>
    <w:p>
      <w:pPr>
        <w:jc w:val="both"/>
        <w:ind w:left="1620" w:hanging="316"/>
        <w:spacing w:after="0" w:line="249" w:lineRule="auto"/>
        <w:tabs>
          <w:tab w:leader="none" w:pos="1570" w:val="left"/>
        </w:tabs>
        <w:numPr>
          <w:ilvl w:val="0"/>
          <w:numId w:val="199"/>
        </w:numPr>
        <w:rPr>
          <w:rFonts w:ascii="Arial" w:cs="Arial" w:eastAsia="Arial" w:hAnsi="Arial"/>
          <w:sz w:val="22"/>
          <w:szCs w:val="22"/>
          <w:color w:val="auto"/>
        </w:rPr>
      </w:pPr>
      <w:r>
        <w:rPr>
          <w:rFonts w:ascii="Arial" w:cs="Arial" w:eastAsia="Arial" w:hAnsi="Arial"/>
          <w:sz w:val="22"/>
          <w:szCs w:val="22"/>
          <w:color w:val="auto"/>
        </w:rPr>
        <w:t>Regeneron may request extensions of time for disclosure, election, or filing under subparagraphs (b)(i), (b)(ii) and (b)(iii) of this clause. An extension of time for each deadline, may be granted at the discretion of the Government funding agency.</w:t>
      </w:r>
    </w:p>
    <w:p>
      <w:pPr>
        <w:jc w:val="both"/>
        <w:ind w:left="1620" w:hanging="235"/>
        <w:spacing w:after="0" w:line="245" w:lineRule="auto"/>
        <w:tabs>
          <w:tab w:leader="none" w:pos="1583" w:val="left"/>
        </w:tabs>
        <w:numPr>
          <w:ilvl w:val="1"/>
          <w:numId w:val="199"/>
        </w:numPr>
        <w:rPr>
          <w:rFonts w:ascii="Arial" w:cs="Arial" w:eastAsia="Arial" w:hAnsi="Arial"/>
          <w:sz w:val="22"/>
          <w:szCs w:val="22"/>
          <w:color w:val="auto"/>
        </w:rPr>
      </w:pPr>
      <w:r>
        <w:rPr>
          <w:rFonts w:ascii="Arial" w:cs="Arial" w:eastAsia="Arial" w:hAnsi="Arial"/>
          <w:sz w:val="22"/>
          <w:szCs w:val="22"/>
          <w:color w:val="auto"/>
        </w:rPr>
        <w:t>If Regeneron determines that it does not intend to elect to retain title to any such Subject Invention, Regeneron shall notify the Government, in writing, within two (2) years of disclosure to the Government. However, in any case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CONFIDENTIAL/PROPRIETARY</w:t>
      </w:r>
    </w:p>
    <w:p>
      <w:pPr>
        <w:sectPr>
          <w:pgSz w:w="11900" w:h="16838" w:orient="portrait"/>
          <w:cols w:equalWidth="0" w:num="1">
            <w:col w:w="11240"/>
          </w:cols>
          <w:pgMar w:left="320" w:top="861" w:right="339" w:bottom="1440" w:gutter="0" w:footer="0" w:header="0"/>
        </w:sectPr>
      </w:pPr>
    </w:p>
    <w:bookmarkStart w:id="252" w:name="page253"/>
    <w:bookmarkEnd w:id="252"/>
    <w:p>
      <w:pPr>
        <w:jc w:val="both"/>
        <w:ind w:left="1620"/>
        <w:spacing w:after="0" w:line="312" w:lineRule="auto"/>
        <w:rPr>
          <w:sz w:val="20"/>
          <w:szCs w:val="20"/>
          <w:color w:val="auto"/>
        </w:rPr>
      </w:pPr>
      <w:r>
        <w:rPr>
          <w:rFonts w:ascii="Arial" w:cs="Arial" w:eastAsia="Arial" w:hAnsi="Arial"/>
          <w:sz w:val="19"/>
          <w:szCs w:val="19"/>
          <w:color w:val="auto"/>
        </w:rPr>
        <w:t>where publication, sale, or public use has initiated the one (1)-year statutory period wherein valid patent protection can still be obtained in the United States, the period for such notice may be shortened by the Government to a date that is no more than sixty (60) calendar days prior to the end of the statutory period.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c.  Conditions When the Government May Obtain Title</w:t>
      </w:r>
    </w:p>
    <w:p>
      <w:pPr>
        <w:spacing w:after="0" w:line="11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Upon the Government’s written request, Regeneron shall convey title to any Subject Invention to the Government funding agency if Regeneron fails to disclose the Subject Invention or elects not to retain title to the Subject Invention within the times specified in Subparagraph b of Section 7.2. The Government may request title after learning of the failure of Regeneron to disclose or elect within the specified times for an unlimited time. The Government funding agency may request title upon Regeneron’s omission to timely file patent applications in any country. The Government funding agency may request title in any country in which Regeneron decides to discontinue prosecution.</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d.  Rights to Regeneron and Protection of Regeneron’s Right to File</w:t>
      </w:r>
    </w:p>
    <w:p>
      <w:pPr>
        <w:spacing w:after="0" w:line="1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Regeneron shall retain a fully paid up, sub-licensable, nonexclusive, royalty-free license throughout the world in each Subject Invention to which the Government obtains title. Regeneron license extends to Regeneron’s subsidiaries and other affiliates (outside this Agreement), if any, within the corporate structure of which Regeneron is a party and includes the right to grant licenses of the same scope to the extent that Regeneron was legally obligated or permitted to do so at the time the Project Agreement was executed. The license is otherwise transferable only with the approval of the Government, except when transferred to an Affiliate or successor of that part of Regeneron’s business to which the Subject Invention pertains. The Government approval for license transfer shall be provided on a timely basis (and in no event later than 90 calendar days following Regeneron’s request) and shall not be unreasonably withheld.</w:t>
      </w:r>
    </w:p>
    <w:p>
      <w:pPr>
        <w:spacing w:after="0" w:line="75" w:lineRule="exact"/>
        <w:rPr>
          <w:sz w:val="20"/>
          <w:szCs w:val="20"/>
          <w:color w:val="auto"/>
        </w:rPr>
      </w:pPr>
    </w:p>
    <w:p>
      <w:pPr>
        <w:jc w:val="both"/>
        <w:ind w:left="1640" w:hanging="167"/>
        <w:spacing w:after="0" w:line="247" w:lineRule="auto"/>
        <w:rPr>
          <w:sz w:val="20"/>
          <w:szCs w:val="20"/>
          <w:color w:val="auto"/>
        </w:rPr>
      </w:pPr>
      <w:r>
        <w:rPr>
          <w:rFonts w:ascii="Arial" w:cs="Arial" w:eastAsia="Arial" w:hAnsi="Arial"/>
          <w:sz w:val="22"/>
          <w:szCs w:val="22"/>
          <w:color w:val="auto"/>
        </w:rPr>
        <w:t>i. The Regeneron license may be revoked or modified by the Government to the extent necessary to achieve expeditious Practical Application of the Subject Invention pursuant to an application for an exclusive or nonexclusive license submitted consistent with appropriate provisions at 37 CFR Part 404. Regeneron’s license shall not be revoked in that field of use or the geographical areas in which Regeneron has achieved Practical Application of the Subject Invention and continues to make the benefits of the Subject Invention accessible to the public.</w:t>
      </w:r>
    </w:p>
    <w:p>
      <w:pPr>
        <w:spacing w:after="0" w:line="85" w:lineRule="exact"/>
        <w:rPr>
          <w:sz w:val="20"/>
          <w:szCs w:val="20"/>
          <w:color w:val="auto"/>
        </w:rPr>
      </w:pPr>
    </w:p>
    <w:p>
      <w:pPr>
        <w:jc w:val="both"/>
        <w:ind w:left="1620" w:hanging="154"/>
        <w:spacing w:after="0" w:line="248" w:lineRule="auto"/>
        <w:tabs>
          <w:tab w:leader="none" w:pos="1943" w:val="left"/>
        </w:tabs>
        <w:numPr>
          <w:ilvl w:val="1"/>
          <w:numId w:val="200"/>
        </w:numPr>
        <w:rPr>
          <w:rFonts w:ascii="Arial" w:cs="Arial" w:eastAsia="Arial" w:hAnsi="Arial"/>
          <w:sz w:val="22"/>
          <w:szCs w:val="22"/>
          <w:color w:val="auto"/>
        </w:rPr>
      </w:pPr>
      <w:r>
        <w:rPr>
          <w:rFonts w:ascii="Arial" w:cs="Arial" w:eastAsia="Arial" w:hAnsi="Arial"/>
          <w:sz w:val="22"/>
          <w:szCs w:val="22"/>
          <w:color w:val="auto"/>
        </w:rPr>
        <w:t>Before revocation or modification of Regeneron’s license, the Government shall furnish Regeneron with a written notice of its intention to revoke or modify the license, which notice shall include a detailed explanation of the reasons for such revocation or modification, and Regeneron shall be allowed thirty (30) calendar days (or such other time as may be authorized for good cause shown) after the notice to show cause why the license should not be revoked or modified.</w:t>
      </w:r>
    </w:p>
    <w:p>
      <w:pPr>
        <w:spacing w:after="0" w:line="212" w:lineRule="exact"/>
        <w:rPr>
          <w:rFonts w:ascii="Arial" w:cs="Arial" w:eastAsia="Arial" w:hAnsi="Arial"/>
          <w:sz w:val="22"/>
          <w:szCs w:val="22"/>
          <w:color w:val="auto"/>
        </w:rPr>
      </w:pPr>
    </w:p>
    <w:p>
      <w:pPr>
        <w:ind w:left="960" w:hanging="304"/>
        <w:spacing w:after="0"/>
        <w:tabs>
          <w:tab w:leader="none" w:pos="960" w:val="left"/>
        </w:tabs>
        <w:numPr>
          <w:ilvl w:val="0"/>
          <w:numId w:val="201"/>
        </w:numPr>
        <w:rPr>
          <w:rFonts w:ascii="Arial" w:cs="Arial" w:eastAsia="Arial" w:hAnsi="Arial"/>
          <w:sz w:val="22"/>
          <w:szCs w:val="22"/>
          <w:b w:val="1"/>
          <w:bCs w:val="1"/>
          <w:color w:val="auto"/>
        </w:rPr>
      </w:pPr>
      <w:r>
        <w:rPr>
          <w:rFonts w:ascii="Arial" w:cs="Arial" w:eastAsia="Arial" w:hAnsi="Arial"/>
          <w:sz w:val="22"/>
          <w:szCs w:val="22"/>
          <w:b w:val="1"/>
          <w:bCs w:val="1"/>
          <w:color w:val="auto"/>
        </w:rPr>
        <w:t>Action to Protect the Government’s Interest</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Regeneron agrees to execute or to have executed and promptly deliver to the Government all instruments necessary to</w:t>
      </w:r>
    </w:p>
    <w:p>
      <w:pPr>
        <w:spacing w:after="0" w:line="56" w:lineRule="exact"/>
        <w:rPr>
          <w:sz w:val="20"/>
          <w:szCs w:val="20"/>
          <w:color w:val="auto"/>
        </w:rPr>
      </w:pPr>
    </w:p>
    <w:p>
      <w:pPr>
        <w:ind w:left="260" w:hanging="252"/>
        <w:spacing w:after="0"/>
        <w:tabs>
          <w:tab w:leader="none" w:pos="260" w:val="left"/>
        </w:tabs>
        <w:numPr>
          <w:ilvl w:val="0"/>
          <w:numId w:val="202"/>
        </w:numPr>
        <w:rPr>
          <w:rFonts w:ascii="Arial" w:cs="Arial" w:eastAsia="Arial" w:hAnsi="Arial"/>
          <w:sz w:val="22"/>
          <w:szCs w:val="22"/>
          <w:color w:val="auto"/>
        </w:rPr>
      </w:pPr>
      <w:r>
        <w:rPr>
          <w:rFonts w:ascii="Arial" w:cs="Arial" w:eastAsia="Arial" w:hAnsi="Arial"/>
          <w:sz w:val="22"/>
          <w:szCs w:val="22"/>
          <w:color w:val="auto"/>
        </w:rPr>
        <w:t>establish or confirm the rights the Government has throughout the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65" w:lineRule="exact"/>
        <w:rPr>
          <w:rFonts w:ascii="Arial" w:cs="Arial" w:eastAsia="Arial" w:hAnsi="Arial"/>
          <w:sz w:val="22"/>
          <w:szCs w:val="22"/>
          <w:color w:val="auto"/>
        </w:rPr>
      </w:pPr>
    </w:p>
    <w:p>
      <w:pPr>
        <w:ind w:left="4200"/>
        <w:spacing w:after="0"/>
        <w:rPr>
          <w:rFonts w:ascii="Arial" w:cs="Arial" w:eastAsia="Arial" w:hAnsi="Arial"/>
          <w:sz w:val="22"/>
          <w:szCs w:val="22"/>
          <w:color w:val="auto"/>
        </w:rPr>
      </w:pPr>
      <w:r>
        <w:rPr>
          <w:rFonts w:ascii="Arial" w:cs="Arial" w:eastAsia="Arial" w:hAnsi="Arial"/>
          <w:sz w:val="20"/>
          <w:szCs w:val="20"/>
          <w:color w:val="auto"/>
        </w:rPr>
        <w:t>CONFIDENTIAL/PROPRIETARY</w:t>
      </w:r>
    </w:p>
    <w:p>
      <w:pPr>
        <w:sectPr>
          <w:pgSz w:w="11900" w:h="16838" w:orient="portrait"/>
          <w:cols w:equalWidth="0" w:num="1">
            <w:col w:w="11240"/>
          </w:cols>
          <w:pgMar w:left="320" w:top="861" w:right="339" w:bottom="1440" w:gutter="0" w:footer="0" w:header="0"/>
        </w:sectPr>
      </w:pPr>
    </w:p>
    <w:bookmarkStart w:id="253" w:name="page254"/>
    <w:bookmarkEnd w:id="253"/>
    <w:p>
      <w:pPr>
        <w:jc w:val="both"/>
        <w:spacing w:after="0" w:line="253" w:lineRule="auto"/>
        <w:rPr>
          <w:sz w:val="20"/>
          <w:szCs w:val="20"/>
          <w:color w:val="auto"/>
        </w:rPr>
      </w:pPr>
      <w:r>
        <w:rPr>
          <w:rFonts w:ascii="Arial" w:cs="Arial" w:eastAsia="Arial" w:hAnsi="Arial"/>
          <w:sz w:val="22"/>
          <w:szCs w:val="22"/>
          <w:color w:val="auto"/>
        </w:rPr>
        <w:t>world in those Subject Inventions to which Regeneron elects to retain title, and (ii) convey title to the Government when requested under Subparagraph c of this Section 7.2 and to enable the Government to obtain patent protection throughout the world in that Subject Invention.</w:t>
      </w:r>
    </w:p>
    <w:p>
      <w:pPr>
        <w:spacing w:after="0" w:line="77" w:lineRule="exact"/>
        <w:rPr>
          <w:sz w:val="20"/>
          <w:szCs w:val="20"/>
          <w:color w:val="auto"/>
        </w:rPr>
      </w:pPr>
    </w:p>
    <w:p>
      <w:pPr>
        <w:jc w:val="both"/>
        <w:ind w:left="1640" w:hanging="167"/>
        <w:spacing w:after="0" w:line="246" w:lineRule="auto"/>
        <w:rPr>
          <w:sz w:val="20"/>
          <w:szCs w:val="20"/>
          <w:color w:val="auto"/>
        </w:rPr>
      </w:pPr>
      <w:r>
        <w:rPr>
          <w:rFonts w:ascii="Arial" w:cs="Arial" w:eastAsia="Arial" w:hAnsi="Arial"/>
          <w:sz w:val="22"/>
          <w:szCs w:val="22"/>
          <w:color w:val="auto"/>
        </w:rPr>
        <w:t>i. Regeneron agrees to require, by written agreement, its employees, other than clerical and non-technical employees, to disclose promptly in writing to personnel identified as responsible for the administration of patent matters and in a format suggested by Regeneron, each Subject Invention made under this Agreement so Regeneron can comply with the disclosure provisions of this Section 7.2. Regeneron shall use reasonable efforts to instruct employees, through employee agreements or other suitable educational programs, on the importance of reporting inventions in sufficient time to permit the filing of patent applications prior to U.S. or foreign statutory bars.</w:t>
      </w:r>
    </w:p>
    <w:p>
      <w:pPr>
        <w:spacing w:after="0" w:line="88" w:lineRule="exact"/>
        <w:rPr>
          <w:sz w:val="20"/>
          <w:szCs w:val="20"/>
          <w:color w:val="auto"/>
        </w:rPr>
      </w:pPr>
    </w:p>
    <w:p>
      <w:pPr>
        <w:jc w:val="both"/>
        <w:ind w:left="1620" w:hanging="154"/>
        <w:spacing w:after="0" w:line="250" w:lineRule="auto"/>
        <w:tabs>
          <w:tab w:leader="none" w:pos="1943" w:val="left"/>
        </w:tabs>
        <w:numPr>
          <w:ilvl w:val="0"/>
          <w:numId w:val="203"/>
        </w:numPr>
        <w:rPr>
          <w:rFonts w:ascii="Arial" w:cs="Arial" w:eastAsia="Arial" w:hAnsi="Arial"/>
          <w:sz w:val="22"/>
          <w:szCs w:val="22"/>
          <w:color w:val="auto"/>
        </w:rPr>
      </w:pPr>
      <w:r>
        <w:rPr>
          <w:rFonts w:ascii="Arial" w:cs="Arial" w:eastAsia="Arial" w:hAnsi="Arial"/>
          <w:sz w:val="22"/>
          <w:szCs w:val="22"/>
          <w:color w:val="auto"/>
        </w:rPr>
        <w:t>Regeneron shall notify the Government of any decisions not to continue the prosecution of a patent application for a Subject Invention, pay maintenance fees, or defend in a reexamination or opposition proceedings on a patent of a Subject Invention, in any country, not less than thirty (30) calendar days before the expiration of the response period required by the relevant patent office.</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Regeneron shall include, within the specification of any United States patent application and any patent issuing thereon covering a Subject Invention, the following statement: “This invention was made with Government support under Agreement </w:t>
      </w:r>
      <w:r>
        <w:rPr>
          <w:rFonts w:ascii="Arial" w:cs="Arial" w:eastAsia="Arial" w:hAnsi="Arial"/>
          <w:sz w:val="22"/>
          <w:szCs w:val="22"/>
          <w:b w:val="1"/>
          <w:bCs w:val="1"/>
          <w:color w:val="auto"/>
        </w:rPr>
        <w:t>MCDC2020-504</w:t>
      </w:r>
      <w:r>
        <w:rPr>
          <w:rFonts w:ascii="Arial" w:cs="Arial" w:eastAsia="Arial" w:hAnsi="Arial"/>
          <w:sz w:val="22"/>
          <w:szCs w:val="22"/>
          <w:color w:val="auto"/>
        </w:rPr>
        <w:t>, awarded by the U.S. Department of Health and Human Services. The Government has certain rights in the</w:t>
      </w:r>
      <w:r>
        <w:rPr>
          <w:rFonts w:ascii="Arial" w:cs="Arial" w:eastAsia="Arial" w:hAnsi="Arial"/>
          <w:sz w:val="22"/>
          <w:szCs w:val="22"/>
          <w:b w:val="1"/>
          <w:bCs w:val="1"/>
          <w:color w:val="auto"/>
        </w:rPr>
        <w:t xml:space="preserve"> </w:t>
      </w:r>
      <w:r>
        <w:rPr>
          <w:rFonts w:ascii="Arial" w:cs="Arial" w:eastAsia="Arial" w:hAnsi="Arial"/>
          <w:sz w:val="22"/>
          <w:szCs w:val="22"/>
          <w:color w:val="auto"/>
        </w:rPr>
        <w:t>invention.”</w:t>
      </w:r>
    </w:p>
    <w:p>
      <w:pPr>
        <w:spacing w:after="0" w:line="209"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22"/>
          <w:szCs w:val="22"/>
          <w:b w:val="1"/>
          <w:bCs w:val="1"/>
          <w:color w:val="auto"/>
        </w:rPr>
        <w:t>f.</w:t>
      </w:r>
      <w:r>
        <w:rPr>
          <w:sz w:val="20"/>
          <w:szCs w:val="20"/>
          <w:color w:val="auto"/>
        </w:rPr>
        <w:tab/>
      </w:r>
      <w:r>
        <w:rPr>
          <w:rFonts w:ascii="Arial" w:cs="Arial" w:eastAsia="Arial" w:hAnsi="Arial"/>
          <w:sz w:val="19"/>
          <w:szCs w:val="19"/>
          <w:b w:val="1"/>
          <w:bCs w:val="1"/>
          <w:color w:val="auto"/>
        </w:rPr>
        <w:t>Lower Tier Agreements</w:t>
      </w:r>
    </w:p>
    <w:p>
      <w:pPr>
        <w:spacing w:after="0" w:line="11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Regeneron shall ensure that its Affiliate agreements and Sub-Recipient Agreements regardless of tier, for experimental, developmental, or research work entered into after the Effective Date and submitted for reimbursement under this Agreement, contain invention reporting and assignment requirements sufficient to permit Regeneron to comply with this Section 7.2.</w:t>
      </w:r>
    </w:p>
    <w:p>
      <w:pPr>
        <w:spacing w:after="0" w:line="154" w:lineRule="exact"/>
        <w:rPr>
          <w:sz w:val="20"/>
          <w:szCs w:val="20"/>
          <w:color w:val="auto"/>
        </w:rPr>
      </w:pPr>
    </w:p>
    <w:p>
      <w:pPr>
        <w:ind w:left="980" w:hanging="324"/>
        <w:spacing w:after="0"/>
        <w:tabs>
          <w:tab w:leader="none" w:pos="980" w:val="left"/>
        </w:tabs>
        <w:numPr>
          <w:ilvl w:val="0"/>
          <w:numId w:val="204"/>
        </w:numPr>
        <w:rPr>
          <w:rFonts w:ascii="Arial" w:cs="Arial" w:eastAsia="Arial" w:hAnsi="Arial"/>
          <w:sz w:val="22"/>
          <w:szCs w:val="22"/>
          <w:b w:val="1"/>
          <w:bCs w:val="1"/>
          <w:color w:val="auto"/>
        </w:rPr>
      </w:pPr>
      <w:r>
        <w:rPr>
          <w:rFonts w:ascii="Arial" w:cs="Arial" w:eastAsia="Arial" w:hAnsi="Arial"/>
          <w:sz w:val="22"/>
          <w:szCs w:val="22"/>
          <w:b w:val="1"/>
          <w:bCs w:val="1"/>
          <w:color w:val="auto"/>
        </w:rPr>
        <w:t>Reporting on Utilization of Subject Inventions</w:t>
      </w:r>
    </w:p>
    <w:p>
      <w:pPr>
        <w:spacing w:after="0" w:line="117" w:lineRule="exact"/>
        <w:rPr>
          <w:rFonts w:ascii="Arial" w:cs="Arial" w:eastAsia="Arial" w:hAnsi="Arial"/>
          <w:sz w:val="22"/>
          <w:szCs w:val="22"/>
          <w:b w:val="1"/>
          <w:bCs w:val="1"/>
          <w:color w:val="auto"/>
        </w:rPr>
      </w:pPr>
    </w:p>
    <w:p>
      <w:pPr>
        <w:jc w:val="both"/>
        <w:ind w:left="1640" w:hanging="168"/>
        <w:spacing w:after="0" w:line="290" w:lineRule="auto"/>
        <w:tabs>
          <w:tab w:leader="none" w:pos="1640" w:val="left"/>
        </w:tabs>
        <w:numPr>
          <w:ilvl w:val="1"/>
          <w:numId w:val="204"/>
        </w:numPr>
        <w:rPr>
          <w:rFonts w:ascii="Arial" w:cs="Arial" w:eastAsia="Arial" w:hAnsi="Arial"/>
          <w:sz w:val="19"/>
          <w:szCs w:val="19"/>
          <w:color w:val="auto"/>
        </w:rPr>
      </w:pPr>
      <w:r>
        <w:rPr>
          <w:rFonts w:ascii="Arial" w:cs="Arial" w:eastAsia="Arial" w:hAnsi="Arial"/>
          <w:sz w:val="19"/>
          <w:szCs w:val="19"/>
          <w:color w:val="auto"/>
        </w:rPr>
        <w:t>Regeneron agrees to submit, during the term of this Project Agreement, an annual report on the utilization of a Subject Invention or on efforts at obtaining such utilization that is being made by Regeneron or its licensees or assignees. Such reports shall include information regarding the status of development, date of first commercial sale or use, and such other data and information as the agency may reasonably specify. Regeneron also agrees to provide additional reports as may be requested by the Government in connection with any march-in proceedings undertaken by the Government in accordance with Subparagraph h of this Section 7.2. Consistent with 35 U.S.C. § 202(c)(5), the Government agrees it shall not disclose such information to persons outside the Government without permission of Regeneron.</w:t>
      </w:r>
    </w:p>
    <w:p>
      <w:pPr>
        <w:spacing w:after="0" w:line="47" w:lineRule="exact"/>
        <w:rPr>
          <w:rFonts w:ascii="Arial" w:cs="Arial" w:eastAsia="Arial" w:hAnsi="Arial"/>
          <w:sz w:val="19"/>
          <w:szCs w:val="19"/>
          <w:color w:val="auto"/>
        </w:rPr>
      </w:pPr>
    </w:p>
    <w:p>
      <w:pPr>
        <w:ind w:left="1960" w:hanging="494"/>
        <w:spacing w:after="0"/>
        <w:tabs>
          <w:tab w:leader="none" w:pos="1960" w:val="left"/>
        </w:tabs>
        <w:numPr>
          <w:ilvl w:val="1"/>
          <w:numId w:val="204"/>
        </w:numPr>
        <w:rPr>
          <w:rFonts w:ascii="Arial" w:cs="Arial" w:eastAsia="Arial" w:hAnsi="Arial"/>
          <w:sz w:val="22"/>
          <w:szCs w:val="22"/>
          <w:color w:val="auto"/>
        </w:rPr>
      </w:pPr>
      <w:r>
        <w:rPr>
          <w:rFonts w:ascii="Arial" w:cs="Arial" w:eastAsia="Arial" w:hAnsi="Arial"/>
          <w:sz w:val="22"/>
          <w:szCs w:val="22"/>
          <w:color w:val="auto"/>
        </w:rPr>
        <w:t>All required reports shall be submitted to the e-room, OTAS, OTAO, and OTTR.</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CONFIDENTIAL/PROPRIETARY</w:t>
      </w:r>
    </w:p>
    <w:p>
      <w:pPr>
        <w:sectPr>
          <w:pgSz w:w="11900" w:h="16838" w:orient="portrait"/>
          <w:cols w:equalWidth="0" w:num="1">
            <w:col w:w="11240"/>
          </w:cols>
          <w:pgMar w:left="320" w:top="861" w:right="339" w:bottom="1440" w:gutter="0" w:footer="0" w:header="0"/>
        </w:sectPr>
      </w:pPr>
    </w:p>
    <w:bookmarkStart w:id="254" w:name="page255"/>
    <w:bookmarkEnd w:id="254"/>
    <w:p>
      <w:pPr>
        <w:ind w:left="660"/>
        <w:spacing w:after="0"/>
        <w:rPr>
          <w:sz w:val="20"/>
          <w:szCs w:val="20"/>
          <w:color w:val="auto"/>
        </w:rPr>
      </w:pPr>
      <w:r>
        <w:rPr>
          <w:rFonts w:ascii="Arial" w:cs="Arial" w:eastAsia="Arial" w:hAnsi="Arial"/>
          <w:sz w:val="22"/>
          <w:szCs w:val="22"/>
          <w:b w:val="1"/>
          <w:bCs w:val="1"/>
          <w:color w:val="auto"/>
        </w:rPr>
        <w:t>h.  Compulsory Licensing Rights</w:t>
      </w:r>
    </w:p>
    <w:p>
      <w:pPr>
        <w:spacing w:after="0" w:line="11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Regeneron agrees that, with respect to any Subject Invention in which it has retained title, the Government has the right to require Regeneron, an assignee, or exclusive licensee of a Subject Invention to grant a non-exclusive license to a responsible applicant or applicants, upon terms that are reasonable under the circumstances, and if Regeneron, assignee, or exclusive licensee refuses such a request, the Government has the right to grant such a license within the Field itself </w:t>
      </w:r>
      <w:r>
        <w:rPr>
          <w:rFonts w:ascii="Arial" w:cs="Arial" w:eastAsia="Arial" w:hAnsi="Arial"/>
          <w:sz w:val="22"/>
          <w:szCs w:val="22"/>
          <w:i w:val="1"/>
          <w:iCs w:val="1"/>
          <w:color w:val="auto"/>
        </w:rPr>
        <w:t>only</w:t>
      </w:r>
      <w:r>
        <w:rPr>
          <w:rFonts w:ascii="Arial" w:cs="Arial" w:eastAsia="Arial" w:hAnsi="Arial"/>
          <w:sz w:val="22"/>
          <w:szCs w:val="22"/>
          <w:color w:val="auto"/>
        </w:rPr>
        <w:t xml:space="preserve"> if the Government determines that:</w:t>
      </w:r>
    </w:p>
    <w:p>
      <w:pPr>
        <w:spacing w:after="0" w:line="219" w:lineRule="exact"/>
        <w:rPr>
          <w:sz w:val="20"/>
          <w:szCs w:val="20"/>
          <w:color w:val="auto"/>
        </w:rPr>
      </w:pPr>
    </w:p>
    <w:p>
      <w:pPr>
        <w:jc w:val="both"/>
        <w:ind w:left="1620" w:hanging="161"/>
        <w:spacing w:after="0" w:line="249" w:lineRule="auto"/>
        <w:rPr>
          <w:sz w:val="20"/>
          <w:szCs w:val="20"/>
          <w:color w:val="auto"/>
        </w:rPr>
      </w:pPr>
      <w:r>
        <w:rPr>
          <w:rFonts w:ascii="Arial" w:cs="Arial" w:eastAsia="Arial" w:hAnsi="Arial"/>
          <w:sz w:val="22"/>
          <w:szCs w:val="22"/>
          <w:color w:val="auto"/>
        </w:rPr>
        <w:t>i. Action is necessary to alleviate the following health or safety needs that may affect the United States and Regeneron (itself or through its assignee, subcontractor or licensee) is unwilling or unable to manufacture or supply the Subject Invention to address such needs:</w:t>
      </w:r>
    </w:p>
    <w:p>
      <w:pPr>
        <w:ind w:left="2920" w:hanging="320"/>
        <w:spacing w:after="0"/>
        <w:tabs>
          <w:tab w:leader="none" w:pos="2920" w:val="left"/>
        </w:tabs>
        <w:numPr>
          <w:ilvl w:val="0"/>
          <w:numId w:val="205"/>
        </w:numPr>
        <w:rPr>
          <w:rFonts w:ascii="Arial" w:cs="Arial" w:eastAsia="Arial" w:hAnsi="Arial"/>
          <w:sz w:val="22"/>
          <w:szCs w:val="22"/>
          <w:color w:val="auto"/>
        </w:rPr>
      </w:pPr>
      <w:r>
        <w:rPr>
          <w:rFonts w:ascii="Arial" w:cs="Arial" w:eastAsia="Arial" w:hAnsi="Arial"/>
          <w:sz w:val="22"/>
          <w:szCs w:val="22"/>
          <w:color w:val="auto"/>
        </w:rPr>
        <w:t>Declaration for Public Health Emergency by the Secretary of HHS;</w:t>
      </w:r>
    </w:p>
    <w:p>
      <w:pPr>
        <w:spacing w:after="0" w:line="93" w:lineRule="exact"/>
        <w:rPr>
          <w:rFonts w:ascii="Arial" w:cs="Arial" w:eastAsia="Arial" w:hAnsi="Arial"/>
          <w:sz w:val="22"/>
          <w:szCs w:val="22"/>
          <w:color w:val="auto"/>
        </w:rPr>
      </w:pPr>
    </w:p>
    <w:p>
      <w:pPr>
        <w:jc w:val="both"/>
        <w:ind w:left="2920" w:hanging="320"/>
        <w:spacing w:after="0" w:line="253" w:lineRule="auto"/>
        <w:tabs>
          <w:tab w:leader="none" w:pos="2920" w:val="left"/>
        </w:tabs>
        <w:numPr>
          <w:ilvl w:val="0"/>
          <w:numId w:val="205"/>
        </w:numPr>
        <w:rPr>
          <w:rFonts w:ascii="Arial" w:cs="Arial" w:eastAsia="Arial" w:hAnsi="Arial"/>
          <w:sz w:val="22"/>
          <w:szCs w:val="22"/>
          <w:color w:val="auto"/>
        </w:rPr>
      </w:pPr>
      <w:r>
        <w:rPr>
          <w:rFonts w:ascii="Arial" w:cs="Arial" w:eastAsia="Arial" w:hAnsi="Arial"/>
          <w:sz w:val="22"/>
          <w:szCs w:val="22"/>
          <w:color w:val="auto"/>
        </w:rPr>
        <w:t>Determination that there is a significant potential for a public Health emergency that has a significant potential to affect a national or health security of U.S. citizens as determined by the Secretary of HHS; or</w:t>
      </w:r>
    </w:p>
    <w:p>
      <w:pPr>
        <w:spacing w:after="0" w:line="77" w:lineRule="exact"/>
        <w:rPr>
          <w:rFonts w:ascii="Arial" w:cs="Arial" w:eastAsia="Arial" w:hAnsi="Arial"/>
          <w:sz w:val="22"/>
          <w:szCs w:val="22"/>
          <w:color w:val="auto"/>
        </w:rPr>
      </w:pPr>
    </w:p>
    <w:p>
      <w:pPr>
        <w:ind w:left="2920" w:hanging="320"/>
        <w:spacing w:after="0"/>
        <w:tabs>
          <w:tab w:leader="none" w:pos="2920" w:val="left"/>
        </w:tabs>
        <w:numPr>
          <w:ilvl w:val="0"/>
          <w:numId w:val="205"/>
        </w:numPr>
        <w:rPr>
          <w:rFonts w:ascii="Arial" w:cs="Arial" w:eastAsia="Arial" w:hAnsi="Arial"/>
          <w:sz w:val="19"/>
          <w:szCs w:val="19"/>
          <w:color w:val="auto"/>
        </w:rPr>
      </w:pPr>
      <w:r>
        <w:rPr>
          <w:rFonts w:ascii="Arial" w:cs="Arial" w:eastAsia="Arial" w:hAnsi="Arial"/>
          <w:sz w:val="19"/>
          <w:szCs w:val="19"/>
          <w:color w:val="auto"/>
        </w:rPr>
        <w:t>Declaration by WHO Director General of a public health emergency of international concern.</w:t>
      </w:r>
    </w:p>
    <w:p>
      <w:pPr>
        <w:spacing w:after="0" w:line="27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7.3</w:t>
      </w:r>
      <w:r>
        <w:rPr>
          <w:sz w:val="20"/>
          <w:szCs w:val="20"/>
          <w:color w:val="auto"/>
        </w:rPr>
        <w:tab/>
      </w:r>
      <w:r>
        <w:rPr>
          <w:rFonts w:ascii="Arial" w:cs="Arial" w:eastAsia="Arial" w:hAnsi="Arial"/>
          <w:sz w:val="21"/>
          <w:szCs w:val="21"/>
          <w:b w:val="1"/>
          <w:bCs w:val="1"/>
          <w:color w:val="auto"/>
        </w:rPr>
        <w:t>DATA RIGHTS</w:t>
      </w:r>
    </w:p>
    <w:p>
      <w:pPr>
        <w:spacing w:after="0" w:line="247" w:lineRule="exact"/>
        <w:rPr>
          <w:sz w:val="20"/>
          <w:szCs w:val="20"/>
          <w:color w:val="auto"/>
        </w:rPr>
      </w:pPr>
    </w:p>
    <w:p>
      <w:pPr>
        <w:ind w:left="1300" w:hanging="968"/>
        <w:spacing w:after="0"/>
        <w:tabs>
          <w:tab w:leader="none" w:pos="1300" w:val="left"/>
        </w:tabs>
        <w:numPr>
          <w:ilvl w:val="0"/>
          <w:numId w:val="206"/>
        </w:numPr>
        <w:rPr>
          <w:rFonts w:ascii="Arial" w:cs="Arial" w:eastAsia="Arial" w:hAnsi="Arial"/>
          <w:sz w:val="22"/>
          <w:szCs w:val="22"/>
          <w:b w:val="1"/>
          <w:bCs w:val="1"/>
          <w:color w:val="auto"/>
        </w:rPr>
      </w:pPr>
      <w:r>
        <w:rPr>
          <w:rFonts w:ascii="Arial" w:cs="Arial" w:eastAsia="Arial" w:hAnsi="Arial"/>
          <w:sz w:val="22"/>
          <w:szCs w:val="22"/>
          <w:b w:val="1"/>
          <w:bCs w:val="1"/>
          <w:color w:val="auto"/>
        </w:rPr>
        <w:t>Allocation of Principal Rights</w:t>
      </w:r>
    </w:p>
    <w:p>
      <w:pPr>
        <w:spacing w:after="0" w:line="117" w:lineRule="exact"/>
        <w:rPr>
          <w:rFonts w:ascii="Arial" w:cs="Arial" w:eastAsia="Arial" w:hAnsi="Arial"/>
          <w:sz w:val="22"/>
          <w:szCs w:val="22"/>
          <w:b w:val="1"/>
          <w:bCs w:val="1"/>
          <w:color w:val="auto"/>
        </w:rPr>
      </w:pPr>
    </w:p>
    <w:p>
      <w:pPr>
        <w:jc w:val="both"/>
        <w:ind w:left="1800" w:hanging="10"/>
        <w:spacing w:after="0" w:line="287" w:lineRule="auto"/>
        <w:tabs>
          <w:tab w:leader="none" w:pos="1954" w:val="left"/>
        </w:tabs>
        <w:numPr>
          <w:ilvl w:val="1"/>
          <w:numId w:val="206"/>
        </w:numPr>
        <w:rPr>
          <w:rFonts w:ascii="Arial" w:cs="Arial" w:eastAsia="Arial" w:hAnsi="Arial"/>
          <w:sz w:val="19"/>
          <w:szCs w:val="19"/>
          <w:color w:val="auto"/>
        </w:rPr>
      </w:pPr>
      <w:r>
        <w:rPr>
          <w:rFonts w:ascii="Arial" w:cs="Arial" w:eastAsia="Arial" w:hAnsi="Arial"/>
          <w:sz w:val="19"/>
          <w:szCs w:val="19"/>
          <w:color w:val="auto"/>
        </w:rPr>
        <w:t>For Data produced under this SOW including Computer Software, to the extent developed with Government funds provided under this SOW, except as expressly provided elsewhere in this Project Agreement (including Section 7.3.b.), Regeneron grants to the Government a paid-up, nonexclusive, nontransferable, irrevocable, worldwide license in such Data (a) to exercise Government Purpose Rights for a period of ten (10) years following the production of such Data, (b) to exercise Unlimited Rights following the expiration of such ten (10)- year period. For Data produced under this Project Agreement, excluding Computer Software, to the extent developed with private funds and for other Data designated by Regeneron as “Limited Rights Data”, Regeneron grants to the Government a paid-up, nonexclusive, nontransferable, irrevocable, worldwide license in such Data to exercise Limited Rights. The Government will not obtain any rights in Computer Software produced under this Project Agreement to the extent developed with private funds. For certificates of analysis and batch records pertaining to drug product purchased under this Project Agreement, the Government shall have Unlimited Rights.</w:t>
      </w:r>
    </w:p>
    <w:p>
      <w:pPr>
        <w:spacing w:after="0" w:line="50" w:lineRule="exact"/>
        <w:rPr>
          <w:rFonts w:ascii="Arial" w:cs="Arial" w:eastAsia="Arial" w:hAnsi="Arial"/>
          <w:sz w:val="19"/>
          <w:szCs w:val="19"/>
          <w:color w:val="auto"/>
        </w:rPr>
      </w:pPr>
    </w:p>
    <w:p>
      <w:pPr>
        <w:jc w:val="both"/>
        <w:ind w:left="1960" w:hanging="164"/>
        <w:spacing w:after="0" w:line="250" w:lineRule="auto"/>
        <w:tabs>
          <w:tab w:leader="none" w:pos="2072" w:val="left"/>
        </w:tabs>
        <w:numPr>
          <w:ilvl w:val="1"/>
          <w:numId w:val="206"/>
        </w:numPr>
        <w:rPr>
          <w:rFonts w:ascii="Arial" w:cs="Arial" w:eastAsia="Arial" w:hAnsi="Arial"/>
          <w:sz w:val="20"/>
          <w:szCs w:val="20"/>
          <w:color w:val="auto"/>
        </w:rPr>
      </w:pPr>
      <w:r>
        <w:rPr>
          <w:rFonts w:ascii="Arial" w:cs="Arial" w:eastAsia="Arial" w:hAnsi="Arial"/>
          <w:sz w:val="22"/>
          <w:szCs w:val="22"/>
          <w:color w:val="auto"/>
        </w:rPr>
        <w:t>Regeneron agrees to retain and maintain in good condition all Data produced under this Project Agreement and necessary to achieve Practical Application of any Subject Invention in accordance with Regeneron’s established record retention practices. In the event of an exercise of the Government’s compulsory licensing rights as set forth under Section</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CONFIDENTIAL/PROPRIETARY</w:t>
      </w:r>
    </w:p>
    <w:p>
      <w:pPr>
        <w:sectPr>
          <w:pgSz w:w="11900" w:h="16838" w:orient="portrait"/>
          <w:cols w:equalWidth="0" w:num="1">
            <w:col w:w="11240"/>
          </w:cols>
          <w:pgMar w:left="320" w:top="1098" w:right="339" w:bottom="1440" w:gutter="0" w:footer="0" w:header="0"/>
        </w:sectPr>
      </w:pPr>
    </w:p>
    <w:bookmarkStart w:id="255" w:name="page256"/>
    <w:bookmarkEnd w:id="255"/>
    <w:p>
      <w:pPr>
        <w:jc w:val="both"/>
        <w:ind w:left="1960"/>
        <w:spacing w:after="0" w:line="247" w:lineRule="auto"/>
        <w:rPr>
          <w:sz w:val="20"/>
          <w:szCs w:val="20"/>
          <w:color w:val="auto"/>
        </w:rPr>
      </w:pPr>
      <w:r>
        <w:rPr>
          <w:rFonts w:ascii="Arial" w:cs="Arial" w:eastAsia="Arial" w:hAnsi="Arial"/>
          <w:sz w:val="22"/>
          <w:szCs w:val="22"/>
          <w:color w:val="auto"/>
        </w:rPr>
        <w:t>7.2.h., Regeneron agrees, upon written request from the Government, to deliver at no additional cost to the Government, all existing Data produced under this Project Agreement necessary to achieve Practical Application of the relevant Subject Invention within sixty (60) calendar days from the date of the written request.</w:t>
      </w:r>
    </w:p>
    <w:p>
      <w:pPr>
        <w:spacing w:after="0" w:line="3" w:lineRule="exact"/>
        <w:rPr>
          <w:sz w:val="20"/>
          <w:szCs w:val="20"/>
          <w:color w:val="auto"/>
        </w:rPr>
      </w:pPr>
    </w:p>
    <w:p>
      <w:pPr>
        <w:jc w:val="both"/>
        <w:ind w:left="1960" w:hanging="332"/>
        <w:spacing w:after="0" w:line="295" w:lineRule="auto"/>
        <w:tabs>
          <w:tab w:leader="none" w:pos="1964" w:val="left"/>
        </w:tabs>
        <w:numPr>
          <w:ilvl w:val="1"/>
          <w:numId w:val="207"/>
        </w:numPr>
        <w:rPr>
          <w:rFonts w:ascii="Arial" w:cs="Arial" w:eastAsia="Arial" w:hAnsi="Arial"/>
          <w:sz w:val="19"/>
          <w:szCs w:val="19"/>
          <w:color w:val="auto"/>
        </w:rPr>
      </w:pPr>
      <w:r>
        <w:rPr>
          <w:rFonts w:ascii="Arial" w:cs="Arial" w:eastAsia="Arial" w:hAnsi="Arial"/>
          <w:sz w:val="19"/>
          <w:szCs w:val="19"/>
          <w:color w:val="auto"/>
        </w:rPr>
        <w:t>Regeneron’s right to use Data is not restricted and includes the right under Regeneron’s established business policies to make public research Data (especially human research Data) by publication in the scientific literature, by making trial protocols, trial results summaries, and clinical studies reports publicly available, and by making trial patient-level data available for third-party analysis.</w:t>
      </w:r>
    </w:p>
    <w:p>
      <w:pPr>
        <w:spacing w:after="0" w:line="170" w:lineRule="exact"/>
        <w:rPr>
          <w:rFonts w:ascii="Arial" w:cs="Arial" w:eastAsia="Arial" w:hAnsi="Arial"/>
          <w:sz w:val="19"/>
          <w:szCs w:val="19"/>
          <w:color w:val="auto"/>
        </w:rPr>
      </w:pPr>
    </w:p>
    <w:p>
      <w:pPr>
        <w:ind w:left="1300" w:hanging="968"/>
        <w:spacing w:after="0"/>
        <w:tabs>
          <w:tab w:leader="none" w:pos="1300" w:val="left"/>
        </w:tabs>
        <w:numPr>
          <w:ilvl w:val="0"/>
          <w:numId w:val="208"/>
        </w:numPr>
        <w:rPr>
          <w:rFonts w:ascii="Arial" w:cs="Arial" w:eastAsia="Arial" w:hAnsi="Arial"/>
          <w:sz w:val="22"/>
          <w:szCs w:val="22"/>
          <w:b w:val="1"/>
          <w:bCs w:val="1"/>
          <w:color w:val="auto"/>
        </w:rPr>
      </w:pPr>
      <w:r>
        <w:rPr>
          <w:rFonts w:ascii="Arial" w:cs="Arial" w:eastAsia="Arial" w:hAnsi="Arial"/>
          <w:sz w:val="22"/>
          <w:szCs w:val="22"/>
          <w:b w:val="1"/>
          <w:bCs w:val="1"/>
          <w:color w:val="auto"/>
        </w:rPr>
        <w:t>Proprietary Manufacturing Data</w:t>
      </w:r>
    </w:p>
    <w:p>
      <w:pPr>
        <w:spacing w:after="0" w:line="1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Notwithstanding anything to the contrary in this Project Agreement, Regeneron retains all rights in and to Data relating to or comprising Regeneron’s proprietary manufacturing technology and processes, including any trade secrets, Chemistry, Manufacturing and Controls information (CMC Data), and Data concerning or arising from test method development, device or delivery system development, assay development, formulation, quality assurance/quality control development, technology transfer, process development and scale-up and cell-line development, and the Government shall have no rights to use such Data independently from this Agreement or to disclose such Data to any third party. Regeneron may designate certain Data concerning its manufacturing activities as Limited Rights Data, in which case the Government shall have Limited Rights in and to such Data. Regeneron will use reasonable efforts to mark any Limited Rights Data delivered under this Project Agreement with appropriate Limited Rights markings.</w:t>
      </w:r>
    </w:p>
    <w:p>
      <w:pPr>
        <w:spacing w:after="0" w:line="200" w:lineRule="exact"/>
        <w:rPr>
          <w:sz w:val="20"/>
          <w:szCs w:val="20"/>
          <w:color w:val="auto"/>
        </w:rPr>
      </w:pPr>
    </w:p>
    <w:p>
      <w:pPr>
        <w:ind w:left="1300" w:hanging="968"/>
        <w:spacing w:after="0"/>
        <w:tabs>
          <w:tab w:leader="none" w:pos="1300" w:val="left"/>
        </w:tabs>
        <w:numPr>
          <w:ilvl w:val="0"/>
          <w:numId w:val="209"/>
        </w:numPr>
        <w:rPr>
          <w:rFonts w:ascii="Arial" w:cs="Arial" w:eastAsia="Arial" w:hAnsi="Arial"/>
          <w:sz w:val="22"/>
          <w:szCs w:val="22"/>
          <w:b w:val="1"/>
          <w:bCs w:val="1"/>
          <w:color w:val="auto"/>
        </w:rPr>
      </w:pPr>
      <w:r>
        <w:rPr>
          <w:rFonts w:ascii="Arial" w:cs="Arial" w:eastAsia="Arial" w:hAnsi="Arial"/>
          <w:sz w:val="22"/>
          <w:szCs w:val="22"/>
          <w:b w:val="1"/>
          <w:bCs w:val="1"/>
          <w:color w:val="auto"/>
        </w:rPr>
        <w:t>Identification and Disposition of Data</w:t>
      </w:r>
    </w:p>
    <w:p>
      <w:pPr>
        <w:spacing w:after="0" w:line="11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Regeneron shall keep copies of all Data relevant to this Project Agreement as required by the Food and Drug Administration (FDA) for the time specified by the FDA. The Government reserves the right to review any other data determined by the Government to be relevant to this Agreement. The Government further acknowledges that Regeneron holds the commercialization rights for all products developed under this Agreement in the U.S. and will be responsible for their registration with the FDA. This provision is subject to any applicable limitations on the Government’s rights under Article VIII.B.a-b of the BARDA OTA.</w:t>
      </w:r>
    </w:p>
    <w:p>
      <w:pPr>
        <w:spacing w:after="0" w:line="214" w:lineRule="exact"/>
        <w:rPr>
          <w:sz w:val="20"/>
          <w:szCs w:val="20"/>
          <w:color w:val="auto"/>
        </w:rPr>
      </w:pPr>
    </w:p>
    <w:p>
      <w:pPr>
        <w:ind w:left="820"/>
        <w:spacing w:after="0"/>
        <w:tabs>
          <w:tab w:leader="none" w:pos="1280" w:val="left"/>
        </w:tabs>
        <w:rPr>
          <w:sz w:val="20"/>
          <w:szCs w:val="20"/>
          <w:color w:val="auto"/>
        </w:rPr>
      </w:pPr>
      <w:r>
        <w:rPr>
          <w:rFonts w:ascii="Arial" w:cs="Arial" w:eastAsia="Arial" w:hAnsi="Arial"/>
          <w:sz w:val="22"/>
          <w:szCs w:val="22"/>
          <w:b w:val="1"/>
          <w:bCs w:val="1"/>
          <w:color w:val="auto"/>
        </w:rPr>
        <w:t>7.4</w:t>
      </w:r>
      <w:r>
        <w:rPr>
          <w:sz w:val="20"/>
          <w:szCs w:val="20"/>
          <w:color w:val="auto"/>
        </w:rPr>
        <w:tab/>
      </w:r>
      <w:r>
        <w:rPr>
          <w:rFonts w:ascii="Arial" w:cs="Arial" w:eastAsia="Arial" w:hAnsi="Arial"/>
          <w:sz w:val="21"/>
          <w:szCs w:val="21"/>
          <w:b w:val="1"/>
          <w:bCs w:val="1"/>
          <w:color w:val="auto"/>
        </w:rPr>
        <w:t>REGULATORY RIGHTS</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The Contractor agrees to the following:</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 Regulatory Data. Regeneron shall provide to the OTTR and OTAS copies of formal FDA submissions pertaining to the scope of the project, no later than 10 business days before submission to the FDA. For clarity, CMC Data included in such submissions shall be subject to Section 7.3.b.</w:t>
      </w:r>
    </w:p>
    <w:p>
      <w:pPr>
        <w:spacing w:after="0" w:line="212"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b. Rights of Reference. Upon mutual agreement, Regeneron will grant to the Government a right of reference to any Regulatory Application submitted in support of this Project Agreement, solely for the purpose of the Government conducting a clinical trial with the drug product supplied under this Project Agreement under a protocol approved by Regeneron for performance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CONFIDENTIAL/PROPRIETARY</w:t>
      </w:r>
    </w:p>
    <w:p>
      <w:pPr>
        <w:sectPr>
          <w:pgSz w:w="11900" w:h="16838" w:orient="portrait"/>
          <w:cols w:equalWidth="0" w:num="1">
            <w:col w:w="11240"/>
          </w:cols>
          <w:pgMar w:left="320" w:top="861" w:right="339" w:bottom="1440" w:gutter="0" w:footer="0" w:header="0"/>
        </w:sectPr>
      </w:pPr>
    </w:p>
    <w:bookmarkStart w:id="256" w:name="page257"/>
    <w:bookmarkEnd w:id="256"/>
    <w:p>
      <w:pPr>
        <w:jc w:val="both"/>
        <w:spacing w:after="0" w:line="253" w:lineRule="auto"/>
        <w:rPr>
          <w:sz w:val="20"/>
          <w:szCs w:val="20"/>
          <w:color w:val="auto"/>
        </w:rPr>
      </w:pPr>
      <w:r>
        <w:rPr>
          <w:rFonts w:ascii="Arial" w:cs="Arial" w:eastAsia="Arial" w:hAnsi="Arial"/>
          <w:sz w:val="22"/>
          <w:szCs w:val="22"/>
          <w:color w:val="auto"/>
        </w:rPr>
        <w:t>by the Government. In such a case, Regeneron agrees to provide a letter of cross-reference to the Government and file such letter with the appropriate FDA office. Nothing in this paragraph reduces the Government’s data rights as articulated in other provisions of this award.</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c. Clause 7.4.b. will survive the acquisition or merger of the Contractor by or with a third party. This clause will survive the expiration of this contract.</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7.5 PREP Act Coverage. It is the intent of the Parties that the drug product provided pursuant to this Agreement be covered by the March 10, 2020 declaration under the Public Readiness and Emergency Preparedness Act (PREP Act), 42 U.S.C. § 247d-6d, 85 Fed Reg. 15,198 (March 17, 2020), or any amendments thereto that provides liability protection for such use. Based on an independent review by each of the Parties of the PREP Act Declaration issued by DHHS on March 10, 2020, pursuant to section 319F-3 of the Public Health Service Act (42 U.S.C. 247d-6d), and a related advisory opinion issued by the DHHS Office of General Counsel on April 14, 2020, the Parties believe that Regeneron is a covered person eligible for immunity under the PREP Act for activities related to medical countermeasures against COVID-19. To the extent DoD or BARDA is authorized to do so as an Authority Having Jurisdiction, the Government designates Regeneron as a covered person eligible for immunity under the PREP Act Declaration issued by DHHS on March 10, 2020, pursuant to section 319F-3 of the Public Health Service Act (42 U.S.C. 247d-6d), for activities related to medical countermeasures against COVID-19. The Government further warrants that the drug product provided pursuant to this Project Agreement will not be (a) sold to any entity nor will it be returned after acceptance under the terms of this contract or (b) distributed or used, or authorized for distribution or use, outside the United States or to the extent such activities are not protected from liability under an active PREP Act declaration.</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7.6 Transparency. To the extent permitted under applicable laws, the Government will provide Regeneron in a timely manner copies of reports concerning this Project Agreement that are provided to other Government agencies or legislative or executive branches of the government.</w:t>
      </w:r>
    </w:p>
    <w:p>
      <w:pPr>
        <w:spacing w:after="0" w:line="206"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auto"/>
        </w:rPr>
        <w:t>8.0</w:t>
      </w:r>
      <w:r>
        <w:rPr>
          <w:sz w:val="20"/>
          <w:szCs w:val="20"/>
          <w:color w:val="auto"/>
        </w:rPr>
        <w:tab/>
      </w:r>
      <w:r>
        <w:rPr>
          <w:rFonts w:ascii="Arial" w:cs="Arial" w:eastAsia="Arial" w:hAnsi="Arial"/>
          <w:sz w:val="21"/>
          <w:szCs w:val="21"/>
          <w:b w:val="1"/>
          <w:bCs w:val="1"/>
          <w:color w:val="auto"/>
        </w:rPr>
        <w:t xml:space="preserve">SECURITY </w:t>
      </w:r>
      <w:r>
        <w:rPr>
          <w:rFonts w:ascii="Arial" w:cs="Arial" w:eastAsia="Arial" w:hAnsi="Arial"/>
          <w:sz w:val="21"/>
          <w:szCs w:val="21"/>
          <w:b w:val="1"/>
          <w:bCs w:val="1"/>
          <w:i w:val="1"/>
          <w:iCs w:val="1"/>
          <w:color w:val="auto"/>
        </w:rPr>
        <w:t>AND SUPPLY CHAIN RESILIENCY</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The security classification level for this effort is UNCLASSIFIED.</w:t>
      </w:r>
    </w:p>
    <w:p>
      <w:pPr>
        <w:spacing w:after="0" w:line="24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auto"/>
        </w:rPr>
        <w:t>9.0</w:t>
      </w:r>
      <w:r>
        <w:rPr>
          <w:sz w:val="20"/>
          <w:szCs w:val="20"/>
          <w:color w:val="auto"/>
        </w:rPr>
        <w:tab/>
      </w:r>
      <w:r>
        <w:rPr>
          <w:rFonts w:ascii="Arial" w:cs="Arial" w:eastAsia="Arial" w:hAnsi="Arial"/>
          <w:sz w:val="21"/>
          <w:szCs w:val="21"/>
          <w:b w:val="1"/>
          <w:bCs w:val="1"/>
          <w:color w:val="auto"/>
        </w:rPr>
        <w:t>MISCELLANEOUS REQUIREMENTS (SAFETY, ENVIRONMENTAL, ETC.)</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N/A</w:t>
      </w:r>
    </w:p>
    <w:p>
      <w:pPr>
        <w:spacing w:after="0" w:line="24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10.0</w:t>
        <w:tab/>
        <w:t>GOVERNMENT FURNISHED PROPERTY/MATERIAL/INFORMATION</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41"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11.0</w:t>
      </w:r>
      <w:r>
        <w:rPr>
          <w:sz w:val="20"/>
          <w:szCs w:val="20"/>
          <w:color w:val="auto"/>
        </w:rPr>
        <w:tab/>
      </w:r>
      <w:r>
        <w:rPr>
          <w:rFonts w:ascii="Arial" w:cs="Arial" w:eastAsia="Arial" w:hAnsi="Arial"/>
          <w:sz w:val="21"/>
          <w:szCs w:val="21"/>
          <w:b w:val="1"/>
          <w:bCs w:val="1"/>
          <w:color w:val="auto"/>
        </w:rPr>
        <w:t>AGREEMENTS OFFICER’S REPRESENTATIVE (AOR) AND ALTERNATE AOR CONTACT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CONFIDENTIAL/PROPRIETARY</w:t>
      </w:r>
    </w:p>
    <w:p>
      <w:pPr>
        <w:sectPr>
          <w:pgSz w:w="11900" w:h="16838" w:orient="portrait"/>
          <w:cols w:equalWidth="0" w:num="1">
            <w:col w:w="11240"/>
          </w:cols>
          <w:pgMar w:left="320" w:top="861" w:right="339" w:bottom="1440" w:gutter="0" w:footer="0" w:header="0"/>
        </w:sectPr>
      </w:pPr>
    </w:p>
    <w:bookmarkStart w:id="257" w:name="page258"/>
    <w:bookmarkEnd w:id="257"/>
    <w:p>
      <w:pPr>
        <w:spacing w:after="0"/>
        <w:rPr>
          <w:sz w:val="20"/>
          <w:szCs w:val="20"/>
          <w:color w:val="auto"/>
        </w:rPr>
      </w:pPr>
      <w:r>
        <w:rPr>
          <w:rFonts w:ascii="Arial" w:cs="Arial" w:eastAsia="Arial" w:hAnsi="Arial"/>
          <w:sz w:val="22"/>
          <w:szCs w:val="22"/>
          <w:b w:val="1"/>
          <w:bCs w:val="1"/>
          <w:u w:val="single" w:color="auto"/>
          <w:color w:val="auto"/>
        </w:rPr>
        <w:t>AOR</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EMAIL: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PHONE: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AGENCY NAME/DIVISION/SECTION: HHS/ASPR/BARDA</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Alternate AOR</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EMAIL: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PHONE: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AGENCY NAME/DIVISION/SECTION: HHS/ASPR/BARDA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698627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35">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Requiring Activity:</w:t>
      </w:r>
    </w:p>
    <w:p>
      <w:pPr>
        <w:spacing w:after="0" w:line="58" w:lineRule="exact"/>
        <w:rPr>
          <w:sz w:val="20"/>
          <w:szCs w:val="20"/>
          <w:color w:val="auto"/>
        </w:rPr>
      </w:pPr>
    </w:p>
    <w:p>
      <w:pPr>
        <w:ind w:left="20" w:right="260"/>
        <w:spacing w:after="0" w:line="263" w:lineRule="auto"/>
        <w:rPr>
          <w:sz w:val="20"/>
          <w:szCs w:val="20"/>
          <w:color w:val="auto"/>
        </w:rPr>
      </w:pPr>
      <w:r>
        <w:rPr>
          <w:rFonts w:ascii="Arial" w:cs="Arial" w:eastAsia="Arial" w:hAnsi="Arial"/>
          <w:sz w:val="22"/>
          <w:szCs w:val="22"/>
          <w:color w:val="auto"/>
        </w:rPr>
        <w:t>US Department of Health &amp; Human Services (HHS), Assistant Secretary for Preparedness and Response (ASPR), Biomedical Advanced Research and Development Authority (BARDA)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698627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36">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33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Definitions Appendix</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Computer Software: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To perform and further this Project Agreement:</w:t>
      </w:r>
    </w:p>
    <w:p>
      <w:pPr>
        <w:spacing w:after="0" w:line="4" w:lineRule="exact"/>
        <w:rPr>
          <w:sz w:val="20"/>
          <w:szCs w:val="20"/>
          <w:color w:val="auto"/>
        </w:rPr>
      </w:pPr>
    </w:p>
    <w:p>
      <w:pPr>
        <w:ind w:right="720"/>
        <w:spacing w:after="0" w:line="281" w:lineRule="auto"/>
        <w:rPr>
          <w:sz w:val="20"/>
          <w:szCs w:val="20"/>
          <w:color w:val="auto"/>
        </w:rPr>
      </w:pPr>
      <w:r>
        <w:rPr>
          <w:rFonts w:ascii="Arial" w:cs="Arial" w:eastAsia="Arial" w:hAnsi="Arial"/>
          <w:sz w:val="19"/>
          <w:szCs w:val="19"/>
          <w:color w:val="auto"/>
        </w:rPr>
        <w:t>Computer programs that comprise a series of instructions, rules, routines, or statements, regardless of the media in which recorded, that allow or cause a computer to perform a specific operation or series of operations; and</w:t>
      </w:r>
    </w:p>
    <w:p>
      <w:pPr>
        <w:spacing w:after="0" w:line="1" w:lineRule="exact"/>
        <w:rPr>
          <w:sz w:val="20"/>
          <w:szCs w:val="20"/>
          <w:color w:val="auto"/>
        </w:rPr>
      </w:pPr>
    </w:p>
    <w:p>
      <w:pPr>
        <w:ind w:right="220"/>
        <w:spacing w:after="0" w:line="243" w:lineRule="auto"/>
        <w:rPr>
          <w:sz w:val="20"/>
          <w:szCs w:val="20"/>
          <w:color w:val="auto"/>
        </w:rPr>
      </w:pPr>
      <w:r>
        <w:rPr>
          <w:rFonts w:ascii="Arial" w:cs="Arial" w:eastAsia="Arial" w:hAnsi="Arial"/>
          <w:sz w:val="22"/>
          <w:szCs w:val="22"/>
          <w:color w:val="auto"/>
        </w:rPr>
        <w:t>Recorded information comprising source code listings, design details, algorithms, processes, flow charts, formulas, and related material that would enable the computer program to be produced, created, or compiled. Does not include computer databases or computer software documentation.</w:t>
      </w:r>
    </w:p>
    <w:p>
      <w:pPr>
        <w:spacing w:after="0" w:line="1" w:lineRule="exact"/>
        <w:rPr>
          <w:sz w:val="20"/>
          <w:szCs w:val="20"/>
          <w:color w:val="auto"/>
        </w:rPr>
      </w:pPr>
    </w:p>
    <w:p>
      <w:pPr>
        <w:ind w:right="300"/>
        <w:spacing w:after="0" w:line="243" w:lineRule="auto"/>
        <w:rPr>
          <w:sz w:val="20"/>
          <w:szCs w:val="20"/>
          <w:color w:val="auto"/>
        </w:rPr>
      </w:pPr>
      <w:r>
        <w:rPr>
          <w:rFonts w:ascii="Arial" w:cs="Arial" w:eastAsia="Arial" w:hAnsi="Arial"/>
          <w:sz w:val="22"/>
          <w:szCs w:val="22"/>
          <w:b w:val="1"/>
          <w:bCs w:val="1"/>
          <w:color w:val="auto"/>
        </w:rPr>
        <w:t xml:space="preserve">Data: </w:t>
      </w:r>
      <w:r>
        <w:rPr>
          <w:rFonts w:ascii="Arial" w:cs="Arial" w:eastAsia="Arial" w:hAnsi="Arial"/>
          <w:sz w:val="22"/>
          <w:szCs w:val="22"/>
          <w:color w:val="auto"/>
        </w:rPr>
        <w:t>Means recorded information, regardless of form or the media on which it may be recorded. The term includes technical</w:t>
      </w:r>
      <w:r>
        <w:rPr>
          <w:rFonts w:ascii="Arial" w:cs="Arial" w:eastAsia="Arial" w:hAnsi="Arial"/>
          <w:sz w:val="22"/>
          <w:szCs w:val="22"/>
          <w:b w:val="1"/>
          <w:bCs w:val="1"/>
          <w:color w:val="auto"/>
        </w:rPr>
        <w:t xml:space="preserve"> </w:t>
      </w:r>
      <w:r>
        <w:rPr>
          <w:rFonts w:ascii="Arial" w:cs="Arial" w:eastAsia="Arial" w:hAnsi="Arial"/>
          <w:sz w:val="22"/>
          <w:szCs w:val="22"/>
          <w:color w:val="auto"/>
        </w:rPr>
        <w:t>data and Computer Software. The term does not include information incidental to contract administration, such as financial, administrative, cost or pricing, or management information.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Field: </w:t>
      </w:r>
      <w:r>
        <w:rPr>
          <w:rFonts w:ascii="Arial" w:cs="Arial" w:eastAsia="Arial" w:hAnsi="Arial"/>
          <w:sz w:val="22"/>
          <w:szCs w:val="22"/>
          <w:color w:val="auto"/>
        </w:rPr>
        <w:t>The development of anti-pathogen assets to treat, diagnose or prevent emerging infectious diseases.</w:t>
      </w:r>
    </w:p>
    <w:p>
      <w:pPr>
        <w:spacing w:after="0" w:line="4" w:lineRule="exact"/>
        <w:rPr>
          <w:sz w:val="20"/>
          <w:szCs w:val="20"/>
          <w:color w:val="auto"/>
        </w:rPr>
      </w:pPr>
    </w:p>
    <w:p>
      <w:pPr>
        <w:spacing w:after="0" w:line="243" w:lineRule="auto"/>
        <w:rPr>
          <w:sz w:val="20"/>
          <w:szCs w:val="20"/>
          <w:color w:val="auto"/>
        </w:rPr>
      </w:pPr>
      <w:r>
        <w:rPr>
          <w:rFonts w:ascii="Arial" w:cs="Arial" w:eastAsia="Arial" w:hAnsi="Arial"/>
          <w:sz w:val="22"/>
          <w:szCs w:val="22"/>
          <w:b w:val="1"/>
          <w:bCs w:val="1"/>
          <w:color w:val="auto"/>
        </w:rPr>
        <w:t xml:space="preserve">Government: </w:t>
      </w:r>
      <w:r>
        <w:rPr>
          <w:rFonts w:ascii="Arial" w:cs="Arial" w:eastAsia="Arial" w:hAnsi="Arial"/>
          <w:sz w:val="22"/>
          <w:szCs w:val="22"/>
          <w:color w:val="auto"/>
        </w:rPr>
        <w:t>The United States of America, as represented by the Department of Health &amp; Human Services (“Government”),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Office of the Assistant Secretary for Preparedness &amp; Response (“ASPR”), Office of Biomedical Advanced Research and Development (“BARDA”) (represented by Office of Acquisition Management, Contracts and Grants (AMCG)). </w:t>
      </w:r>
      <w:r>
        <w:rPr>
          <w:rFonts w:ascii="Arial" w:cs="Arial" w:eastAsia="Arial" w:hAnsi="Arial"/>
          <w:sz w:val="22"/>
          <w:szCs w:val="22"/>
          <w:b w:val="1"/>
          <w:bCs w:val="1"/>
          <w:color w:val="auto"/>
        </w:rPr>
        <w:t xml:space="preserve">Government Purpose: </w:t>
      </w:r>
      <w:r>
        <w:rPr>
          <w:rFonts w:ascii="Arial" w:cs="Arial" w:eastAsia="Arial" w:hAnsi="Arial"/>
          <w:sz w:val="22"/>
          <w:szCs w:val="22"/>
          <w:color w:val="auto"/>
        </w:rPr>
        <w:t>Any activity in which the United States Government is a party, including cooperative agreements with</w:t>
      </w:r>
      <w:r>
        <w:rPr>
          <w:rFonts w:ascii="Arial" w:cs="Arial" w:eastAsia="Arial" w:hAnsi="Arial"/>
          <w:sz w:val="22"/>
          <w:szCs w:val="22"/>
          <w:b w:val="1"/>
          <w:bCs w:val="1"/>
          <w:color w:val="auto"/>
        </w:rPr>
        <w:t xml:space="preserve"> </w:t>
      </w:r>
      <w:r>
        <w:rPr>
          <w:rFonts w:ascii="Arial" w:cs="Arial" w:eastAsia="Arial" w:hAnsi="Arial"/>
          <w:sz w:val="22"/>
          <w:szCs w:val="22"/>
          <w:color w:val="auto"/>
        </w:rPr>
        <w:t>international or multi-national defense organizations, or sales or transfers by the United States Government to foreign governments or international organizations. Government purposes include competitive procurement, but do not include the rights to use, modify, reproduce, release, perform, display, or disclose technical data for commercial purposes or authorize others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CONFIDENTIAL/PROPRIETARY</w:t>
      </w:r>
    </w:p>
    <w:p>
      <w:pPr>
        <w:sectPr>
          <w:pgSz w:w="11900" w:h="16838" w:orient="portrait"/>
          <w:cols w:equalWidth="0" w:num="1">
            <w:col w:w="11180"/>
          </w:cols>
          <w:pgMar w:left="320" w:top="855" w:right="399" w:bottom="1440" w:gutter="0" w:footer="0" w:header="0"/>
        </w:sectPr>
      </w:pPr>
    </w:p>
    <w:bookmarkStart w:id="258" w:name="page259"/>
    <w:bookmarkEnd w:id="258"/>
    <w:p>
      <w:pPr>
        <w:spacing w:after="0"/>
        <w:rPr>
          <w:sz w:val="20"/>
          <w:szCs w:val="20"/>
          <w:color w:val="auto"/>
        </w:rPr>
      </w:pPr>
      <w:r>
        <w:rPr>
          <w:rFonts w:ascii="Arial" w:cs="Arial" w:eastAsia="Arial" w:hAnsi="Arial"/>
          <w:sz w:val="22"/>
          <w:szCs w:val="22"/>
          <w:b w:val="1"/>
          <w:bCs w:val="1"/>
          <w:color w:val="auto"/>
        </w:rPr>
        <w:t xml:space="preserve">Government Purpose Rights: </w:t>
      </w:r>
      <w:r>
        <w:rPr>
          <w:rFonts w:ascii="Arial" w:cs="Arial" w:eastAsia="Arial" w:hAnsi="Arial"/>
          <w:sz w:val="22"/>
          <w:szCs w:val="22"/>
          <w:color w:val="auto"/>
        </w:rPr>
        <w:t>The rights by Government to—</w:t>
      </w:r>
    </w:p>
    <w:p>
      <w:pPr>
        <w:spacing w:after="0" w:line="27" w:lineRule="exact"/>
        <w:rPr>
          <w:sz w:val="20"/>
          <w:szCs w:val="20"/>
          <w:color w:val="auto"/>
        </w:rPr>
      </w:pPr>
    </w:p>
    <w:p>
      <w:pPr>
        <w:ind w:left="440" w:hanging="432"/>
        <w:spacing w:after="0"/>
        <w:tabs>
          <w:tab w:leader="none" w:pos="440" w:val="left"/>
        </w:tabs>
        <w:numPr>
          <w:ilvl w:val="0"/>
          <w:numId w:val="210"/>
        </w:numPr>
        <w:rPr>
          <w:rFonts w:ascii="Arial" w:cs="Arial" w:eastAsia="Arial" w:hAnsi="Arial"/>
          <w:sz w:val="19"/>
          <w:szCs w:val="19"/>
          <w:color w:val="auto"/>
        </w:rPr>
      </w:pPr>
      <w:r>
        <w:rPr>
          <w:rFonts w:ascii="Arial" w:cs="Arial" w:eastAsia="Arial" w:hAnsi="Arial"/>
          <w:sz w:val="19"/>
          <w:szCs w:val="19"/>
          <w:color w:val="auto"/>
        </w:rPr>
        <w:t>Use, modify, reproduce, release, perform, display, or disclose technical data within the Government without restriction; and</w:t>
      </w:r>
    </w:p>
    <w:p>
      <w:pPr>
        <w:spacing w:after="0" w:line="38" w:lineRule="exact"/>
        <w:rPr>
          <w:rFonts w:ascii="Arial" w:cs="Arial" w:eastAsia="Arial" w:hAnsi="Arial"/>
          <w:sz w:val="19"/>
          <w:szCs w:val="19"/>
          <w:color w:val="auto"/>
        </w:rPr>
      </w:pPr>
    </w:p>
    <w:p>
      <w:pPr>
        <w:ind w:right="300" w:firstLine="8"/>
        <w:spacing w:after="0" w:line="323" w:lineRule="auto"/>
        <w:tabs>
          <w:tab w:leader="none" w:pos="432" w:val="left"/>
        </w:tabs>
        <w:numPr>
          <w:ilvl w:val="0"/>
          <w:numId w:val="210"/>
        </w:numPr>
        <w:rPr>
          <w:rFonts w:ascii="Arial" w:cs="Arial" w:eastAsia="Arial" w:hAnsi="Arial"/>
          <w:sz w:val="19"/>
          <w:szCs w:val="19"/>
          <w:color w:val="auto"/>
        </w:rPr>
      </w:pPr>
      <w:r>
        <w:rPr>
          <w:rFonts w:ascii="Arial" w:cs="Arial" w:eastAsia="Arial" w:hAnsi="Arial"/>
          <w:sz w:val="19"/>
          <w:szCs w:val="19"/>
          <w:color w:val="auto"/>
        </w:rPr>
        <w:t>Release or disclose technical data outside the Government and authorize persons to whom release or disclosure has been made to use, modify, reproduce, release, perform, display, or disclose that data for United States Government Purpose.</w:t>
      </w:r>
    </w:p>
    <w:p>
      <w:pPr>
        <w:spacing w:after="0" w:line="144" w:lineRule="exact"/>
        <w:rPr>
          <w:sz w:val="20"/>
          <w:szCs w:val="20"/>
          <w:color w:val="auto"/>
        </w:rPr>
      </w:pPr>
    </w:p>
    <w:p>
      <w:pPr>
        <w:ind w:right="140"/>
        <w:spacing w:after="0" w:line="254" w:lineRule="auto"/>
        <w:rPr>
          <w:sz w:val="20"/>
          <w:szCs w:val="20"/>
          <w:color w:val="auto"/>
        </w:rPr>
      </w:pPr>
      <w:r>
        <w:rPr>
          <w:rFonts w:ascii="Arial" w:cs="Arial" w:eastAsia="Arial" w:hAnsi="Arial"/>
          <w:sz w:val="22"/>
          <w:szCs w:val="22"/>
          <w:b w:val="1"/>
          <w:bCs w:val="1"/>
          <w:color w:val="auto"/>
        </w:rPr>
        <w:t xml:space="preserve">Invention: </w:t>
      </w:r>
      <w:r>
        <w:rPr>
          <w:rFonts w:ascii="Arial" w:cs="Arial" w:eastAsia="Arial" w:hAnsi="Arial"/>
          <w:sz w:val="22"/>
          <w:szCs w:val="22"/>
          <w:color w:val="auto"/>
        </w:rPr>
        <w:t>Any invention or discovery that is or may be patentable or otherwise protectable under Title 35 of the United States</w:t>
      </w:r>
      <w:r>
        <w:rPr>
          <w:rFonts w:ascii="Arial" w:cs="Arial" w:eastAsia="Arial" w:hAnsi="Arial"/>
          <w:sz w:val="22"/>
          <w:szCs w:val="22"/>
          <w:b w:val="1"/>
          <w:bCs w:val="1"/>
          <w:color w:val="auto"/>
        </w:rPr>
        <w:t xml:space="preserve"> </w:t>
      </w:r>
      <w:r>
        <w:rPr>
          <w:rFonts w:ascii="Arial" w:cs="Arial" w:eastAsia="Arial" w:hAnsi="Arial"/>
          <w:sz w:val="22"/>
          <w:szCs w:val="22"/>
          <w:color w:val="auto"/>
        </w:rPr>
        <w:t>Code.</w:t>
      </w:r>
    </w:p>
    <w:p>
      <w:pPr>
        <w:spacing w:after="0" w:line="2" w:lineRule="exact"/>
        <w:rPr>
          <w:sz w:val="20"/>
          <w:szCs w:val="20"/>
          <w:color w:val="auto"/>
        </w:rPr>
      </w:pPr>
    </w:p>
    <w:p>
      <w:pPr>
        <w:ind w:right="40"/>
        <w:spacing w:after="0" w:line="281" w:lineRule="auto"/>
        <w:rPr>
          <w:sz w:val="20"/>
          <w:szCs w:val="20"/>
          <w:color w:val="auto"/>
        </w:rPr>
      </w:pPr>
      <w:r>
        <w:rPr>
          <w:rFonts w:ascii="Arial" w:cs="Arial" w:eastAsia="Arial" w:hAnsi="Arial"/>
          <w:sz w:val="19"/>
          <w:szCs w:val="19"/>
          <w:b w:val="1"/>
          <w:bCs w:val="1"/>
          <w:color w:val="auto"/>
        </w:rPr>
        <w:t xml:space="preserve">Limited Rights: </w:t>
      </w:r>
      <w:r>
        <w:rPr>
          <w:rFonts w:ascii="Arial" w:cs="Arial" w:eastAsia="Arial" w:hAnsi="Arial"/>
          <w:sz w:val="19"/>
          <w:szCs w:val="19"/>
          <w:color w:val="auto"/>
        </w:rPr>
        <w:t>The rights to use, modify, reproduce, perform, display, or disclose Data, in whole or in part, within the</w:t>
      </w:r>
      <w:r>
        <w:rPr>
          <w:rFonts w:ascii="Arial" w:cs="Arial" w:eastAsia="Arial" w:hAnsi="Arial"/>
          <w:sz w:val="19"/>
          <w:szCs w:val="19"/>
          <w:b w:val="1"/>
          <w:bCs w:val="1"/>
          <w:color w:val="auto"/>
        </w:rPr>
        <w:t xml:space="preserve"> </w:t>
      </w:r>
      <w:r>
        <w:rPr>
          <w:rFonts w:ascii="Arial" w:cs="Arial" w:eastAsia="Arial" w:hAnsi="Arial"/>
          <w:sz w:val="19"/>
          <w:szCs w:val="19"/>
          <w:color w:val="auto"/>
        </w:rPr>
        <w:t>Government solely for research purposes for the Field. Government will ensure that disclosed information is safeguarded in accordance with the restrictions of this Agreement. The Government may not, without the prior written permission of Recipient, release or disclose the Data outside the Government, use the Data for competitive procurement or manufacture, release or disclose the data for commercial purposes, or authorize the Data to be used by another party. The Parties shall maintain the confidentiality of all Data subject to or designated as falling within Limited Rights.</w:t>
      </w:r>
    </w:p>
    <w:p>
      <w:pPr>
        <w:spacing w:after="0" w:line="4" w:lineRule="exact"/>
        <w:rPr>
          <w:sz w:val="20"/>
          <w:szCs w:val="20"/>
          <w:color w:val="auto"/>
        </w:rPr>
      </w:pPr>
    </w:p>
    <w:p>
      <w:pPr>
        <w:ind w:right="140"/>
        <w:spacing w:after="0" w:line="243" w:lineRule="auto"/>
        <w:rPr>
          <w:sz w:val="20"/>
          <w:szCs w:val="20"/>
          <w:color w:val="auto"/>
        </w:rPr>
      </w:pPr>
      <w:r>
        <w:rPr>
          <w:rFonts w:ascii="Arial" w:cs="Arial" w:eastAsia="Arial" w:hAnsi="Arial"/>
          <w:sz w:val="22"/>
          <w:szCs w:val="22"/>
          <w:b w:val="1"/>
          <w:bCs w:val="1"/>
          <w:color w:val="auto"/>
        </w:rPr>
        <w:t xml:space="preserve">Limited Rights Data: </w:t>
      </w:r>
      <w:r>
        <w:rPr>
          <w:rFonts w:ascii="Arial" w:cs="Arial" w:eastAsia="Arial" w:hAnsi="Arial"/>
          <w:sz w:val="22"/>
          <w:szCs w:val="22"/>
          <w:color w:val="auto"/>
        </w:rPr>
        <w:t>Data, other than Computer Software, that embody trade secrets or are commercial or financial and</w:t>
      </w:r>
      <w:r>
        <w:rPr>
          <w:rFonts w:ascii="Arial" w:cs="Arial" w:eastAsia="Arial" w:hAnsi="Arial"/>
          <w:sz w:val="22"/>
          <w:szCs w:val="22"/>
          <w:b w:val="1"/>
          <w:bCs w:val="1"/>
          <w:color w:val="auto"/>
        </w:rPr>
        <w:t xml:space="preserve"> </w:t>
      </w:r>
      <w:r>
        <w:rPr>
          <w:rFonts w:ascii="Arial" w:cs="Arial" w:eastAsia="Arial" w:hAnsi="Arial"/>
          <w:sz w:val="22"/>
          <w:szCs w:val="22"/>
          <w:color w:val="auto"/>
        </w:rPr>
        <w:t>confidential or privileged, to the extent that such Data pertain to items, components, or processes developed at private expense, including minor modifications.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Made: </w:t>
      </w:r>
      <w:r>
        <w:rPr>
          <w:rFonts w:ascii="Arial" w:cs="Arial" w:eastAsia="Arial" w:hAnsi="Arial"/>
          <w:sz w:val="22"/>
          <w:szCs w:val="22"/>
          <w:color w:val="auto"/>
        </w:rPr>
        <w:t>The conception or first actual reduction to practice of the invention as defined in this Agreement.</w:t>
      </w:r>
    </w:p>
    <w:p>
      <w:pPr>
        <w:spacing w:after="0" w:line="4" w:lineRule="exact"/>
        <w:rPr>
          <w:sz w:val="20"/>
          <w:szCs w:val="20"/>
          <w:color w:val="auto"/>
        </w:rPr>
      </w:pPr>
    </w:p>
    <w:p>
      <w:pPr>
        <w:ind w:right="260"/>
        <w:spacing w:after="0" w:line="254" w:lineRule="auto"/>
        <w:rPr>
          <w:sz w:val="20"/>
          <w:szCs w:val="20"/>
          <w:color w:val="auto"/>
        </w:rPr>
      </w:pPr>
      <w:r>
        <w:rPr>
          <w:rFonts w:ascii="Arial" w:cs="Arial" w:eastAsia="Arial" w:hAnsi="Arial"/>
          <w:sz w:val="21"/>
          <w:szCs w:val="21"/>
          <w:b w:val="1"/>
          <w:bCs w:val="1"/>
          <w:color w:val="auto"/>
        </w:rPr>
        <w:t xml:space="preserve">Option: </w:t>
      </w:r>
      <w:r>
        <w:rPr>
          <w:rFonts w:ascii="Arial" w:cs="Arial" w:eastAsia="Arial" w:hAnsi="Arial"/>
          <w:sz w:val="21"/>
          <w:szCs w:val="21"/>
          <w:color w:val="auto"/>
        </w:rPr>
        <w:t>An option, entered into by bilateral agreement pursuant to a Statement of Work and budget, by which, for a specified</w:t>
      </w:r>
      <w:r>
        <w:rPr>
          <w:rFonts w:ascii="Arial" w:cs="Arial" w:eastAsia="Arial" w:hAnsi="Arial"/>
          <w:sz w:val="21"/>
          <w:szCs w:val="21"/>
          <w:b w:val="1"/>
          <w:bCs w:val="1"/>
          <w:color w:val="auto"/>
        </w:rPr>
        <w:t xml:space="preserve"> </w:t>
      </w:r>
      <w:r>
        <w:rPr>
          <w:rFonts w:ascii="Arial" w:cs="Arial" w:eastAsia="Arial" w:hAnsi="Arial"/>
          <w:sz w:val="21"/>
          <w:szCs w:val="21"/>
          <w:color w:val="auto"/>
        </w:rPr>
        <w:t>time, the Government may elect to purchase additional supplies or services called for by the Agreement.</w:t>
      </w:r>
    </w:p>
    <w:p>
      <w:pPr>
        <w:spacing w:after="0" w:line="2" w:lineRule="exact"/>
        <w:rPr>
          <w:sz w:val="20"/>
          <w:szCs w:val="20"/>
          <w:color w:val="auto"/>
        </w:rPr>
      </w:pPr>
    </w:p>
    <w:p>
      <w:pPr>
        <w:ind w:right="80"/>
        <w:spacing w:after="0" w:line="243" w:lineRule="auto"/>
        <w:rPr>
          <w:sz w:val="20"/>
          <w:szCs w:val="20"/>
          <w:color w:val="auto"/>
        </w:rPr>
      </w:pPr>
      <w:r>
        <w:rPr>
          <w:rFonts w:ascii="Arial" w:cs="Arial" w:eastAsia="Arial" w:hAnsi="Arial"/>
          <w:sz w:val="22"/>
          <w:szCs w:val="22"/>
          <w:b w:val="1"/>
          <w:bCs w:val="1"/>
          <w:color w:val="auto"/>
        </w:rPr>
        <w:t>Other Transaction Agreement Officer (“OTAO”</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Is the responsible Government official authorized to bind the Government</w:t>
      </w:r>
      <w:r>
        <w:rPr>
          <w:rFonts w:ascii="Arial" w:cs="Arial" w:eastAsia="Arial" w:hAnsi="Arial"/>
          <w:sz w:val="22"/>
          <w:szCs w:val="22"/>
          <w:b w:val="1"/>
          <w:bCs w:val="1"/>
          <w:color w:val="auto"/>
        </w:rPr>
        <w:t xml:space="preserve"> </w:t>
      </w:r>
      <w:r>
        <w:rPr>
          <w:rFonts w:ascii="Arial" w:cs="Arial" w:eastAsia="Arial" w:hAnsi="Arial"/>
          <w:sz w:val="22"/>
          <w:szCs w:val="22"/>
          <w:color w:val="auto"/>
        </w:rPr>
        <w:t>by signing this Agreement and bilateral modifications.</w:t>
      </w:r>
    </w:p>
    <w:p>
      <w:pPr>
        <w:spacing w:after="0" w:line="1" w:lineRule="exact"/>
        <w:rPr>
          <w:sz w:val="20"/>
          <w:szCs w:val="20"/>
          <w:color w:val="auto"/>
        </w:rPr>
      </w:pPr>
    </w:p>
    <w:p>
      <w:pPr>
        <w:ind w:right="40"/>
        <w:spacing w:after="0" w:line="243" w:lineRule="auto"/>
        <w:rPr>
          <w:sz w:val="20"/>
          <w:szCs w:val="20"/>
          <w:color w:val="auto"/>
        </w:rPr>
      </w:pPr>
      <w:r>
        <w:rPr>
          <w:rFonts w:ascii="Arial" w:cs="Arial" w:eastAsia="Arial" w:hAnsi="Arial"/>
          <w:sz w:val="22"/>
          <w:szCs w:val="22"/>
          <w:b w:val="1"/>
          <w:bCs w:val="1"/>
          <w:color w:val="auto"/>
        </w:rPr>
        <w:t xml:space="preserve">Other Transaction Agreement Specialist (“OTAS”): </w:t>
      </w:r>
      <w:r>
        <w:rPr>
          <w:rFonts w:ascii="Arial" w:cs="Arial" w:eastAsia="Arial" w:hAnsi="Arial"/>
          <w:sz w:val="22"/>
          <w:szCs w:val="22"/>
          <w:color w:val="auto"/>
        </w:rPr>
        <w:t>Is a supporting official that assists and represents the OTAO. The OTAO</w:t>
      </w:r>
      <w:r>
        <w:rPr>
          <w:rFonts w:ascii="Arial" w:cs="Arial" w:eastAsia="Arial" w:hAnsi="Arial"/>
          <w:sz w:val="22"/>
          <w:szCs w:val="22"/>
          <w:b w:val="1"/>
          <w:bCs w:val="1"/>
          <w:color w:val="auto"/>
        </w:rPr>
        <w:t xml:space="preserve"> </w:t>
      </w:r>
      <w:r>
        <w:rPr>
          <w:rFonts w:ascii="Arial" w:cs="Arial" w:eastAsia="Arial" w:hAnsi="Arial"/>
          <w:sz w:val="22"/>
          <w:szCs w:val="22"/>
          <w:color w:val="auto"/>
        </w:rPr>
        <w:t>is the only official who can bind the Government.</w:t>
      </w:r>
    </w:p>
    <w:p>
      <w:pPr>
        <w:spacing w:after="0" w:line="1" w:lineRule="exact"/>
        <w:rPr>
          <w:sz w:val="20"/>
          <w:szCs w:val="20"/>
          <w:color w:val="auto"/>
        </w:rPr>
      </w:pPr>
    </w:p>
    <w:p>
      <w:pPr>
        <w:ind w:right="420"/>
        <w:spacing w:after="0" w:line="243" w:lineRule="auto"/>
        <w:rPr>
          <w:sz w:val="20"/>
          <w:szCs w:val="20"/>
          <w:color w:val="auto"/>
        </w:rPr>
      </w:pPr>
      <w:r>
        <w:rPr>
          <w:rFonts w:ascii="Arial" w:cs="Arial" w:eastAsia="Arial" w:hAnsi="Arial"/>
          <w:sz w:val="22"/>
          <w:szCs w:val="22"/>
          <w:b w:val="1"/>
          <w:bCs w:val="1"/>
          <w:color w:val="auto"/>
        </w:rPr>
        <w:t>Other Transaction Agreement Technical Representative (“OTTR”</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Is the primary Government official for all technical</w:t>
      </w:r>
      <w:r>
        <w:rPr>
          <w:rFonts w:ascii="Arial" w:cs="Arial" w:eastAsia="Arial" w:hAnsi="Arial"/>
          <w:sz w:val="22"/>
          <w:szCs w:val="22"/>
          <w:b w:val="1"/>
          <w:bCs w:val="1"/>
          <w:color w:val="auto"/>
        </w:rPr>
        <w:t xml:space="preserve"> </w:t>
      </w:r>
      <w:r>
        <w:rPr>
          <w:rFonts w:ascii="Arial" w:cs="Arial" w:eastAsia="Arial" w:hAnsi="Arial"/>
          <w:sz w:val="22"/>
          <w:szCs w:val="22"/>
          <w:color w:val="auto"/>
        </w:rPr>
        <w:t>matters on the Agreement.</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21"/>
          <w:szCs w:val="21"/>
          <w:b w:val="1"/>
          <w:bCs w:val="1"/>
          <w:color w:val="auto"/>
        </w:rPr>
        <w:t xml:space="preserve">Practical Application: </w:t>
      </w:r>
      <w:r>
        <w:rPr>
          <w:rFonts w:ascii="Arial" w:cs="Arial" w:eastAsia="Arial" w:hAnsi="Arial"/>
          <w:sz w:val="21"/>
          <w:szCs w:val="21"/>
          <w:color w:val="auto"/>
        </w:rPr>
        <w:t>With respect to a Subject Invention, to manufacture, in the case of a composition or product; to practice,</w:t>
      </w:r>
      <w:r>
        <w:rPr>
          <w:rFonts w:ascii="Arial" w:cs="Arial" w:eastAsia="Arial" w:hAnsi="Arial"/>
          <w:sz w:val="21"/>
          <w:szCs w:val="21"/>
          <w:b w:val="1"/>
          <w:bCs w:val="1"/>
          <w:color w:val="auto"/>
        </w:rPr>
        <w:t xml:space="preserve"> </w:t>
      </w:r>
      <w:r>
        <w:rPr>
          <w:rFonts w:ascii="Arial" w:cs="Arial" w:eastAsia="Arial" w:hAnsi="Arial"/>
          <w:sz w:val="21"/>
          <w:szCs w:val="21"/>
          <w:color w:val="auto"/>
        </w:rPr>
        <w:t>in the case of a process or method; or to operate, in the case of a machine or system; and, in each case, under such conditions as to establish that the Subject Invention is capable of being utilized and that its benefits are, to the extent permitted by law or Government regulations, available to the public for a regulatory approved product.</w:t>
      </w:r>
    </w:p>
    <w:p>
      <w:pPr>
        <w:spacing w:after="0" w:line="4" w:lineRule="exact"/>
        <w:rPr>
          <w:sz w:val="20"/>
          <w:szCs w:val="20"/>
          <w:color w:val="auto"/>
        </w:rPr>
      </w:pPr>
    </w:p>
    <w:p>
      <w:pPr>
        <w:ind w:right="40"/>
        <w:spacing w:after="0" w:line="243" w:lineRule="auto"/>
        <w:rPr>
          <w:sz w:val="20"/>
          <w:szCs w:val="20"/>
          <w:color w:val="auto"/>
        </w:rPr>
      </w:pPr>
      <w:r>
        <w:rPr>
          <w:rFonts w:ascii="Arial" w:cs="Arial" w:eastAsia="Arial" w:hAnsi="Arial"/>
          <w:sz w:val="22"/>
          <w:szCs w:val="22"/>
          <w:b w:val="1"/>
          <w:bCs w:val="1"/>
          <w:color w:val="auto"/>
        </w:rPr>
        <w:t xml:space="preserve">Subject Invention: </w:t>
      </w:r>
      <w:r>
        <w:rPr>
          <w:rFonts w:ascii="Arial" w:cs="Arial" w:eastAsia="Arial" w:hAnsi="Arial"/>
          <w:sz w:val="22"/>
          <w:szCs w:val="22"/>
          <w:color w:val="auto"/>
        </w:rPr>
        <w:t>Any Invention Made in the performance of work under this Agreement within the Field for which Recipient</w:t>
      </w:r>
      <w:r>
        <w:rPr>
          <w:rFonts w:ascii="Arial" w:cs="Arial" w:eastAsia="Arial" w:hAnsi="Arial"/>
          <w:sz w:val="22"/>
          <w:szCs w:val="22"/>
          <w:b w:val="1"/>
          <w:bCs w:val="1"/>
          <w:color w:val="auto"/>
        </w:rPr>
        <w:t xml:space="preserve"> </w:t>
      </w:r>
      <w:r>
        <w:rPr>
          <w:rFonts w:ascii="Arial" w:cs="Arial" w:eastAsia="Arial" w:hAnsi="Arial"/>
          <w:sz w:val="22"/>
          <w:szCs w:val="22"/>
          <w:color w:val="auto"/>
        </w:rPr>
        <w:t>pursues a patent.</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21"/>
          <w:szCs w:val="21"/>
          <w:b w:val="1"/>
          <w:bCs w:val="1"/>
          <w:color w:val="auto"/>
        </w:rPr>
        <w:t xml:space="preserve">Sub-Recipient: </w:t>
      </w:r>
      <w:r>
        <w:rPr>
          <w:rFonts w:ascii="Arial" w:cs="Arial" w:eastAsia="Arial" w:hAnsi="Arial"/>
          <w:sz w:val="21"/>
          <w:szCs w:val="21"/>
          <w:color w:val="auto"/>
        </w:rPr>
        <w:t>Akin to a subcontractor. Any supplier, distributor, vendor, or firm that furnishes supplies or services to or for the</w:t>
      </w:r>
      <w:r>
        <w:rPr>
          <w:rFonts w:ascii="Arial" w:cs="Arial" w:eastAsia="Arial" w:hAnsi="Arial"/>
          <w:sz w:val="21"/>
          <w:szCs w:val="21"/>
          <w:b w:val="1"/>
          <w:bCs w:val="1"/>
          <w:color w:val="auto"/>
        </w:rPr>
        <w:t xml:space="preserve"> </w:t>
      </w:r>
      <w:r>
        <w:rPr>
          <w:rFonts w:ascii="Arial" w:cs="Arial" w:eastAsia="Arial" w:hAnsi="Arial"/>
          <w:sz w:val="21"/>
          <w:szCs w:val="21"/>
          <w:color w:val="auto"/>
        </w:rPr>
        <w:t>Recipient, an Affiliate, or a Sub-Recipient. A Sub-Recipient differs from an Affiliate in that Sub-Recipients are not listed as an Affiliate in Attachment 3 and may be used to execute tasks under the SOW by Recipient or Affiliate.</w:t>
      </w:r>
    </w:p>
    <w:p>
      <w:pPr>
        <w:spacing w:after="0" w:line="3" w:lineRule="exact"/>
        <w:rPr>
          <w:sz w:val="20"/>
          <w:szCs w:val="20"/>
          <w:color w:val="auto"/>
        </w:rPr>
      </w:pPr>
    </w:p>
    <w:p>
      <w:pPr>
        <w:ind w:right="40"/>
        <w:spacing w:after="0" w:line="316" w:lineRule="auto"/>
        <w:rPr>
          <w:sz w:val="20"/>
          <w:szCs w:val="20"/>
          <w:color w:val="auto"/>
        </w:rPr>
      </w:pPr>
      <w:r>
        <w:rPr>
          <w:rFonts w:ascii="Arial" w:cs="Arial" w:eastAsia="Arial" w:hAnsi="Arial"/>
          <w:sz w:val="19"/>
          <w:szCs w:val="19"/>
          <w:b w:val="1"/>
          <w:bCs w:val="1"/>
          <w:color w:val="auto"/>
        </w:rPr>
        <w:t xml:space="preserve">Sub-Recipient Agreement: </w:t>
      </w:r>
      <w:r>
        <w:rPr>
          <w:rFonts w:ascii="Arial" w:cs="Arial" w:eastAsia="Arial" w:hAnsi="Arial"/>
          <w:sz w:val="19"/>
          <w:szCs w:val="19"/>
          <w:color w:val="auto"/>
        </w:rPr>
        <w:t>Any contract entered into by a Sub-Recipient to furnish supplies or services for performance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This term describes an agreement with a 1</w:t>
      </w:r>
      <w:r>
        <w:rPr>
          <w:rFonts w:ascii="Arial" w:cs="Arial" w:eastAsia="Arial" w:hAnsi="Arial"/>
          <w:sz w:val="25"/>
          <w:szCs w:val="25"/>
          <w:color w:val="auto"/>
          <w:vertAlign w:val="superscript"/>
        </w:rPr>
        <w:t>st</w:t>
      </w:r>
      <w:r>
        <w:rPr>
          <w:rFonts w:ascii="Arial" w:cs="Arial" w:eastAsia="Arial" w:hAnsi="Arial"/>
          <w:sz w:val="19"/>
          <w:szCs w:val="19"/>
          <w:color w:val="auto"/>
        </w:rPr>
        <w:t>-Tier Sub-Recipient, except as expressly noted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CONFIDENTIAL/PROPRIETARY</w:t>
      </w:r>
    </w:p>
    <w:p>
      <w:pPr>
        <w:sectPr>
          <w:pgSz w:w="11900" w:h="16838" w:orient="portrait"/>
          <w:cols w:equalWidth="0" w:num="1">
            <w:col w:w="11140"/>
          </w:cols>
          <w:pgMar w:left="320" w:top="855" w:right="439" w:bottom="1440" w:gutter="0" w:footer="0" w:header="0"/>
        </w:sectPr>
      </w:pPr>
    </w:p>
    <w:bookmarkStart w:id="259" w:name="page260"/>
    <w:bookmarkEnd w:id="259"/>
    <w:p>
      <w:pPr>
        <w:jc w:val="right"/>
        <w:spacing w:after="0"/>
        <w:rPr>
          <w:sz w:val="20"/>
          <w:szCs w:val="20"/>
          <w:color w:val="auto"/>
        </w:rPr>
      </w:pPr>
      <w:r>
        <w:rPr>
          <w:rFonts w:ascii="Arial" w:cs="Arial" w:eastAsia="Arial" w:hAnsi="Arial"/>
          <w:sz w:val="18"/>
          <w:szCs w:val="18"/>
          <w:color w:val="auto"/>
        </w:rPr>
        <w:t>Exhibit 21.1</w:t>
      </w:r>
    </w:p>
    <w:p>
      <w:pPr>
        <w:spacing w:after="0" w:line="329"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SUBSIDIARIES OF REGENERON PHARMACEUTICALS, INC.</w:t>
      </w:r>
    </w:p>
    <w:p>
      <w:pPr>
        <w:spacing w:after="0" w:line="374"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1620" w:type="dxa"/>
            <w:vAlign w:val="bottom"/>
            <w:vMerge w:val="restart"/>
          </w:tcPr>
          <w:p>
            <w:pPr>
              <w:spacing w:after="0"/>
              <w:rPr>
                <w:sz w:val="20"/>
                <w:szCs w:val="20"/>
                <w:color w:val="auto"/>
              </w:rPr>
            </w:pPr>
            <w:r>
              <w:rPr>
                <w:rFonts w:ascii="Arial" w:cs="Arial" w:eastAsia="Arial" w:hAnsi="Arial"/>
                <w:sz w:val="18"/>
                <w:szCs w:val="18"/>
                <w:b w:val="1"/>
                <w:bCs w:val="1"/>
                <w:color w:val="auto"/>
                <w:w w:val="91"/>
              </w:rPr>
              <w:t>Name of Subsidiary*</w:t>
            </w:r>
          </w:p>
        </w:tc>
        <w:tc>
          <w:tcPr>
            <w:tcW w:w="3380" w:type="dxa"/>
            <w:vAlign w:val="bottom"/>
            <w:vMerge w:val="restart"/>
          </w:tcPr>
          <w:p>
            <w:pPr>
              <w:spacing w:after="0"/>
              <w:rPr>
                <w:sz w:val="17"/>
                <w:szCs w:val="17"/>
                <w:color w:val="auto"/>
              </w:rPr>
            </w:pPr>
          </w:p>
        </w:tc>
        <w:tc>
          <w:tcPr>
            <w:tcW w:w="2360" w:type="dxa"/>
            <w:vAlign w:val="bottom"/>
            <w:gridSpan w:val="2"/>
          </w:tcPr>
          <w:p>
            <w:pPr>
              <w:spacing w:after="0"/>
              <w:rPr>
                <w:sz w:val="20"/>
                <w:szCs w:val="20"/>
                <w:color w:val="auto"/>
              </w:rPr>
            </w:pPr>
            <w:r>
              <w:rPr>
                <w:rFonts w:ascii="Arial" w:cs="Arial" w:eastAsia="Arial" w:hAnsi="Arial"/>
                <w:sz w:val="18"/>
                <w:szCs w:val="18"/>
                <w:b w:val="1"/>
                <w:bCs w:val="1"/>
                <w:color w:val="auto"/>
                <w:w w:val="93"/>
              </w:rPr>
              <w:t>State or Other Jurisdiction of</w:t>
            </w:r>
          </w:p>
        </w:tc>
        <w:tc>
          <w:tcPr>
            <w:tcW w:w="0" w:type="dxa"/>
            <w:vAlign w:val="bottom"/>
          </w:tcPr>
          <w:p>
            <w:pPr>
              <w:spacing w:after="0"/>
              <w:rPr>
                <w:sz w:val="1"/>
                <w:szCs w:val="1"/>
                <w:color w:val="auto"/>
              </w:rPr>
            </w:pPr>
          </w:p>
        </w:tc>
      </w:tr>
      <w:tr>
        <w:trPr>
          <w:trHeight w:val="155"/>
        </w:trPr>
        <w:tc>
          <w:tcPr>
            <w:tcW w:w="1620" w:type="dxa"/>
            <w:vAlign w:val="bottom"/>
            <w:tcBorders>
              <w:bottom w:val="single" w:sz="8" w:color="auto"/>
            </w:tcBorders>
            <w:vMerge w:val="continue"/>
          </w:tcPr>
          <w:p>
            <w:pPr>
              <w:spacing w:after="0"/>
              <w:rPr>
                <w:sz w:val="13"/>
                <w:szCs w:val="13"/>
                <w:color w:val="auto"/>
              </w:rPr>
            </w:pPr>
          </w:p>
        </w:tc>
        <w:tc>
          <w:tcPr>
            <w:tcW w:w="3380" w:type="dxa"/>
            <w:vAlign w:val="bottom"/>
            <w:vMerge w:val="continue"/>
          </w:tcPr>
          <w:p>
            <w:pPr>
              <w:spacing w:after="0"/>
              <w:rPr>
                <w:sz w:val="13"/>
                <w:szCs w:val="13"/>
                <w:color w:val="auto"/>
              </w:rPr>
            </w:pPr>
          </w:p>
        </w:tc>
        <w:tc>
          <w:tcPr>
            <w:tcW w:w="2260" w:type="dxa"/>
            <w:vAlign w:val="bottom"/>
            <w:tcBorders>
              <w:top w:val="single" w:sz="8" w:color="auto"/>
              <w:bottom w:val="single" w:sz="8" w:color="auto"/>
            </w:tcBorders>
          </w:tcPr>
          <w:p>
            <w:pPr>
              <w:spacing w:after="0" w:line="156" w:lineRule="exact"/>
              <w:rPr>
                <w:sz w:val="20"/>
                <w:szCs w:val="20"/>
                <w:color w:val="auto"/>
              </w:rPr>
            </w:pPr>
            <w:r>
              <w:rPr>
                <w:rFonts w:ascii="Arial" w:cs="Arial" w:eastAsia="Arial" w:hAnsi="Arial"/>
                <w:sz w:val="18"/>
                <w:szCs w:val="18"/>
                <w:b w:val="1"/>
                <w:bCs w:val="1"/>
                <w:color w:val="auto"/>
                <w:w w:val="88"/>
              </w:rPr>
              <w:t>Incorporation or Organization</w:t>
            </w:r>
          </w:p>
        </w:tc>
        <w:tc>
          <w:tcPr>
            <w:tcW w:w="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5000" w:type="dxa"/>
            <w:vAlign w:val="bottom"/>
            <w:gridSpan w:val="2"/>
          </w:tcPr>
          <w:p>
            <w:pPr>
              <w:spacing w:after="0"/>
              <w:rPr>
                <w:sz w:val="20"/>
                <w:szCs w:val="20"/>
                <w:color w:val="auto"/>
              </w:rPr>
            </w:pPr>
            <w:r>
              <w:rPr>
                <w:rFonts w:ascii="Arial" w:cs="Arial" w:eastAsia="Arial" w:hAnsi="Arial"/>
                <w:sz w:val="18"/>
                <w:szCs w:val="18"/>
                <w:color w:val="auto"/>
              </w:rPr>
              <w:t>Loop Road Holdings LLC</w:t>
            </w:r>
          </w:p>
        </w:tc>
        <w:tc>
          <w:tcPr>
            <w:tcW w:w="2360" w:type="dxa"/>
            <w:vAlign w:val="bottom"/>
            <w:gridSpan w:val="2"/>
          </w:tcPr>
          <w:p>
            <w:pPr>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Old Saw Mill Holdings LLC</w:t>
            </w:r>
          </w:p>
        </w:tc>
        <w:tc>
          <w:tcPr>
            <w:tcW w:w="2360" w:type="dxa"/>
            <w:vAlign w:val="bottom"/>
            <w:gridSpan w:val="2"/>
          </w:tcPr>
          <w:p>
            <w:pPr>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Arial" w:cs="Arial" w:eastAsia="Arial" w:hAnsi="Arial"/>
                <w:sz w:val="18"/>
                <w:szCs w:val="18"/>
                <w:color w:val="auto"/>
              </w:rPr>
              <w:t>OSMR Holdings</w:t>
            </w:r>
          </w:p>
        </w:tc>
        <w:tc>
          <w:tcPr>
            <w:tcW w:w="2360" w:type="dxa"/>
            <w:vAlign w:val="bottom"/>
            <w:gridSpan w:val="2"/>
          </w:tcPr>
          <w:p>
            <w:pPr>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Arial" w:cs="Arial" w:eastAsia="Arial" w:hAnsi="Arial"/>
                <w:sz w:val="18"/>
                <w:szCs w:val="18"/>
                <w:color w:val="auto"/>
              </w:rPr>
              <w:t>OSMR International</w:t>
            </w:r>
          </w:p>
        </w:tc>
        <w:tc>
          <w:tcPr>
            <w:tcW w:w="2360" w:type="dxa"/>
            <w:vAlign w:val="bottom"/>
            <w:gridSpan w:val="2"/>
          </w:tcPr>
          <w:p>
            <w:pPr>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Regeneron Assurance, Inc.</w:t>
            </w:r>
          </w:p>
        </w:tc>
        <w:tc>
          <w:tcPr>
            <w:tcW w:w="2360" w:type="dxa"/>
            <w:vAlign w:val="bottom"/>
            <w:gridSpan w:val="2"/>
          </w:tcPr>
          <w:p>
            <w:pPr>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Arial" w:cs="Arial" w:eastAsia="Arial" w:hAnsi="Arial"/>
                <w:sz w:val="18"/>
                <w:szCs w:val="18"/>
                <w:color w:val="auto"/>
              </w:rPr>
              <w:t>Regeneron Atlantic Holdings</w:t>
            </w:r>
          </w:p>
        </w:tc>
        <w:tc>
          <w:tcPr>
            <w:tcW w:w="2360" w:type="dxa"/>
            <w:vAlign w:val="bottom"/>
            <w:gridSpan w:val="2"/>
          </w:tcPr>
          <w:p>
            <w:pPr>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Regeneron Belgium BV</w:t>
            </w:r>
          </w:p>
        </w:tc>
        <w:tc>
          <w:tcPr>
            <w:tcW w:w="2360" w:type="dxa"/>
            <w:vAlign w:val="bottom"/>
            <w:gridSpan w:val="2"/>
          </w:tcPr>
          <w:p>
            <w:pPr>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Arial" w:cs="Arial" w:eastAsia="Arial" w:hAnsi="Arial"/>
                <w:sz w:val="18"/>
                <w:szCs w:val="18"/>
                <w:color w:val="auto"/>
              </w:rPr>
              <w:t>Regeneron Canada Company</w:t>
            </w:r>
          </w:p>
        </w:tc>
        <w:tc>
          <w:tcPr>
            <w:tcW w:w="2360" w:type="dxa"/>
            <w:vAlign w:val="bottom"/>
            <w:gridSpan w:val="2"/>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Arial" w:cs="Arial" w:eastAsia="Arial" w:hAnsi="Arial"/>
                <w:sz w:val="18"/>
                <w:szCs w:val="18"/>
                <w:color w:val="auto"/>
              </w:rPr>
              <w:t>Regeneron Capital International B.V.</w:t>
            </w:r>
          </w:p>
        </w:tc>
        <w:tc>
          <w:tcPr>
            <w:tcW w:w="2360" w:type="dxa"/>
            <w:vAlign w:val="bottom"/>
            <w:gridSpan w:val="2"/>
          </w:tcPr>
          <w:p>
            <w:pPr>
              <w:spacing w:after="0"/>
              <w:rPr>
                <w:sz w:val="20"/>
                <w:szCs w:val="20"/>
                <w:color w:val="auto"/>
              </w:rPr>
            </w:pPr>
            <w:r>
              <w:rPr>
                <w:rFonts w:ascii="Arial" w:cs="Arial" w:eastAsia="Arial" w:hAnsi="Arial"/>
                <w:sz w:val="18"/>
                <w:szCs w:val="18"/>
                <w:color w:val="auto"/>
              </w:rPr>
              <w:t>The Netherlands</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Regeneron Genetics Center LLC</w:t>
            </w:r>
          </w:p>
        </w:tc>
        <w:tc>
          <w:tcPr>
            <w:tcW w:w="236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Arial" w:cs="Arial" w:eastAsia="Arial" w:hAnsi="Arial"/>
                <w:sz w:val="18"/>
                <w:szCs w:val="18"/>
                <w:color w:val="auto"/>
              </w:rPr>
              <w:t>Regeneron GmbH</w:t>
            </w:r>
          </w:p>
        </w:tc>
        <w:tc>
          <w:tcPr>
            <w:tcW w:w="236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Arial" w:cs="Arial" w:eastAsia="Arial" w:hAnsi="Arial"/>
                <w:sz w:val="18"/>
                <w:szCs w:val="18"/>
                <w:color w:val="auto"/>
              </w:rPr>
              <w:t>Regeneron Healthcare Solutions, Inc.</w:t>
            </w:r>
          </w:p>
        </w:tc>
        <w:tc>
          <w:tcPr>
            <w:tcW w:w="2360" w:type="dxa"/>
            <w:vAlign w:val="bottom"/>
            <w:gridSpan w:val="2"/>
          </w:tcPr>
          <w:p>
            <w:pPr>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Regeneron International Holdings LLC</w:t>
            </w:r>
          </w:p>
        </w:tc>
        <w:tc>
          <w:tcPr>
            <w:tcW w:w="236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Arial" w:cs="Arial" w:eastAsia="Arial" w:hAnsi="Arial"/>
                <w:sz w:val="18"/>
                <w:szCs w:val="18"/>
                <w:color w:val="auto"/>
              </w:rPr>
              <w:t>Regeneron International Limited</w:t>
            </w:r>
          </w:p>
        </w:tc>
        <w:tc>
          <w:tcPr>
            <w:tcW w:w="2360" w:type="dxa"/>
            <w:vAlign w:val="bottom"/>
            <w:gridSpan w:val="2"/>
          </w:tcPr>
          <w:p>
            <w:pPr>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Regeneron Ireland Holdings Unlimited Company</w:t>
            </w:r>
          </w:p>
        </w:tc>
        <w:tc>
          <w:tcPr>
            <w:tcW w:w="2360" w:type="dxa"/>
            <w:vAlign w:val="bottom"/>
            <w:gridSpan w:val="2"/>
          </w:tcPr>
          <w:p>
            <w:pPr>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Arial" w:cs="Arial" w:eastAsia="Arial" w:hAnsi="Arial"/>
                <w:sz w:val="18"/>
                <w:szCs w:val="18"/>
                <w:color w:val="auto"/>
              </w:rPr>
              <w:t>Regeneron Ireland Designated Activity Company</w:t>
            </w:r>
          </w:p>
        </w:tc>
        <w:tc>
          <w:tcPr>
            <w:tcW w:w="2360" w:type="dxa"/>
            <w:vAlign w:val="bottom"/>
            <w:gridSpan w:val="2"/>
          </w:tcPr>
          <w:p>
            <w:pPr>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Arial" w:cs="Arial" w:eastAsia="Arial" w:hAnsi="Arial"/>
                <w:sz w:val="18"/>
                <w:szCs w:val="18"/>
                <w:color w:val="auto"/>
              </w:rPr>
              <w:t>Regeneron NL B.V.</w:t>
            </w:r>
          </w:p>
        </w:tc>
        <w:tc>
          <w:tcPr>
            <w:tcW w:w="2360" w:type="dxa"/>
            <w:vAlign w:val="bottom"/>
            <w:gridSpan w:val="2"/>
          </w:tcPr>
          <w:p>
            <w:pPr>
              <w:spacing w:after="0"/>
              <w:rPr>
                <w:sz w:val="20"/>
                <w:szCs w:val="20"/>
                <w:color w:val="auto"/>
              </w:rPr>
            </w:pPr>
            <w:r>
              <w:rPr>
                <w:rFonts w:ascii="Arial" w:cs="Arial" w:eastAsia="Arial" w:hAnsi="Arial"/>
                <w:sz w:val="18"/>
                <w:szCs w:val="18"/>
                <w:color w:val="auto"/>
              </w:rPr>
              <w:t>The Netherlands</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Regeneron Spain, S.L.U.</w:t>
            </w:r>
          </w:p>
        </w:tc>
        <w:tc>
          <w:tcPr>
            <w:tcW w:w="2360" w:type="dxa"/>
            <w:vAlign w:val="bottom"/>
            <w:gridSpan w:val="2"/>
          </w:tcPr>
          <w:p>
            <w:pPr>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Regeneron UK Limited</w:t>
            </w:r>
          </w:p>
        </w:tc>
        <w:tc>
          <w:tcPr>
            <w:tcW w:w="236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Rockwood Road Holdings LLC</w:t>
            </w:r>
          </w:p>
        </w:tc>
        <w:tc>
          <w:tcPr>
            <w:tcW w:w="2360" w:type="dxa"/>
            <w:vAlign w:val="bottom"/>
            <w:gridSpan w:val="2"/>
          </w:tcPr>
          <w:p>
            <w:pPr>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_____________</w:t>
            </w:r>
          </w:p>
        </w:tc>
        <w:tc>
          <w:tcPr>
            <w:tcW w:w="33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40"/>
        <w:spacing w:after="0"/>
        <w:rPr>
          <w:sz w:val="20"/>
          <w:szCs w:val="20"/>
          <w:color w:val="auto"/>
        </w:rPr>
      </w:pPr>
      <w:r>
        <w:rPr>
          <w:rFonts w:ascii="Arial" w:cs="Arial" w:eastAsia="Arial" w:hAnsi="Arial"/>
          <w:sz w:val="18"/>
          <w:szCs w:val="18"/>
          <w:color w:val="auto"/>
        </w:rPr>
        <w:t>* Directly or indirectly wholly owned by Regeneron Pharmaceuticals, Inc.</w:t>
      </w:r>
    </w:p>
    <w:p>
      <w:pPr>
        <w:sectPr>
          <w:pgSz w:w="11900" w:h="16838" w:orient="portrait"/>
          <w:cols w:equalWidth="0" w:num="1">
            <w:col w:w="10120"/>
          </w:cols>
          <w:pgMar w:left="1440" w:top="989" w:right="339" w:bottom="1440" w:gutter="0" w:footer="0" w:header="0"/>
        </w:sectPr>
      </w:pPr>
    </w:p>
    <w:bookmarkStart w:id="260" w:name="page261"/>
    <w:bookmarkEnd w:id="260"/>
    <w:p>
      <w:pPr>
        <w:jc w:val="right"/>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We hereby consent to the incorporation by reference in the Registration Statements on Form S-3 (No. 333-228352) and S</w:t>
      </w:r>
      <w:r>
        <w:rPr>
          <w:rFonts w:ascii="MS PGothic" w:cs="MS PGothic" w:eastAsia="MS PGothic" w:hAnsi="MS PGothic"/>
          <w:sz w:val="18"/>
          <w:szCs w:val="18"/>
          <w:color w:val="auto"/>
        </w:rPr>
        <w:t>‑</w:t>
      </w:r>
      <w:r>
        <w:rPr>
          <w:rFonts w:ascii="Arial" w:cs="Arial" w:eastAsia="Arial" w:hAnsi="Arial"/>
          <w:sz w:val="18"/>
          <w:szCs w:val="18"/>
          <w:color w:val="auto"/>
        </w:rPr>
        <w:t>8 (Nos. 333-61132, 333-97375, 333-119257, 333-151941, 333-169569, 333-174863, 333-196799, 333-198794, 333-218669, and 333-239209) of Regeneron Pharmaceuticals, Inc., of our report dated February 8, 2021 relating to the financial statements and the effectiveness of internal control over financial reporting,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8, 2021</w:t>
      </w:r>
    </w:p>
    <w:p>
      <w:pPr>
        <w:sectPr>
          <w:pgSz w:w="11900" w:h="16838" w:orient="portrait"/>
          <w:cols w:equalWidth="0" w:num="1">
            <w:col w:w="11240"/>
          </w:cols>
          <w:pgMar w:left="320" w:top="895" w:right="339" w:bottom="1440" w:gutter="0" w:footer="0" w:header="0"/>
        </w:sectPr>
      </w:pPr>
    </w:p>
    <w:bookmarkStart w:id="261" w:name="page262"/>
    <w:bookmarkEnd w:id="261"/>
    <w:p>
      <w:pPr>
        <w:jc w:val="right"/>
        <w:spacing w:after="0"/>
        <w:rPr>
          <w:sz w:val="20"/>
          <w:szCs w:val="20"/>
          <w:color w:val="auto"/>
        </w:rPr>
      </w:pPr>
      <w:r>
        <w:rPr>
          <w:rFonts w:ascii="Arial" w:cs="Arial" w:eastAsia="Arial" w:hAnsi="Arial"/>
          <w:sz w:val="18"/>
          <w:szCs w:val="18"/>
          <w:color w:val="auto"/>
        </w:rPr>
        <w:t>Exhibit 31.1</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104" w:lineRule="exact"/>
        <w:rPr>
          <w:sz w:val="20"/>
          <w:szCs w:val="20"/>
          <w:color w:val="auto"/>
        </w:rPr>
      </w:pPr>
    </w:p>
    <w:p>
      <w:pPr>
        <w:ind w:left="340" w:hanging="332"/>
        <w:spacing w:after="0"/>
        <w:tabs>
          <w:tab w:leader="none" w:pos="3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Regeneron Pharmaceuticals, Inc.;</w:t>
      </w:r>
    </w:p>
    <w:p>
      <w:pPr>
        <w:spacing w:after="0" w:line="90"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980" w:right="60" w:hanging="324"/>
        <w:spacing w:after="0" w:line="263" w:lineRule="auto"/>
        <w:tabs>
          <w:tab w:leader="none" w:pos="971" w:val="left"/>
        </w:tabs>
        <w:numPr>
          <w:ilvl w:val="1"/>
          <w:numId w:val="2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980" w:right="360" w:hanging="324"/>
        <w:spacing w:after="0" w:line="263" w:lineRule="auto"/>
        <w:tabs>
          <w:tab w:leader="none" w:pos="968" w:val="left"/>
        </w:tabs>
        <w:numPr>
          <w:ilvl w:val="1"/>
          <w:numId w:val="2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980" w:right="540" w:hanging="324"/>
        <w:spacing w:after="0" w:line="334" w:lineRule="auto"/>
        <w:tabs>
          <w:tab w:leader="none" w:pos="971" w:val="left"/>
        </w:tabs>
        <w:numPr>
          <w:ilvl w:val="1"/>
          <w:numId w:val="2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80" w:right="100" w:hanging="324"/>
        <w:spacing w:after="0" w:line="263" w:lineRule="auto"/>
        <w:tabs>
          <w:tab w:leader="none" w:pos="968" w:val="left"/>
        </w:tabs>
        <w:numPr>
          <w:ilvl w:val="1"/>
          <w:numId w:val="2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80" w:right="780" w:hanging="324"/>
        <w:spacing w:after="0" w:line="334" w:lineRule="auto"/>
        <w:tabs>
          <w:tab w:leader="none" w:pos="971" w:val="left"/>
        </w:tabs>
        <w:numPr>
          <w:ilvl w:val="1"/>
          <w:numId w:val="2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500" w:hanging="324"/>
        <w:spacing w:after="0" w:line="277" w:lineRule="auto"/>
        <w:tabs>
          <w:tab w:leader="none" w:pos="968" w:val="left"/>
        </w:tabs>
        <w:numPr>
          <w:ilvl w:val="1"/>
          <w:numId w:val="2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100" w:type="dxa"/>
            <w:vAlign w:val="bottom"/>
            <w:vMerge w:val="restart"/>
          </w:tcPr>
          <w:p>
            <w:pPr>
              <w:ind w:left="300"/>
              <w:spacing w:after="0"/>
              <w:rPr>
                <w:sz w:val="20"/>
                <w:szCs w:val="20"/>
                <w:color w:val="auto"/>
              </w:rPr>
            </w:pPr>
            <w:r>
              <w:rPr>
                <w:rFonts w:ascii="Arial" w:cs="Arial" w:eastAsia="Arial" w:hAnsi="Arial"/>
                <w:sz w:val="18"/>
                <w:szCs w:val="18"/>
                <w:color w:val="auto"/>
              </w:rPr>
              <w:t>Date: February 8, 2021</w:t>
            </w:r>
          </w:p>
        </w:tc>
        <w:tc>
          <w:tcPr>
            <w:tcW w:w="11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/s/ Leonard S. Schleifer</w:t>
            </w:r>
          </w:p>
        </w:tc>
        <w:tc>
          <w:tcPr>
            <w:tcW w:w="0" w:type="dxa"/>
            <w:vAlign w:val="bottom"/>
          </w:tcPr>
          <w:p>
            <w:pPr>
              <w:spacing w:after="0"/>
              <w:rPr>
                <w:sz w:val="1"/>
                <w:szCs w:val="1"/>
                <w:color w:val="auto"/>
              </w:rPr>
            </w:pPr>
          </w:p>
        </w:tc>
      </w:tr>
      <w:tr>
        <w:trPr>
          <w:trHeight w:val="20"/>
        </w:trPr>
        <w:tc>
          <w:tcPr>
            <w:tcW w:w="310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100" w:type="dxa"/>
            <w:vAlign w:val="bottom"/>
            <w:vMerge w:val="continue"/>
          </w:tcPr>
          <w:p>
            <w:pPr>
              <w:spacing w:after="0"/>
              <w:rPr>
                <w:sz w:val="7"/>
                <w:szCs w:val="7"/>
                <w:color w:val="auto"/>
              </w:rPr>
            </w:pPr>
          </w:p>
        </w:tc>
        <w:tc>
          <w:tcPr>
            <w:tcW w:w="1120" w:type="dxa"/>
            <w:vAlign w:val="bottom"/>
            <w:vMerge w:val="restart"/>
          </w:tcPr>
          <w:p>
            <w:pPr>
              <w:spacing w:after="0"/>
              <w:rPr>
                <w:sz w:val="7"/>
                <w:szCs w:val="7"/>
                <w:color w:val="auto"/>
              </w:rPr>
            </w:pPr>
          </w:p>
        </w:tc>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Leonard S. Schleifer, M.D., Ph.D.</w:t>
            </w:r>
          </w:p>
        </w:tc>
        <w:tc>
          <w:tcPr>
            <w:tcW w:w="0" w:type="dxa"/>
            <w:vAlign w:val="bottom"/>
          </w:tcPr>
          <w:p>
            <w:pPr>
              <w:spacing w:after="0"/>
              <w:rPr>
                <w:sz w:val="1"/>
                <w:szCs w:val="1"/>
                <w:color w:val="auto"/>
              </w:rPr>
            </w:pPr>
          </w:p>
        </w:tc>
      </w:tr>
      <w:tr>
        <w:trPr>
          <w:trHeight w:val="229"/>
        </w:trPr>
        <w:tc>
          <w:tcPr>
            <w:tcW w:w="31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6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19"/>
                <w:szCs w:val="19"/>
                <w:color w:val="auto"/>
              </w:rPr>
            </w:pPr>
          </w:p>
        </w:tc>
        <w:tc>
          <w:tcPr>
            <w:tcW w:w="8100" w:type="dxa"/>
            <w:vAlign w:val="bottom"/>
            <w:gridSpan w:val="3"/>
          </w:tcPr>
          <w:p>
            <w:pPr>
              <w:ind w:left="112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p>
        </w:tc>
        <w:tc>
          <w:tcPr>
            <w:tcW w:w="8100" w:type="dxa"/>
            <w:vAlign w:val="bottom"/>
            <w:gridSpan w:val="3"/>
          </w:tcPr>
          <w:p>
            <w:pPr>
              <w:ind w:left="11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493"/>
        </w:trPr>
        <w:tc>
          <w:tcPr>
            <w:tcW w:w="3100" w:type="dxa"/>
            <w:vAlign w:val="bottom"/>
            <w:tcBorders>
              <w:bottom w:val="single" w:sz="8" w:color="666666"/>
            </w:tcBorders>
          </w:tcPr>
          <w:p>
            <w:pPr>
              <w:spacing w:after="0"/>
              <w:rPr>
                <w:sz w:val="24"/>
                <w:szCs w:val="24"/>
                <w:color w:val="auto"/>
              </w:rPr>
            </w:pPr>
          </w:p>
        </w:tc>
        <w:tc>
          <w:tcPr>
            <w:tcW w:w="1120" w:type="dxa"/>
            <w:vAlign w:val="bottom"/>
            <w:tcBorders>
              <w:bottom w:val="single" w:sz="8" w:color="666666"/>
            </w:tcBorders>
          </w:tcPr>
          <w:p>
            <w:pPr>
              <w:spacing w:after="0"/>
              <w:rPr>
                <w:sz w:val="24"/>
                <w:szCs w:val="24"/>
                <w:color w:val="auto"/>
              </w:rPr>
            </w:pPr>
          </w:p>
        </w:tc>
        <w:tc>
          <w:tcPr>
            <w:tcW w:w="1700" w:type="dxa"/>
            <w:vAlign w:val="bottom"/>
            <w:tcBorders>
              <w:bottom w:val="single" w:sz="8" w:color="666666"/>
            </w:tcBorders>
          </w:tcPr>
          <w:p>
            <w:pPr>
              <w:spacing w:after="0"/>
              <w:rPr>
                <w:sz w:val="24"/>
                <w:szCs w:val="24"/>
                <w:color w:val="auto"/>
              </w:rPr>
            </w:pPr>
          </w:p>
        </w:tc>
        <w:tc>
          <w:tcPr>
            <w:tcW w:w="5280" w:type="dxa"/>
            <w:vAlign w:val="bottom"/>
            <w:tcBorders>
              <w:bottom w:val="single" w:sz="8" w:color="666666"/>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9" w:right="339" w:bottom="1440" w:gutter="0" w:footer="0" w:header="0"/>
        </w:sectPr>
      </w:pPr>
    </w:p>
    <w:bookmarkStart w:id="262" w:name="page263"/>
    <w:bookmarkEnd w:id="262"/>
    <w:p>
      <w:pPr>
        <w:jc w:val="right"/>
        <w:spacing w:after="0"/>
        <w:rPr>
          <w:sz w:val="20"/>
          <w:szCs w:val="20"/>
          <w:color w:val="auto"/>
        </w:rPr>
      </w:pPr>
      <w:r>
        <w:rPr>
          <w:rFonts w:ascii="Arial" w:cs="Arial" w:eastAsia="Arial" w:hAnsi="Arial"/>
          <w:sz w:val="18"/>
          <w:szCs w:val="18"/>
          <w:color w:val="auto"/>
        </w:rPr>
        <w:t>Exhibit 31.2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I, Robert E. Landry, certify that:</w:t>
      </w:r>
    </w:p>
    <w:p>
      <w:pPr>
        <w:spacing w:after="0" w:line="104" w:lineRule="exact"/>
        <w:rPr>
          <w:sz w:val="20"/>
          <w:szCs w:val="20"/>
          <w:color w:val="auto"/>
        </w:rPr>
      </w:pPr>
    </w:p>
    <w:p>
      <w:pPr>
        <w:ind w:left="340" w:hanging="332"/>
        <w:spacing w:after="0"/>
        <w:tabs>
          <w:tab w:leader="none" w:pos="3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Regeneron Pharmaceuticals, Inc.;</w:t>
      </w:r>
    </w:p>
    <w:p>
      <w:pPr>
        <w:spacing w:after="0" w:line="90"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980" w:right="60" w:hanging="324"/>
        <w:spacing w:after="0" w:line="263" w:lineRule="auto"/>
        <w:tabs>
          <w:tab w:leader="none" w:pos="971" w:val="left"/>
        </w:tabs>
        <w:numPr>
          <w:ilvl w:val="1"/>
          <w:numId w:val="2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980" w:right="360" w:hanging="324"/>
        <w:spacing w:after="0" w:line="263" w:lineRule="auto"/>
        <w:tabs>
          <w:tab w:leader="none" w:pos="968" w:val="left"/>
        </w:tabs>
        <w:numPr>
          <w:ilvl w:val="1"/>
          <w:numId w:val="2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980" w:right="540" w:hanging="324"/>
        <w:spacing w:after="0" w:line="334" w:lineRule="auto"/>
        <w:tabs>
          <w:tab w:leader="none" w:pos="971" w:val="left"/>
        </w:tabs>
        <w:numPr>
          <w:ilvl w:val="1"/>
          <w:numId w:val="2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80" w:right="100" w:hanging="324"/>
        <w:spacing w:after="0" w:line="263" w:lineRule="auto"/>
        <w:tabs>
          <w:tab w:leader="none" w:pos="968" w:val="left"/>
        </w:tabs>
        <w:numPr>
          <w:ilvl w:val="1"/>
          <w:numId w:val="2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80" w:right="780" w:hanging="324"/>
        <w:spacing w:after="0" w:line="334" w:lineRule="auto"/>
        <w:tabs>
          <w:tab w:leader="none" w:pos="971" w:val="left"/>
        </w:tabs>
        <w:numPr>
          <w:ilvl w:val="1"/>
          <w:numId w:val="2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500" w:hanging="324"/>
        <w:spacing w:after="0" w:line="277" w:lineRule="auto"/>
        <w:tabs>
          <w:tab w:leader="none" w:pos="968"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100" w:type="dxa"/>
            <w:vAlign w:val="bottom"/>
            <w:vMerge w:val="restart"/>
          </w:tcPr>
          <w:p>
            <w:pPr>
              <w:ind w:left="300"/>
              <w:spacing w:after="0"/>
              <w:rPr>
                <w:sz w:val="20"/>
                <w:szCs w:val="20"/>
                <w:color w:val="auto"/>
              </w:rPr>
            </w:pPr>
            <w:r>
              <w:rPr>
                <w:rFonts w:ascii="Arial" w:cs="Arial" w:eastAsia="Arial" w:hAnsi="Arial"/>
                <w:sz w:val="18"/>
                <w:szCs w:val="18"/>
                <w:color w:val="auto"/>
              </w:rPr>
              <w:t>Date: February 8, 2021</w:t>
            </w:r>
          </w:p>
        </w:tc>
        <w:tc>
          <w:tcPr>
            <w:tcW w:w="1120" w:type="dxa"/>
            <w:vAlign w:val="bottom"/>
          </w:tcPr>
          <w:p>
            <w:pPr>
              <w:spacing w:after="0"/>
              <w:rPr>
                <w:sz w:val="18"/>
                <w:szCs w:val="18"/>
                <w:color w:val="auto"/>
              </w:rPr>
            </w:pP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Robert E. Landry</w:t>
            </w:r>
          </w:p>
        </w:tc>
        <w:tc>
          <w:tcPr>
            <w:tcW w:w="5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3100" w:type="dxa"/>
            <w:vAlign w:val="bottom"/>
            <w:vMerge w:val="continue"/>
          </w:tcPr>
          <w:p>
            <w:pPr>
              <w:spacing w:after="0"/>
              <w:rPr>
                <w:sz w:val="7"/>
                <w:szCs w:val="7"/>
                <w:color w:val="auto"/>
              </w:rPr>
            </w:pPr>
          </w:p>
        </w:tc>
        <w:tc>
          <w:tcPr>
            <w:tcW w:w="8100" w:type="dxa"/>
            <w:vAlign w:val="bottom"/>
            <w:gridSpan w:val="3"/>
            <w:vMerge w:val="restart"/>
          </w:tcPr>
          <w:p>
            <w:pPr>
              <w:ind w:left="1120"/>
              <w:spacing w:after="0"/>
              <w:rPr>
                <w:sz w:val="20"/>
                <w:szCs w:val="20"/>
                <w:color w:val="auto"/>
              </w:rPr>
            </w:pPr>
            <w:r>
              <w:rPr>
                <w:rFonts w:ascii="Arial" w:cs="Arial" w:eastAsia="Arial" w:hAnsi="Arial"/>
                <w:sz w:val="18"/>
                <w:szCs w:val="18"/>
                <w:color w:val="auto"/>
              </w:rPr>
              <w:t>Robert E. Landry</w:t>
            </w:r>
          </w:p>
        </w:tc>
        <w:tc>
          <w:tcPr>
            <w:tcW w:w="0" w:type="dxa"/>
            <w:vAlign w:val="bottom"/>
          </w:tcPr>
          <w:p>
            <w:pPr>
              <w:spacing w:after="0"/>
              <w:rPr>
                <w:sz w:val="1"/>
                <w:szCs w:val="1"/>
                <w:color w:val="auto"/>
              </w:rPr>
            </w:pPr>
          </w:p>
        </w:tc>
      </w:tr>
      <w:tr>
        <w:trPr>
          <w:trHeight w:val="229"/>
        </w:trPr>
        <w:tc>
          <w:tcPr>
            <w:tcW w:w="3100" w:type="dxa"/>
            <w:vAlign w:val="bottom"/>
          </w:tcPr>
          <w:p>
            <w:pPr>
              <w:spacing w:after="0"/>
              <w:rPr>
                <w:sz w:val="19"/>
                <w:szCs w:val="19"/>
                <w:color w:val="auto"/>
              </w:rPr>
            </w:pPr>
          </w:p>
        </w:tc>
        <w:tc>
          <w:tcPr>
            <w:tcW w:w="81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00" w:type="dxa"/>
            <w:vAlign w:val="bottom"/>
          </w:tcPr>
          <w:p>
            <w:pPr>
              <w:spacing w:after="0"/>
              <w:rPr>
                <w:sz w:val="15"/>
                <w:szCs w:val="15"/>
                <w:color w:val="auto"/>
              </w:rPr>
            </w:pPr>
          </w:p>
        </w:tc>
        <w:tc>
          <w:tcPr>
            <w:tcW w:w="8100" w:type="dxa"/>
            <w:vAlign w:val="bottom"/>
            <w:gridSpan w:val="3"/>
          </w:tcPr>
          <w:p>
            <w:pPr>
              <w:ind w:left="1120"/>
              <w:spacing w:after="0" w:line="176" w:lineRule="exact"/>
              <w:rPr>
                <w:sz w:val="20"/>
                <w:szCs w:val="20"/>
                <w:color w:val="auto"/>
              </w:rPr>
            </w:pPr>
            <w:r>
              <w:rPr>
                <w:rFonts w:ascii="Arial" w:cs="Arial" w:eastAsia="Arial" w:hAnsi="Arial"/>
                <w:sz w:val="18"/>
                <w:szCs w:val="18"/>
                <w:color w:val="auto"/>
              </w:rPr>
              <w:t>Executive Vice President, Finance and Chief</w:t>
            </w:r>
          </w:p>
        </w:tc>
        <w:tc>
          <w:tcPr>
            <w:tcW w:w="0" w:type="dxa"/>
            <w:vAlign w:val="bottom"/>
          </w:tcPr>
          <w:p>
            <w:pPr>
              <w:spacing w:after="0"/>
              <w:rPr>
                <w:sz w:val="1"/>
                <w:szCs w:val="1"/>
                <w:color w:val="auto"/>
              </w:rPr>
            </w:pPr>
          </w:p>
        </w:tc>
      </w:tr>
      <w:tr>
        <w:trPr>
          <w:trHeight w:val="229"/>
        </w:trPr>
        <w:tc>
          <w:tcPr>
            <w:tcW w:w="3100" w:type="dxa"/>
            <w:vAlign w:val="bottom"/>
          </w:tcPr>
          <w:p>
            <w:pPr>
              <w:spacing w:after="0"/>
              <w:rPr>
                <w:sz w:val="19"/>
                <w:szCs w:val="19"/>
                <w:color w:val="auto"/>
              </w:rPr>
            </w:pPr>
          </w:p>
        </w:tc>
        <w:tc>
          <w:tcPr>
            <w:tcW w:w="8100" w:type="dxa"/>
            <w:vAlign w:val="bottom"/>
            <w:gridSpan w:val="3"/>
          </w:tcPr>
          <w:p>
            <w:pPr>
              <w:ind w:left="1120"/>
              <w:spacing w:after="0"/>
              <w:rPr>
                <w:sz w:val="20"/>
                <w:szCs w:val="20"/>
                <w:color w:val="auto"/>
              </w:rPr>
            </w:pPr>
            <w:r>
              <w:rPr>
                <w:rFonts w:ascii="Arial" w:cs="Arial" w:eastAsia="Arial" w:hAnsi="Arial"/>
                <w:sz w:val="18"/>
                <w:szCs w:val="18"/>
                <w:color w:val="auto"/>
              </w:rPr>
              <w:t>Financial Officer</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p>
        </w:tc>
        <w:tc>
          <w:tcPr>
            <w:tcW w:w="8100" w:type="dxa"/>
            <w:vAlign w:val="bottom"/>
            <w:gridSpan w:val="3"/>
          </w:tcPr>
          <w:p>
            <w:pPr>
              <w:ind w:left="112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493"/>
        </w:trPr>
        <w:tc>
          <w:tcPr>
            <w:tcW w:w="3100" w:type="dxa"/>
            <w:vAlign w:val="bottom"/>
            <w:tcBorders>
              <w:bottom w:val="single" w:sz="8" w:color="666666"/>
            </w:tcBorders>
          </w:tcPr>
          <w:p>
            <w:pPr>
              <w:spacing w:after="0"/>
              <w:rPr>
                <w:sz w:val="24"/>
                <w:szCs w:val="24"/>
                <w:color w:val="auto"/>
              </w:rPr>
            </w:pPr>
          </w:p>
        </w:tc>
        <w:tc>
          <w:tcPr>
            <w:tcW w:w="1120" w:type="dxa"/>
            <w:vAlign w:val="bottom"/>
            <w:tcBorders>
              <w:bottom w:val="single" w:sz="8" w:color="666666"/>
            </w:tcBorders>
          </w:tcPr>
          <w:p>
            <w:pPr>
              <w:spacing w:after="0"/>
              <w:rPr>
                <w:sz w:val="24"/>
                <w:szCs w:val="24"/>
                <w:color w:val="auto"/>
              </w:rPr>
            </w:pPr>
          </w:p>
        </w:tc>
        <w:tc>
          <w:tcPr>
            <w:tcW w:w="1480" w:type="dxa"/>
            <w:vAlign w:val="bottom"/>
            <w:tcBorders>
              <w:bottom w:val="single" w:sz="8" w:color="666666"/>
            </w:tcBorders>
          </w:tcPr>
          <w:p>
            <w:pPr>
              <w:spacing w:after="0"/>
              <w:rPr>
                <w:sz w:val="24"/>
                <w:szCs w:val="24"/>
                <w:color w:val="auto"/>
              </w:rPr>
            </w:pPr>
          </w:p>
        </w:tc>
        <w:tc>
          <w:tcPr>
            <w:tcW w:w="5500" w:type="dxa"/>
            <w:vAlign w:val="bottom"/>
            <w:tcBorders>
              <w:bottom w:val="single" w:sz="8" w:color="666666"/>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9" w:right="339" w:bottom="1440" w:gutter="0" w:footer="0" w:header="0"/>
        </w:sectPr>
      </w:pPr>
    </w:p>
    <w:bookmarkStart w:id="263" w:name="page264"/>
    <w:bookmarkEnd w:id="263"/>
    <w:p>
      <w:pPr>
        <w:jc w:val="right"/>
        <w:spacing w:after="0"/>
        <w:rPr>
          <w:sz w:val="20"/>
          <w:szCs w:val="20"/>
          <w:color w:val="auto"/>
        </w:rPr>
      </w:pPr>
      <w:r>
        <w:rPr>
          <w:rFonts w:ascii="Arial" w:cs="Arial" w:eastAsia="Arial" w:hAnsi="Arial"/>
          <w:sz w:val="18"/>
          <w:szCs w:val="18"/>
          <w:color w:val="auto"/>
        </w:rPr>
        <w:t>Exhibit 32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32"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 connection with the Annual Report of Regeneron Pharmaceuticals, Inc. (the "Company") on Form 10-K for the year ended December 31, 2020 as filed with the Securities and Exchange Commission on the date hereof (the "Report"), Leonard S. Schleifer, M.D., Ph.D., as Principal Executive Officer of the Company, and Robert E. Landry, as Principal Financial Officer of the Company, each hereby certifies, pursuant to 18 U.S.C. Section 1350, as adopted pursuant to Section 906 of the Sarbanes-Oxley Act of 2002, to the best of his knowledge, that:</w:t>
      </w:r>
    </w:p>
    <w:p>
      <w:pPr>
        <w:spacing w:after="0" w:line="50" w:lineRule="exact"/>
        <w:rPr>
          <w:sz w:val="20"/>
          <w:szCs w:val="20"/>
          <w:color w:val="auto"/>
        </w:rPr>
      </w:pPr>
    </w:p>
    <w:p>
      <w:pPr>
        <w:ind w:left="640" w:hanging="308"/>
        <w:spacing w:after="0"/>
        <w:tabs>
          <w:tab w:leader="none" w:pos="6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640" w:hanging="308"/>
        <w:spacing w:after="0"/>
        <w:tabs>
          <w:tab w:leader="none" w:pos="64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Leonard S. Schleifer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Leonard S. Schleifer, M.D., Ph.D.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8, 2021</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Robert E. Landry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Robert E. Landry</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Finance and Chief</w:t>
      </w:r>
    </w:p>
    <w:p>
      <w:pPr>
        <w:ind w:left="20"/>
        <w:spacing w:after="0"/>
        <w:rPr>
          <w:sz w:val="20"/>
          <w:szCs w:val="20"/>
          <w:color w:val="auto"/>
        </w:rPr>
      </w:pPr>
      <w:r>
        <w:rPr>
          <w:rFonts w:ascii="Arial" w:cs="Arial" w:eastAsia="Arial" w:hAnsi="Arial"/>
          <w:sz w:val="18"/>
          <w:szCs w:val="18"/>
          <w:color w:val="auto"/>
        </w:rPr>
        <w:t>Financial Officer</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8, 2021</w:t>
      </w:r>
    </w:p>
    <w:sectPr>
      <w:pgSz w:w="11900" w:h="16838" w:orient="portrait"/>
      <w:cols w:equalWidth="0" w:num="1">
        <w:col w:w="11240"/>
      </w:cols>
      <w:pgMar w:left="320" w:top="9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D545C4D"/>
    <w:multiLevelType w:val="hybridMultilevel"/>
    <w:lvl w:ilvl="0">
      <w:lvlJc w:val="left"/>
      <w:lvlText w:val="☒"/>
      <w:numFmt w:val="bullet"/>
      <w:start w:val="1"/>
    </w:lvl>
  </w:abstractNum>
  <w:abstractNum w:abstractNumId="1">
    <w:nsid w:val="59ADEA3D"/>
    <w:multiLevelType w:val="hybridMultilevel"/>
    <w:lvl w:ilvl="0">
      <w:lvlJc w:val="left"/>
      <w:lvlText w:val="☐"/>
      <w:numFmt w:val="bullet"/>
      <w:start w:val="1"/>
    </w:lvl>
  </w:abstractNum>
  <w:abstractNum w:abstractNumId="2">
    <w:nsid w:val="288F1A34"/>
    <w:multiLevelType w:val="hybridMultilevel"/>
    <w:lvl w:ilvl="0">
      <w:lvlJc w:val="left"/>
      <w:lvlText w:val="*"/>
      <w:numFmt w:val="bullet"/>
      <w:start w:val="1"/>
    </w:lvl>
  </w:abstractNum>
  <w:abstractNum w:abstractNumId="3">
    <w:nsid w:val="2A155DBC"/>
    <w:multiLevelType w:val="hybridMultilevel"/>
    <w:lvl w:ilvl="0">
      <w:lvlJc w:val="left"/>
      <w:lvlText w:val="(%1)"/>
      <w:numFmt w:val="decimal"/>
      <w:start w:val="1"/>
    </w:lvl>
  </w:abstractNum>
  <w:abstractNum w:abstractNumId="4">
    <w:nsid w:val="1D9F6E5F"/>
    <w:multiLevelType w:val="hybridMultilevel"/>
    <w:lvl w:ilvl="0">
      <w:lvlJc w:val="left"/>
      <w:lvlText w:val="(%1)"/>
      <w:numFmt w:val="lowerLetter"/>
      <w:start w:val="1"/>
    </w:lvl>
  </w:abstractNum>
  <w:abstractNum w:abstractNumId="5">
    <w:nsid w:val="97E1B4E"/>
    <w:multiLevelType w:val="hybridMultilevel"/>
    <w:lvl w:ilvl="0">
      <w:lvlJc w:val="left"/>
      <w:lvlText w:val="(%1)"/>
      <w:numFmt w:val="lowerLetter"/>
      <w:start w:val="1"/>
    </w:lvl>
  </w:abstractNum>
  <w:abstractNum w:abstractNumId="6">
    <w:nsid w:val="51088277"/>
    <w:multiLevelType w:val="hybridMultilevel"/>
    <w:lvl w:ilvl="0">
      <w:lvlJc w:val="left"/>
      <w:lvlText w:val="(%1)"/>
      <w:numFmt w:val="lowerLetter"/>
      <w:start w:val="25"/>
    </w:lvl>
  </w:abstractNum>
  <w:abstractNum w:abstractNumId="7">
    <w:nsid w:val="1CA0C5FA"/>
    <w:multiLevelType w:val="hybridMultilevel"/>
    <w:lvl w:ilvl="0">
      <w:lvlJc w:val="left"/>
      <w:lvlText w:val="(%1)"/>
      <w:numFmt w:val="lowerRoman"/>
      <w:start w:val="1"/>
    </w:lvl>
  </w:abstractNum>
  <w:abstractNum w:abstractNumId="8">
    <w:nsid w:val="53584BCB"/>
    <w:multiLevelType w:val="hybridMultilevel"/>
    <w:lvl w:ilvl="0">
      <w:lvlJc w:val="left"/>
      <w:lvlText w:val="(%1)"/>
      <w:numFmt w:val="decimal"/>
      <w:start w:val="1"/>
    </w:lvl>
  </w:abstractNum>
  <w:abstractNum w:abstractNumId="9">
    <w:nsid w:val="415E286C"/>
    <w:multiLevelType w:val="hybridMultilevel"/>
    <w:lvl w:ilvl="0">
      <w:lvlJc w:val="left"/>
      <w:lvlText w:val="*"/>
      <w:numFmt w:val="bullet"/>
      <w:start w:val="1"/>
    </w:lvl>
  </w:abstractNum>
  <w:abstractNum w:abstractNumId="10">
    <w:nsid w:val="7C58FD05"/>
    <w:multiLevelType w:val="hybridMultilevel"/>
    <w:lvl w:ilvl="0">
      <w:lvlJc w:val="left"/>
      <w:lvlText w:val="**"/>
      <w:numFmt w:val="bullet"/>
      <w:start w:val="1"/>
    </w:lvl>
  </w:abstractNum>
  <w:abstractNum w:abstractNumId="11">
    <w:nsid w:val="23D86AAC"/>
    <w:multiLevelType w:val="hybridMultilevel"/>
    <w:lvl w:ilvl="0">
      <w:lvlJc w:val="left"/>
      <w:lvlText w:val="***"/>
      <w:numFmt w:val="bullet"/>
      <w:start w:val="1"/>
    </w:lvl>
  </w:abstractNum>
  <w:abstractNum w:abstractNumId="12">
    <w:nsid w:val="45E6D486"/>
    <w:multiLevelType w:val="hybridMultilevel"/>
    <w:lvl w:ilvl="0">
      <w:lvlJc w:val="left"/>
      <w:lvlText w:val="****"/>
      <w:numFmt w:val="bullet"/>
      <w:start w:val="1"/>
    </w:lvl>
  </w:abstractNum>
  <w:abstractNum w:abstractNumId="13">
    <w:nsid w:val="5C10FE21"/>
    <w:multiLevelType w:val="hybridMultilevel"/>
    <w:lvl w:ilvl="0">
      <w:lvlJc w:val="left"/>
      <w:lvlText w:val="*****"/>
      <w:numFmt w:val="bullet"/>
      <w:start w:val="1"/>
    </w:lvl>
  </w:abstractNum>
  <w:abstractNum w:abstractNumId="14">
    <w:nsid w:val="E7FFA2B"/>
    <w:multiLevelType w:val="hybridMultilevel"/>
    <w:lvl w:ilvl="0">
      <w:lvlJc w:val="left"/>
      <w:lvlText w:val="*"/>
      <w:numFmt w:val="bullet"/>
      <w:start w:val="1"/>
    </w:lvl>
  </w:abstractNum>
  <w:abstractNum w:abstractNumId="15">
    <w:nsid w:val="3C5991AA"/>
    <w:multiLevelType w:val="hybridMultilevel"/>
    <w:lvl w:ilvl="0">
      <w:lvlJc w:val="left"/>
      <w:lvlText w:val="**"/>
      <w:numFmt w:val="bullet"/>
      <w:start w:val="1"/>
    </w:lvl>
  </w:abstractNum>
  <w:abstractNum w:abstractNumId="16">
    <w:nsid w:val="4BD8591A"/>
    <w:multiLevelType w:val="hybridMultilevel"/>
    <w:lvl w:ilvl="0">
      <w:lvlJc w:val="left"/>
      <w:lvlText w:val="•"/>
      <w:numFmt w:val="bullet"/>
      <w:start w:val="1"/>
    </w:lvl>
  </w:abstractNum>
  <w:abstractNum w:abstractNumId="17">
    <w:nsid w:val="78DF6A55"/>
    <w:multiLevelType w:val="hybridMultilevel"/>
    <w:lvl w:ilvl="0">
      <w:lvlJc w:val="left"/>
      <w:lvlText w:val="•"/>
      <w:numFmt w:val="bullet"/>
      <w:start w:val="1"/>
    </w:lvl>
  </w:abstractNum>
  <w:abstractNum w:abstractNumId="18">
    <w:nsid w:val="39B7AAA2"/>
    <w:multiLevelType w:val="hybridMultilevel"/>
    <w:lvl w:ilvl="0">
      <w:lvlJc w:val="left"/>
      <w:lvlText w:val="•"/>
      <w:numFmt w:val="bullet"/>
      <w:start w:val="1"/>
    </w:lvl>
  </w:abstractNum>
  <w:abstractNum w:abstractNumId="19">
    <w:nsid w:val="2B0D8DBE"/>
    <w:multiLevelType w:val="hybridMultilevel"/>
    <w:lvl w:ilvl="0">
      <w:lvlJc w:val="left"/>
      <w:lvlText w:val="•"/>
      <w:numFmt w:val="bullet"/>
      <w:start w:val="1"/>
    </w:lvl>
  </w:abstractNum>
  <w:abstractNum w:abstractNumId="20">
    <w:nsid w:val="6C80EC70"/>
    <w:multiLevelType w:val="hybridMultilevel"/>
    <w:lvl w:ilvl="0">
      <w:lvlJc w:val="left"/>
      <w:lvlText w:val="•"/>
      <w:numFmt w:val="bullet"/>
      <w:start w:val="1"/>
    </w:lvl>
  </w:abstractNum>
  <w:abstractNum w:abstractNumId="21">
    <w:nsid w:val="379E21B5"/>
    <w:multiLevelType w:val="hybridMultilevel"/>
    <w:lvl w:ilvl="0">
      <w:lvlJc w:val="left"/>
      <w:lvlText w:val="•"/>
      <w:numFmt w:val="bullet"/>
      <w:start w:val="1"/>
    </w:lvl>
  </w:abstractNum>
  <w:abstractNum w:abstractNumId="22">
    <w:nsid w:val="69E373"/>
    <w:multiLevelType w:val="hybridMultilevel"/>
    <w:lvl w:ilvl="0">
      <w:lvlJc w:val="left"/>
      <w:lvlText w:val="•"/>
      <w:numFmt w:val="bullet"/>
      <w:start w:val="1"/>
    </w:lvl>
  </w:abstractNum>
  <w:abstractNum w:abstractNumId="23">
    <w:nsid w:val="2C27173B"/>
    <w:multiLevelType w:val="hybridMultilevel"/>
    <w:lvl w:ilvl="0">
      <w:lvlJc w:val="left"/>
      <w:lvlText w:val="•"/>
      <w:numFmt w:val="bullet"/>
      <w:start w:val="1"/>
    </w:lvl>
  </w:abstractNum>
  <w:abstractNum w:abstractNumId="24">
    <w:nsid w:val="4C9B0904"/>
    <w:multiLevelType w:val="hybridMultilevel"/>
    <w:lvl w:ilvl="0">
      <w:lvlJc w:val="left"/>
      <w:lvlText w:val="•"/>
      <w:numFmt w:val="bullet"/>
      <w:start w:val="1"/>
    </w:lvl>
  </w:abstractNum>
  <w:abstractNum w:abstractNumId="25">
    <w:nsid w:val="6AA7B75C"/>
    <w:multiLevelType w:val="hybridMultilevel"/>
    <w:lvl w:ilvl="0">
      <w:lvlJc w:val="left"/>
      <w:lvlText w:val="•"/>
      <w:numFmt w:val="bullet"/>
      <w:start w:val="1"/>
    </w:lvl>
  </w:abstractNum>
  <w:abstractNum w:abstractNumId="26">
    <w:nsid w:val="1DF029D3"/>
    <w:multiLevelType w:val="hybridMultilevel"/>
    <w:lvl w:ilvl="0">
      <w:lvlJc w:val="left"/>
      <w:lvlText w:val="•"/>
      <w:numFmt w:val="bullet"/>
      <w:start w:val="1"/>
    </w:lvl>
  </w:abstractNum>
  <w:abstractNum w:abstractNumId="27">
    <w:nsid w:val="5675FF36"/>
    <w:multiLevelType w:val="hybridMultilevel"/>
    <w:lvl w:ilvl="0">
      <w:lvlJc w:val="left"/>
      <w:lvlText w:val="•"/>
      <w:numFmt w:val="bullet"/>
      <w:start w:val="1"/>
    </w:lvl>
  </w:abstractNum>
  <w:abstractNum w:abstractNumId="28">
    <w:nsid w:val="3DD15094"/>
    <w:multiLevelType w:val="hybridMultilevel"/>
    <w:lvl w:ilvl="0">
      <w:lvlJc w:val="left"/>
      <w:lvlText w:val="•"/>
      <w:numFmt w:val="bullet"/>
      <w:start w:val="1"/>
    </w:lvl>
  </w:abstractNum>
  <w:abstractNum w:abstractNumId="29">
    <w:nsid w:val="3DB012B3"/>
    <w:multiLevelType w:val="hybridMultilevel"/>
    <w:lvl w:ilvl="0">
      <w:lvlJc w:val="left"/>
      <w:lvlText w:val="•"/>
      <w:numFmt w:val="bullet"/>
      <w:start w:val="1"/>
    </w:lvl>
  </w:abstractNum>
  <w:abstractNum w:abstractNumId="30">
    <w:nsid w:val="2708C9AF"/>
    <w:multiLevelType w:val="hybridMultilevel"/>
    <w:lvl w:ilvl="0">
      <w:lvlJc w:val="left"/>
      <w:lvlText w:val="•"/>
      <w:numFmt w:val="bullet"/>
      <w:start w:val="1"/>
    </w:lvl>
  </w:abstractNum>
  <w:abstractNum w:abstractNumId="31">
    <w:nsid w:val="5B25ACE2"/>
    <w:multiLevelType w:val="hybridMultilevel"/>
    <w:lvl w:ilvl="0">
      <w:lvlJc w:val="left"/>
      <w:lvlText w:val="•"/>
      <w:numFmt w:val="bullet"/>
      <w:start w:val="1"/>
    </w:lvl>
  </w:abstractNum>
  <w:abstractNum w:abstractNumId="32">
    <w:nsid w:val="175DFCF0"/>
    <w:multiLevelType w:val="hybridMultilevel"/>
    <w:lvl w:ilvl="0">
      <w:lvlJc w:val="left"/>
      <w:lvlText w:val="•"/>
      <w:numFmt w:val="bullet"/>
      <w:start w:val="1"/>
    </w:lvl>
  </w:abstractNum>
  <w:abstractNum w:abstractNumId="33">
    <w:nsid w:val="4F97E3E4"/>
    <w:multiLevelType w:val="hybridMultilevel"/>
    <w:lvl w:ilvl="0">
      <w:lvlJc w:val="left"/>
      <w:lvlText w:val="•"/>
      <w:numFmt w:val="bullet"/>
      <w:start w:val="1"/>
    </w:lvl>
  </w:abstractNum>
  <w:abstractNum w:abstractNumId="34">
    <w:nsid w:val="53B0A9E"/>
    <w:multiLevelType w:val="hybridMultilevel"/>
    <w:lvl w:ilvl="0">
      <w:lvlJc w:val="left"/>
      <w:lvlText w:val="(%1)"/>
      <w:numFmt w:val="lowerLetter"/>
      <w:start w:val="1"/>
    </w:lvl>
  </w:abstractNum>
  <w:abstractNum w:abstractNumId="35">
    <w:nsid w:val="34FD6B4F"/>
    <w:multiLevelType w:val="hybridMultilevel"/>
    <w:lvl w:ilvl="0">
      <w:lvlJc w:val="left"/>
      <w:lvlText w:val="(%1)"/>
      <w:numFmt w:val="decimal"/>
      <w:start w:val="1"/>
    </w:lvl>
  </w:abstractNum>
  <w:abstractNum w:abstractNumId="36">
    <w:nsid w:val="5915FF32"/>
    <w:multiLevelType w:val="hybridMultilevel"/>
    <w:lvl w:ilvl="0">
      <w:lvlJc w:val="left"/>
      <w:lvlText w:val="•"/>
      <w:numFmt w:val="bullet"/>
      <w:start w:val="1"/>
    </w:lvl>
  </w:abstractNum>
  <w:abstractNum w:abstractNumId="37">
    <w:nsid w:val="56438D15"/>
    <w:multiLevelType w:val="hybridMultilevel"/>
    <w:lvl w:ilvl="0">
      <w:lvlJc w:val="left"/>
      <w:lvlText w:val="•"/>
      <w:numFmt w:val="bullet"/>
      <w:start w:val="1"/>
    </w:lvl>
  </w:abstractNum>
  <w:abstractNum w:abstractNumId="38">
    <w:nsid w:val="519E3149"/>
    <w:multiLevelType w:val="hybridMultilevel"/>
    <w:lvl w:ilvl="0">
      <w:lvlJc w:val="left"/>
      <w:lvlText w:val="*"/>
      <w:numFmt w:val="bullet"/>
      <w:start w:val="1"/>
    </w:lvl>
  </w:abstractNum>
  <w:abstractNum w:abstractNumId="39">
    <w:nsid w:val="2C6E4AFD"/>
    <w:multiLevelType w:val="hybridMultilevel"/>
    <w:lvl w:ilvl="0">
      <w:lvlJc w:val="left"/>
      <w:lvlText w:val="(%1)"/>
      <w:numFmt w:val="decimal"/>
      <w:start w:val="1"/>
    </w:lvl>
  </w:abstractNum>
  <w:abstractNum w:abstractNumId="40">
    <w:nsid w:val="17A1B582"/>
    <w:multiLevelType w:val="hybridMultilevel"/>
    <w:lvl w:ilvl="0">
      <w:lvlJc w:val="left"/>
      <w:lvlText w:val="*"/>
      <w:numFmt w:val="bullet"/>
      <w:start w:val="1"/>
    </w:lvl>
  </w:abstractNum>
  <w:abstractNum w:abstractNumId="41">
    <w:nsid w:val="4DF72E4E"/>
    <w:multiLevelType w:val="hybridMultilevel"/>
    <w:lvl w:ilvl="0">
      <w:lvlJc w:val="left"/>
      <w:lvlText w:val="**"/>
      <w:numFmt w:val="bullet"/>
      <w:start w:val="1"/>
    </w:lvl>
  </w:abstractNum>
  <w:abstractNum w:abstractNumId="42">
    <w:nsid w:val="5046B5A9"/>
    <w:multiLevelType w:val="hybridMultilevel"/>
    <w:lvl w:ilvl="0">
      <w:lvlJc w:val="left"/>
      <w:lvlText w:val="(%1)"/>
      <w:numFmt w:val="decimal"/>
      <w:start w:val="1"/>
    </w:lvl>
  </w:abstractNum>
  <w:abstractNum w:abstractNumId="43">
    <w:nsid w:val="5D888A08"/>
    <w:multiLevelType w:val="hybridMultilevel"/>
    <w:lvl w:ilvl="0">
      <w:lvlJc w:val="left"/>
      <w:lvlText w:val="•"/>
      <w:numFmt w:val="bullet"/>
      <w:start w:val="1"/>
    </w:lvl>
  </w:abstractNum>
  <w:abstractNum w:abstractNumId="44">
    <w:nsid w:val="2A082C70"/>
    <w:multiLevelType w:val="hybridMultilevel"/>
    <w:lvl w:ilvl="0">
      <w:lvlJc w:val="left"/>
      <w:lvlText w:val="(%1)"/>
      <w:numFmt w:val="decimal"/>
      <w:start w:val="1"/>
    </w:lvl>
  </w:abstractNum>
  <w:abstractNum w:abstractNumId="45">
    <w:nsid w:val="5EC6AFD4"/>
    <w:multiLevelType w:val="hybridMultilevel"/>
    <w:lvl w:ilvl="0">
      <w:lvlJc w:val="left"/>
      <w:lvlText w:val="*"/>
      <w:numFmt w:val="bullet"/>
      <w:start w:val="1"/>
    </w:lvl>
  </w:abstractNum>
  <w:abstractNum w:abstractNumId="46">
    <w:nsid w:val="19E21BB2"/>
    <w:multiLevelType w:val="hybridMultilevel"/>
    <w:lvl w:ilvl="0">
      <w:lvlJc w:val="left"/>
      <w:lvlText w:val="%1."/>
      <w:numFmt w:val="decimal"/>
      <w:start w:val="1"/>
    </w:lvl>
  </w:abstractNum>
  <w:abstractNum w:abstractNumId="47">
    <w:nsid w:val="75E0858A"/>
    <w:multiLevelType w:val="hybridMultilevel"/>
    <w:lvl w:ilvl="0">
      <w:lvlJc w:val="left"/>
      <w:lvlText w:val="(%1)"/>
      <w:numFmt w:val="decimal"/>
      <w:start w:val="1"/>
    </w:lvl>
  </w:abstractNum>
  <w:abstractNum w:abstractNumId="48">
    <w:nsid w:val="57A61A29"/>
    <w:multiLevelType w:val="hybridMultilevel"/>
    <w:lvl w:ilvl="0">
      <w:lvlJc w:val="left"/>
      <w:lvlText w:val="%1"/>
      <w:numFmt w:val="decimal"/>
      <w:start w:val="32"/>
    </w:lvl>
  </w:abstractNum>
  <w:abstractNum w:abstractNumId="49">
    <w:nsid w:val="5399C654"/>
    <w:multiLevelType w:val="hybridMultilevel"/>
    <w:lvl w:ilvl="0">
      <w:lvlJc w:val="left"/>
      <w:lvlText w:val="%1"/>
      <w:numFmt w:val="decimal"/>
      <w:start w:val="101"/>
    </w:lvl>
    <w:lvl w:ilvl="1">
      <w:lvlJc w:val="left"/>
      <w:lvlText w:val="(%2)"/>
      <w:numFmt w:val="lowerRoman"/>
      <w:start w:val="2"/>
    </w:lvl>
  </w:abstractNum>
  <w:abstractNum w:abstractNumId="50">
    <w:nsid w:val="20EE1348"/>
    <w:multiLevelType w:val="hybridMultilevel"/>
    <w:lvl w:ilvl="0">
      <w:lvlJc w:val="left"/>
      <w:lvlText w:val="*"/>
      <w:numFmt w:val="bullet"/>
      <w:start w:val="1"/>
    </w:lvl>
    <w:lvl w:ilvl="1">
      <w:lvlJc w:val="left"/>
      <w:lvlText w:val="+"/>
      <w:numFmt w:val="bullet"/>
      <w:start w:val="1"/>
    </w:lvl>
    <w:lvl w:ilvl="2">
      <w:lvlJc w:val="left"/>
      <w:lvlText w:val="%3"/>
      <w:numFmt w:val="decimal"/>
      <w:start w:val="104"/>
    </w:lvl>
  </w:abstractNum>
  <w:abstractNum w:abstractNumId="51">
    <w:nsid w:val="4427069A"/>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52">
    <w:nsid w:val="B37E80A"/>
    <w:multiLevelType w:val="hybridMultilevel"/>
    <w:lvl w:ilvl="0">
      <w:lvlJc w:val="left"/>
      <w:lvlText w:val="(%1)"/>
      <w:numFmt w:val="decimal"/>
      <w:start w:val="1"/>
    </w:lvl>
  </w:abstractNum>
  <w:abstractNum w:abstractNumId="53">
    <w:nsid w:val="2157F6BC"/>
    <w:multiLevelType w:val="hybridMultilevel"/>
    <w:lvl w:ilvl="0">
      <w:lvlJc w:val="left"/>
      <w:lvlText w:val="•"/>
      <w:numFmt w:val="bullet"/>
      <w:start w:val="1"/>
    </w:lvl>
  </w:abstractNum>
  <w:abstractNum w:abstractNumId="54">
    <w:nsid w:val="704E1DD5"/>
    <w:multiLevelType w:val="hybridMultilevel"/>
    <w:lvl w:ilvl="0">
      <w:lvlJc w:val="left"/>
      <w:lvlText w:val="•"/>
      <w:numFmt w:val="bullet"/>
      <w:start w:val="1"/>
    </w:lvl>
  </w:abstractNum>
  <w:abstractNum w:abstractNumId="55">
    <w:nsid w:val="57D2F10E"/>
    <w:multiLevelType w:val="hybridMultilevel"/>
    <w:lvl w:ilvl="0">
      <w:lvlJc w:val="left"/>
      <w:lvlText w:val="*"/>
      <w:numFmt w:val="bullet"/>
      <w:start w:val="1"/>
    </w:lvl>
  </w:abstractNum>
  <w:abstractNum w:abstractNumId="56">
    <w:nsid w:val="BFFAE18"/>
    <w:multiLevelType w:val="hybridMultilevel"/>
    <w:lvl w:ilvl="0">
      <w:lvlJc w:val="left"/>
      <w:lvlText w:val="(%1)"/>
      <w:numFmt w:val="lowerRoman"/>
      <w:start w:val="1"/>
    </w:lvl>
  </w:abstractNum>
  <w:abstractNum w:abstractNumId="57">
    <w:nsid w:val="E3E47A8"/>
    <w:multiLevelType w:val="hybridMultilevel"/>
    <w:lvl w:ilvl="0">
      <w:lvlJc w:val="left"/>
      <w:lvlText w:val="•"/>
      <w:numFmt w:val="bullet"/>
      <w:start w:val="1"/>
    </w:lvl>
  </w:abstractNum>
  <w:abstractNum w:abstractNumId="58">
    <w:nsid w:val="2E48F044"/>
    <w:multiLevelType w:val="hybridMultilevel"/>
    <w:lvl w:ilvl="0">
      <w:lvlJc w:val="left"/>
      <w:lvlText w:val="(%1)"/>
      <w:numFmt w:val="decimal"/>
      <w:start w:val="1"/>
    </w:lvl>
  </w:abstractNum>
  <w:abstractNum w:abstractNumId="59">
    <w:nsid w:val="49D0FEAC"/>
    <w:multiLevelType w:val="hybridMultilevel"/>
    <w:lvl w:ilvl="0">
      <w:lvlJc w:val="left"/>
      <w:lvlText w:val="(%1)"/>
      <w:numFmt w:val="lowerLetter"/>
      <w:start w:val="4"/>
    </w:lvl>
  </w:abstractNum>
  <w:abstractNum w:abstractNumId="60">
    <w:nsid w:val="4BEE5A5B"/>
    <w:multiLevelType w:val="hybridMultilevel"/>
    <w:lvl w:ilvl="0">
      <w:lvlJc w:val="left"/>
      <w:lvlText w:val="%1."/>
      <w:numFmt w:val="lowerLetter"/>
      <w:start w:val="1"/>
    </w:lvl>
  </w:abstractNum>
  <w:abstractNum w:abstractNumId="61">
    <w:nsid w:val="5551B9F3"/>
    <w:multiLevelType w:val="hybridMultilevel"/>
    <w:lvl w:ilvl="0">
      <w:lvlJc w:val="left"/>
      <w:lvlText w:val="%1."/>
      <w:numFmt w:val="lowerLetter"/>
      <w:start w:val="2"/>
    </w:lvl>
  </w:abstractNum>
  <w:abstractNum w:abstractNumId="62">
    <w:nsid w:val="24F6AB8E"/>
    <w:multiLevelType w:val="hybridMultilevel"/>
    <w:lvl w:ilvl="0">
      <w:lvlJc w:val="left"/>
      <w:lvlText w:val="%1."/>
      <w:numFmt w:val="lowerLetter"/>
      <w:start w:val="3"/>
    </w:lvl>
  </w:abstractNum>
  <w:abstractNum w:abstractNumId="63">
    <w:nsid w:val="634C574C"/>
    <w:multiLevelType w:val="hybridMultilevel"/>
    <w:lvl w:ilvl="0">
      <w:lvlJc w:val="left"/>
      <w:lvlText w:val="(%1)"/>
      <w:numFmt w:val="lowerRoman"/>
      <w:start w:val="1"/>
    </w:lvl>
  </w:abstractNum>
  <w:abstractNum w:abstractNumId="64">
    <w:nsid w:val="24E99DD7"/>
    <w:multiLevelType w:val="hybridMultilevel"/>
    <w:lvl w:ilvl="0">
      <w:lvlJc w:val="left"/>
      <w:lvlText w:val="(%1)"/>
      <w:numFmt w:val="decimal"/>
      <w:start w:val="1"/>
    </w:lvl>
  </w:abstractNum>
  <w:abstractNum w:abstractNumId="65">
    <w:nsid w:val="2A31B62D"/>
    <w:multiLevelType w:val="hybridMultilevel"/>
    <w:lvl w:ilvl="0">
      <w:lvlJc w:val="left"/>
      <w:lvlText w:val="**"/>
      <w:numFmt w:val="bullet"/>
      <w:start w:val="1"/>
    </w:lvl>
  </w:abstractNum>
  <w:abstractNum w:abstractNumId="66">
    <w:nsid w:val="1849C29B"/>
    <w:multiLevelType w:val="hybridMultilevel"/>
    <w:lvl w:ilvl="0">
      <w:lvlJc w:val="left"/>
      <w:lvlText w:val="***"/>
      <w:numFmt w:val="bullet"/>
      <w:start w:val="1"/>
    </w:lvl>
  </w:abstractNum>
  <w:abstractNum w:abstractNumId="67">
    <w:nsid w:val="7DFF9D09"/>
    <w:multiLevelType w:val="hybridMultilevel"/>
    <w:lvl w:ilvl="0">
      <w:lvlJc w:val="left"/>
      <w:lvlText w:val="%1."/>
      <w:numFmt w:val="decimal"/>
      <w:start w:val="1"/>
    </w:lvl>
  </w:abstractNum>
  <w:abstractNum w:abstractNumId="68">
    <w:nsid w:val="754342"/>
    <w:multiLevelType w:val="hybridMultilevel"/>
    <w:lvl w:ilvl="0">
      <w:lvlJc w:val="left"/>
      <w:lvlText w:val="(%1)"/>
      <w:numFmt w:val="lowerLetter"/>
      <w:start w:val="2"/>
    </w:lvl>
  </w:abstractNum>
  <w:abstractNum w:abstractNumId="69">
    <w:nsid w:val="69E7F3E5"/>
    <w:multiLevelType w:val="hybridMultilevel"/>
    <w:lvl w:ilvl="0">
      <w:lvlJc w:val="left"/>
      <w:lvlText w:val="1"/>
      <w:numFmt w:val="bullet"/>
      <w:start w:val="1"/>
    </w:lvl>
  </w:abstractNum>
  <w:abstractNum w:abstractNumId="70">
    <w:nsid w:val="2A6DE806"/>
    <w:multiLevelType w:val="hybridMultilevel"/>
    <w:lvl w:ilvl="0">
      <w:lvlJc w:val="left"/>
      <w:lvlText w:val="%1"/>
      <w:numFmt w:val="decimal"/>
      <w:start w:val="1"/>
    </w:lvl>
    <w:lvl w:ilvl="1">
      <w:lvlJc w:val="left"/>
      <w:lvlText w:val="(%2)"/>
      <w:numFmt w:val="lowerLetter"/>
      <w:start w:val="3"/>
    </w:lvl>
  </w:abstractNum>
  <w:abstractNum w:abstractNumId="71">
    <w:nsid w:val="1816F8C4"/>
    <w:multiLevelType w:val="hybridMultilevel"/>
    <w:lvl w:ilvl="0">
      <w:lvlJc w:val="left"/>
      <w:lvlText w:val="%1."/>
      <w:numFmt w:val="decimal"/>
      <w:start w:val="3"/>
    </w:lvl>
    <w:lvl w:ilvl="1">
      <w:lvlJc w:val="left"/>
      <w:lvlText w:val="%2"/>
      <w:numFmt w:val="lowerLetter"/>
      <w:start w:val="1"/>
    </w:lvl>
  </w:abstractNum>
  <w:abstractNum w:abstractNumId="72">
    <w:nsid w:val="37DF2233"/>
    <w:multiLevelType w:val="hybridMultilevel"/>
    <w:lvl w:ilvl="0">
      <w:lvlJc w:val="left"/>
      <w:lvlText w:val="2"/>
      <w:numFmt w:val="bullet"/>
      <w:start w:val="1"/>
    </w:lvl>
  </w:abstractNum>
  <w:abstractNum w:abstractNumId="73">
    <w:nsid w:val="7AB49DAF"/>
    <w:multiLevelType w:val="hybridMultilevel"/>
    <w:lvl w:ilvl="0">
      <w:lvlJc w:val="left"/>
      <w:lvlText w:val="%1"/>
      <w:numFmt w:val="decimal"/>
      <w:start w:val="1"/>
    </w:lvl>
    <w:lvl w:ilvl="1">
      <w:lvlJc w:val="left"/>
      <w:lvlText w:val="(%2)"/>
      <w:numFmt w:val="lowerLetter"/>
      <w:start w:val="2"/>
    </w:lvl>
  </w:abstractNum>
  <w:abstractNum w:abstractNumId="74">
    <w:nsid w:val="759F82CD"/>
    <w:multiLevelType w:val="hybridMultilevel"/>
    <w:lvl w:ilvl="0">
      <w:lvlJc w:val="left"/>
      <w:lvlText w:val="(%1)"/>
      <w:numFmt w:val="decimal"/>
      <w:start w:val="30"/>
    </w:lvl>
    <w:lvl w:ilvl="1">
      <w:lvlJc w:val="left"/>
      <w:lvlText w:val="%2"/>
      <w:numFmt w:val="lowerLetter"/>
      <w:start w:val="1"/>
    </w:lvl>
  </w:abstractNum>
  <w:abstractNum w:abstractNumId="75">
    <w:nsid w:val="61E74EA3"/>
    <w:multiLevelType w:val="hybridMultilevel"/>
    <w:lvl w:ilvl="0">
      <w:lvlJc w:val="left"/>
      <w:lvlText w:val="%1."/>
      <w:numFmt w:val="decimal"/>
      <w:start w:val="4"/>
    </w:lvl>
  </w:abstractNum>
  <w:abstractNum w:abstractNumId="76">
    <w:nsid w:val="597B4D84"/>
    <w:multiLevelType w:val="hybridMultilevel"/>
    <w:lvl w:ilvl="0">
      <w:lvlJc w:val="left"/>
      <w:lvlText w:val="6"/>
      <w:numFmt w:val="bullet"/>
      <w:start w:val="1"/>
    </w:lvl>
  </w:abstractNum>
  <w:abstractNum w:abstractNumId="77">
    <w:nsid w:val="F819E7F"/>
    <w:multiLevelType w:val="hybridMultilevel"/>
    <w:lvl w:ilvl="0">
      <w:lvlJc w:val="left"/>
      <w:lvlText w:val="%1."/>
      <w:numFmt w:val="decimal"/>
      <w:start w:val="5"/>
    </w:lvl>
  </w:abstractNum>
  <w:abstractNum w:abstractNumId="78">
    <w:nsid w:val="57C7D42D"/>
    <w:multiLevelType w:val="hybridMultilevel"/>
    <w:lvl w:ilvl="0">
      <w:lvlJc w:val="left"/>
      <w:lvlText w:val="**"/>
      <w:numFmt w:val="bullet"/>
      <w:start w:val="1"/>
    </w:lvl>
  </w:abstractNum>
  <w:abstractNum w:abstractNumId="79">
    <w:nsid w:val="312167AD"/>
    <w:multiLevelType w:val="hybridMultilevel"/>
    <w:lvl w:ilvl="0">
      <w:lvlJc w:val="left"/>
      <w:lvlText w:val="***"/>
      <w:numFmt w:val="bullet"/>
      <w:start w:val="1"/>
    </w:lvl>
  </w:abstractNum>
  <w:abstractNum w:abstractNumId="80">
    <w:nsid w:val="631B64D4"/>
    <w:multiLevelType w:val="hybridMultilevel"/>
    <w:lvl w:ilvl="0">
      <w:lvlJc w:val="left"/>
      <w:lvlText w:val="%1."/>
      <w:numFmt w:val="decimal"/>
      <w:start w:val="1"/>
    </w:lvl>
  </w:abstractNum>
  <w:abstractNum w:abstractNumId="81">
    <w:nsid w:val="78B5E776"/>
    <w:multiLevelType w:val="hybridMultilevel"/>
    <w:lvl w:ilvl="0">
      <w:lvlJc w:val="left"/>
      <w:lvlText w:val="(%1)"/>
      <w:numFmt w:val="lowerLetter"/>
      <w:start w:val="2"/>
    </w:lvl>
  </w:abstractNum>
  <w:abstractNum w:abstractNumId="82">
    <w:nsid w:val="75486E47"/>
    <w:multiLevelType w:val="hybridMultilevel"/>
    <w:lvl w:ilvl="0">
      <w:lvlJc w:val="left"/>
      <w:lvlText w:val="%1"/>
      <w:numFmt w:val="decimal"/>
      <w:start w:val="1"/>
    </w:lvl>
    <w:lvl w:ilvl="1">
      <w:lvlJc w:val="left"/>
      <w:lvlText w:val="(%2)"/>
      <w:numFmt w:val="lowerLetter"/>
      <w:start w:val="3"/>
    </w:lvl>
  </w:abstractNum>
  <w:abstractNum w:abstractNumId="83">
    <w:nsid w:val="6E534CDE"/>
    <w:multiLevelType w:val="hybridMultilevel"/>
    <w:lvl w:ilvl="0">
      <w:lvlJc w:val="left"/>
      <w:lvlText w:val="%1."/>
      <w:numFmt w:val="decimal"/>
      <w:start w:val="3"/>
    </w:lvl>
    <w:lvl w:ilvl="1">
      <w:lvlJc w:val="left"/>
      <w:lvlText w:val="%2"/>
      <w:numFmt w:val="lowerLetter"/>
      <w:start w:val="1"/>
    </w:lvl>
  </w:abstractNum>
  <w:abstractNum w:abstractNumId="84">
    <w:nsid w:val="1A0DDE32"/>
    <w:multiLevelType w:val="hybridMultilevel"/>
    <w:lvl w:ilvl="0">
      <w:lvlJc w:val="left"/>
      <w:lvlText w:val="(%1)"/>
      <w:numFmt w:val="lowerLetter"/>
      <w:start w:val="2"/>
    </w:lvl>
  </w:abstractNum>
  <w:abstractNum w:abstractNumId="85">
    <w:nsid w:val="65968C1C"/>
    <w:multiLevelType w:val="hybridMultilevel"/>
    <w:lvl w:ilvl="0">
      <w:lvlJc w:val="left"/>
      <w:lvlText w:val="%1."/>
      <w:numFmt w:val="decimal"/>
      <w:start w:val="4"/>
    </w:lvl>
  </w:abstractNum>
  <w:abstractNum w:abstractNumId="86">
    <w:nsid w:val="46263DEC"/>
    <w:multiLevelType w:val="hybridMultilevel"/>
    <w:lvl w:ilvl="0">
      <w:lvlJc w:val="left"/>
      <w:lvlText w:val="*"/>
      <w:numFmt w:val="bullet"/>
      <w:start w:val="1"/>
    </w:lvl>
  </w:abstractNum>
  <w:abstractNum w:abstractNumId="87">
    <w:nsid w:val="260D8C4A"/>
    <w:multiLevelType w:val="hybridMultilevel"/>
    <w:lvl w:ilvl="0">
      <w:lvlJc w:val="left"/>
      <w:lvlText w:val="%1."/>
      <w:numFmt w:val="decimal"/>
      <w:start w:val="1"/>
    </w:lvl>
  </w:abstractNum>
  <w:abstractNum w:abstractNumId="88">
    <w:nsid w:val="73D4D3C4"/>
    <w:multiLevelType w:val="hybridMultilevel"/>
    <w:lvl w:ilvl="0">
      <w:lvlJc w:val="left"/>
      <w:lvlText w:val="(%1)"/>
      <w:numFmt w:val="lowerLetter"/>
      <w:start w:val="2"/>
    </w:lvl>
  </w:abstractNum>
  <w:abstractNum w:abstractNumId="89">
    <w:nsid w:val="746F2E30"/>
    <w:multiLevelType w:val="hybridMultilevel"/>
    <w:lvl w:ilvl="0">
      <w:lvlJc w:val="left"/>
      <w:lvlText w:val="1"/>
      <w:numFmt w:val="bullet"/>
      <w:start w:val="1"/>
    </w:lvl>
  </w:abstractNum>
  <w:abstractNum w:abstractNumId="90">
    <w:nsid w:val="6FDE8AF6"/>
    <w:multiLevelType w:val="hybridMultilevel"/>
    <w:lvl w:ilvl="0">
      <w:lvlJc w:val="left"/>
      <w:lvlText w:val="(%1)"/>
      <w:numFmt w:val="lowerLetter"/>
      <w:start w:val="3"/>
    </w:lvl>
  </w:abstractNum>
  <w:abstractNum w:abstractNumId="91">
    <w:nsid w:val="3FC32E20"/>
    <w:multiLevelType w:val="hybridMultilevel"/>
    <w:lvl w:ilvl="0">
      <w:lvlJc w:val="left"/>
      <w:lvlText w:val="%1."/>
      <w:numFmt w:val="decimal"/>
      <w:start w:val="3"/>
    </w:lvl>
  </w:abstractNum>
  <w:abstractNum w:abstractNumId="92">
    <w:nsid w:val="49C0E823"/>
    <w:multiLevelType w:val="hybridMultilevel"/>
    <w:lvl w:ilvl="0">
      <w:lvlJc w:val="left"/>
      <w:lvlText w:val="3"/>
      <w:numFmt w:val="bullet"/>
      <w:start w:val="1"/>
    </w:lvl>
  </w:abstractNum>
  <w:abstractNum w:abstractNumId="93">
    <w:nsid w:val="14D53685"/>
    <w:multiLevelType w:val="hybridMultilevel"/>
    <w:lvl w:ilvl="0">
      <w:lvlJc w:val="left"/>
      <w:lvlText w:val="%1."/>
      <w:numFmt w:val="decimal"/>
      <w:start w:val="8"/>
    </w:lvl>
  </w:abstractNum>
  <w:abstractNum w:abstractNumId="94">
    <w:nsid w:val="230F856C"/>
    <w:multiLevelType w:val="hybridMultilevel"/>
    <w:lvl w:ilvl="0">
      <w:lvlJc w:val="left"/>
      <w:lvlText w:val="*"/>
      <w:numFmt w:val="bullet"/>
      <w:start w:val="1"/>
    </w:lvl>
  </w:abstractNum>
  <w:abstractNum w:abstractNumId="95">
    <w:nsid w:val="6EAA85FB"/>
    <w:multiLevelType w:val="hybridMultilevel"/>
    <w:lvl w:ilvl="0">
      <w:lvlJc w:val="left"/>
      <w:lvlText w:val="%1."/>
      <w:numFmt w:val="decimal"/>
      <w:start w:val="1"/>
    </w:lvl>
  </w:abstractNum>
  <w:abstractNum w:abstractNumId="96">
    <w:nsid w:val="3F06ECB2"/>
    <w:multiLevelType w:val="hybridMultilevel"/>
    <w:lvl w:ilvl="0">
      <w:lvlJc w:val="left"/>
      <w:lvlText w:val="(%1)"/>
      <w:numFmt w:val="lowerLetter"/>
      <w:start w:val="2"/>
    </w:lvl>
  </w:abstractNum>
  <w:abstractNum w:abstractNumId="97">
    <w:nsid w:val="3B594807"/>
    <w:multiLevelType w:val="hybridMultilevel"/>
    <w:lvl w:ilvl="0">
      <w:lvlJc w:val="left"/>
      <w:lvlText w:val="(%1)"/>
      <w:numFmt w:val="lowerLetter"/>
      <w:start w:val="3"/>
    </w:lvl>
  </w:abstractNum>
  <w:abstractNum w:abstractNumId="98">
    <w:nsid w:val="6CAA2304"/>
    <w:multiLevelType w:val="hybridMultilevel"/>
    <w:lvl w:ilvl="0">
      <w:lvlJc w:val="left"/>
      <w:lvlText w:val="%1."/>
      <w:numFmt w:val="decimal"/>
      <w:start w:val="3"/>
    </w:lvl>
  </w:abstractNum>
  <w:abstractNum w:abstractNumId="99">
    <w:nsid w:val="3F7C2FF4"/>
    <w:multiLevelType w:val="hybridMultilevel"/>
    <w:lvl w:ilvl="0">
      <w:lvlJc w:val="left"/>
      <w:lvlText w:val="%1."/>
      <w:numFmt w:val="decimal"/>
      <w:start w:val="7"/>
    </w:lvl>
  </w:abstractNum>
  <w:abstractNum w:abstractNumId="100">
    <w:nsid w:val="25413BEC"/>
    <w:multiLevelType w:val="hybridMultilevel"/>
    <w:lvl w:ilvl="0">
      <w:lvlJc w:val="left"/>
      <w:lvlText w:val="*"/>
      <w:numFmt w:val="bullet"/>
      <w:start w:val="1"/>
    </w:lvl>
  </w:abstractNum>
  <w:abstractNum w:abstractNumId="101">
    <w:nsid w:val="17180B0B"/>
    <w:multiLevelType w:val="hybridMultilevel"/>
    <w:lvl w:ilvl="0">
      <w:lvlJc w:val="left"/>
      <w:lvlText w:val="%1."/>
      <w:numFmt w:val="decimal"/>
      <w:start w:val="1"/>
    </w:lvl>
  </w:abstractNum>
  <w:abstractNum w:abstractNumId="102">
    <w:nsid w:val="579328B9"/>
    <w:multiLevelType w:val="hybridMultilevel"/>
    <w:lvl w:ilvl="0">
      <w:lvlJc w:val="left"/>
      <w:lvlText w:val="(%1)"/>
      <w:numFmt w:val="lowerLetter"/>
      <w:start w:val="2"/>
    </w:lvl>
  </w:abstractNum>
  <w:abstractNum w:abstractNumId="103">
    <w:nsid w:val="5D205E2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104">
    <w:nsid w:val="11CCA8BA"/>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105">
    <w:nsid w:val="4D32AB86"/>
    <w:multiLevelType w:val="hybridMultilevel"/>
    <w:lvl w:ilvl="0">
      <w:lvlJc w:val="left"/>
      <w:lvlText w:val="(%1)"/>
      <w:numFmt w:val="lowerLetter"/>
      <w:start w:val="9"/>
    </w:lvl>
    <w:lvl w:ilvl="1">
      <w:lvlJc w:val="left"/>
      <w:lvlText w:val="%2."/>
      <w:numFmt w:val="decimal"/>
      <w:start w:val="4"/>
    </w:lvl>
    <w:lvl w:ilvl="2">
      <w:lvlJc w:val="left"/>
      <w:lvlText w:val="%3"/>
      <w:numFmt w:val="lowerLetter"/>
      <w:start w:val="1"/>
    </w:lvl>
  </w:abstractNum>
  <w:abstractNum w:abstractNumId="106">
    <w:nsid w:val="3F07ACC3"/>
    <w:multiLevelType w:val="hybridMultilevel"/>
    <w:lvl w:ilvl="0">
      <w:lvlJc w:val="left"/>
      <w:lvlText w:val="%1."/>
      <w:numFmt w:val="decimal"/>
      <w:start w:val="7"/>
    </w:lvl>
  </w:abstractNum>
  <w:abstractNum w:abstractNumId="107">
    <w:nsid w:val="6B47F63E"/>
    <w:multiLevelType w:val="hybridMultilevel"/>
    <w:lvl w:ilvl="0">
      <w:lvlJc w:val="left"/>
      <w:lvlText w:val="*"/>
      <w:numFmt w:val="bullet"/>
      <w:start w:val="1"/>
    </w:lvl>
  </w:abstractNum>
  <w:abstractNum w:abstractNumId="108">
    <w:nsid w:val="5CB44A05"/>
    <w:multiLevelType w:val="hybridMultilevel"/>
    <w:lvl w:ilvl="0">
      <w:lvlJc w:val="left"/>
      <w:lvlText w:val="%1."/>
      <w:numFmt w:val="decimal"/>
      <w:start w:val="1"/>
    </w:lvl>
  </w:abstractNum>
  <w:abstractNum w:abstractNumId="109">
    <w:nsid w:val="16CF80F1"/>
    <w:multiLevelType w:val="hybridMultilevel"/>
    <w:lvl w:ilvl="0">
      <w:lvlJc w:val="left"/>
      <w:lvlText w:val="(%1)"/>
      <w:numFmt w:val="lowerLetter"/>
      <w:start w:val="2"/>
    </w:lvl>
  </w:abstractNum>
  <w:abstractNum w:abstractNumId="110">
    <w:nsid w:val="1C695DEC"/>
    <w:multiLevelType w:val="hybridMultilevel"/>
    <w:lvl w:ilvl="0">
      <w:lvlJc w:val="left"/>
      <w:lvlText w:val="(%1)"/>
      <w:numFmt w:val="lowerLetter"/>
      <w:start w:val="3"/>
    </w:lvl>
  </w:abstractNum>
  <w:abstractNum w:abstractNumId="111">
    <w:nsid w:val="3FCFAED9"/>
    <w:multiLevelType w:val="hybridMultilevel"/>
    <w:lvl w:ilvl="0">
      <w:lvlJc w:val="left"/>
      <w:lvlText w:val="%1."/>
      <w:numFmt w:val="decimal"/>
      <w:start w:val="3"/>
    </w:lvl>
  </w:abstractNum>
  <w:abstractNum w:abstractNumId="112">
    <w:nsid w:val="F856867"/>
    <w:multiLevelType w:val="hybridMultilevel"/>
    <w:lvl w:ilvl="0">
      <w:lvlJc w:val="left"/>
      <w:lvlText w:val="%1."/>
      <w:numFmt w:val="decimal"/>
      <w:start w:val="8"/>
    </w:lvl>
  </w:abstractNum>
  <w:abstractNum w:abstractNumId="113">
    <w:nsid w:val="11B1CC33"/>
    <w:multiLevelType w:val="hybridMultilevel"/>
    <w:lvl w:ilvl="0">
      <w:lvlJc w:val="left"/>
      <w:lvlText w:val="%1."/>
      <w:numFmt w:val="decimal"/>
      <w:start w:val="1"/>
    </w:lvl>
    <w:lvl w:ilvl="1">
      <w:lvlJc w:val="left"/>
      <w:lvlText w:val="%2"/>
      <w:numFmt w:val="upperLetter"/>
      <w:start w:val="1"/>
    </w:lvl>
  </w:abstractNum>
  <w:abstractNum w:abstractNumId="114">
    <w:nsid w:val="2E22FBB7"/>
    <w:multiLevelType w:val="hybridMultilevel"/>
    <w:lvl w:ilvl="0">
      <w:lvlJc w:val="left"/>
      <w:lvlText w:val="1"/>
      <w:numFmt w:val="bullet"/>
      <w:start w:val="1"/>
    </w:lvl>
  </w:abstractNum>
  <w:abstractNum w:abstractNumId="115">
    <w:nsid w:val="29934699"/>
    <w:multiLevelType w:val="hybridMultilevel"/>
    <w:lvl w:ilvl="0">
      <w:lvlJc w:val="left"/>
      <w:lvlText w:val="2"/>
      <w:numFmt w:val="bullet"/>
      <w:start w:val="1"/>
    </w:lvl>
  </w:abstractNum>
  <w:abstractNum w:abstractNumId="116">
    <w:nsid w:val="77485850"/>
    <w:multiLevelType w:val="hybridMultilevel"/>
    <w:lvl w:ilvl="0">
      <w:lvlJc w:val="left"/>
      <w:lvlText w:val="3"/>
      <w:numFmt w:val="bullet"/>
      <w:start w:val="1"/>
    </w:lvl>
  </w:abstractNum>
  <w:abstractNum w:abstractNumId="117">
    <w:nsid w:val="744939A3"/>
    <w:multiLevelType w:val="hybridMultilevel"/>
    <w:lvl w:ilvl="0">
      <w:lvlJc w:val="left"/>
      <w:lvlText w:val="(%1)"/>
      <w:numFmt w:val="lowerRoman"/>
      <w:start w:val="2"/>
    </w:lvl>
  </w:abstractNum>
  <w:abstractNum w:abstractNumId="118">
    <w:nsid w:val="4FA0D2E3"/>
    <w:multiLevelType w:val="hybridMultilevel"/>
    <w:lvl w:ilvl="0">
      <w:lvlJc w:val="left"/>
      <w:lvlText w:val="%1."/>
      <w:numFmt w:val="decimal"/>
      <w:start w:val="1"/>
    </w:lvl>
  </w:abstractNum>
  <w:abstractNum w:abstractNumId="119">
    <w:nsid w:val="6B1D2C14"/>
    <w:multiLevelType w:val="hybridMultilevel"/>
    <w:lvl w:ilvl="0">
      <w:lvlJc w:val="left"/>
      <w:lvlText w:val="(%1)"/>
      <w:numFmt w:val="lowerLetter"/>
      <w:start w:val="2"/>
    </w:lvl>
  </w:abstractNum>
  <w:abstractNum w:abstractNumId="120">
    <w:nsid w:val="68B867D3"/>
    <w:multiLevelType w:val="hybridMultilevel"/>
    <w:lvl w:ilvl="0">
      <w:lvlJc w:val="left"/>
      <w:lvlText w:val="4"/>
      <w:numFmt w:val="bullet"/>
      <w:start w:val="1"/>
    </w:lvl>
  </w:abstractNum>
  <w:abstractNum w:abstractNumId="121">
    <w:nsid w:val="3F7F5DD9"/>
    <w:multiLevelType w:val="hybridMultilevel"/>
    <w:lvl w:ilvl="0">
      <w:lvlJc w:val="left"/>
      <w:lvlText w:val="%1."/>
      <w:numFmt w:val="decimal"/>
      <w:start w:val="3"/>
    </w:lvl>
  </w:abstractNum>
  <w:abstractNum w:abstractNumId="122">
    <w:nsid w:val="2AE05A34"/>
    <w:multiLevelType w:val="hybridMultilevel"/>
    <w:lvl w:ilvl="0">
      <w:lvlJc w:val="left"/>
      <w:lvlText w:val="%1."/>
      <w:numFmt w:val="decimal"/>
      <w:start w:val="8"/>
    </w:lvl>
  </w:abstractNum>
  <w:abstractNum w:abstractNumId="123">
    <w:nsid w:val="32794FF7"/>
    <w:multiLevelType w:val="hybridMultilevel"/>
    <w:lvl w:ilvl="0">
      <w:lvlJc w:val="left"/>
      <w:lvlText w:val="%1."/>
      <w:numFmt w:val="upperLetter"/>
      <w:start w:val="1"/>
    </w:lvl>
  </w:abstractNum>
  <w:abstractNum w:abstractNumId="124">
    <w:nsid w:val="5454945E"/>
    <w:multiLevelType w:val="hybridMultilevel"/>
    <w:lvl w:ilvl="0">
      <w:lvlJc w:val="left"/>
      <w:lvlText w:val="•"/>
      <w:numFmt w:val="bullet"/>
      <w:start w:val="1"/>
    </w:lvl>
    <w:lvl w:ilvl="1">
      <w:lvlJc w:val="left"/>
      <w:lvlText w:val="◦"/>
      <w:numFmt w:val="bullet"/>
      <w:start w:val="1"/>
    </w:lvl>
  </w:abstractNum>
  <w:abstractNum w:abstractNumId="125">
    <w:nsid w:val="4DEFDFA0"/>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126">
    <w:nsid w:val="2123D5F2"/>
    <w:multiLevelType w:val="hybridMultilevel"/>
    <w:lvl w:ilvl="0">
      <w:lvlJc w:val="left"/>
      <w:lvlText w:val="▪"/>
      <w:numFmt w:val="bullet"/>
      <w:start w:val="1"/>
    </w:lvl>
    <w:lvl w:ilvl="1">
      <w:lvlJc w:val="left"/>
      <w:lvlText w:val="•"/>
      <w:numFmt w:val="bullet"/>
      <w:start w:val="1"/>
    </w:lvl>
  </w:abstractNum>
  <w:abstractNum w:abstractNumId="127">
    <w:nsid w:val="135B8110"/>
    <w:multiLevelType w:val="hybridMultilevel"/>
    <w:lvl w:ilvl="0">
      <w:lvlJc w:val="left"/>
      <w:lvlText w:val="▪"/>
      <w:numFmt w:val="bullet"/>
      <w:start w:val="1"/>
    </w:lvl>
  </w:abstractNum>
  <w:abstractNum w:abstractNumId="128">
    <w:nsid w:val="94927A8"/>
    <w:multiLevelType w:val="hybridMultilevel"/>
    <w:lvl w:ilvl="0">
      <w:lvlJc w:val="left"/>
      <w:lvlText w:val="◦"/>
      <w:numFmt w:val="bullet"/>
      <w:start w:val="1"/>
    </w:lvl>
  </w:abstractNum>
  <w:abstractNum w:abstractNumId="129">
    <w:nsid w:val="DCDF8F6"/>
    <w:multiLevelType w:val="hybridMultilevel"/>
    <w:lvl w:ilvl="0">
      <w:lvlJc w:val="left"/>
      <w:lvlText w:val="◦"/>
      <w:numFmt w:val="bullet"/>
      <w:start w:val="1"/>
    </w:lvl>
  </w:abstractNum>
  <w:abstractNum w:abstractNumId="130">
    <w:nsid w:val="52D7B105"/>
    <w:multiLevelType w:val="hybridMultilevel"/>
    <w:lvl w:ilvl="0">
      <w:lvlJc w:val="left"/>
      <w:lvlText w:val="%1."/>
      <w:numFmt w:val="lowerLetter"/>
      <w:start w:val="1"/>
    </w:lvl>
  </w:abstractNum>
  <w:abstractNum w:abstractNumId="131">
    <w:nsid w:val="2E8A6394"/>
    <w:multiLevelType w:val="hybridMultilevel"/>
    <w:lvl w:ilvl="0">
      <w:lvlJc w:val="left"/>
      <w:lvlText w:val="%1."/>
      <w:numFmt w:val="lowerLetter"/>
      <w:start w:val="12"/>
    </w:lvl>
  </w:abstractNum>
  <w:abstractNum w:abstractNumId="132">
    <w:nsid w:val="24E60401"/>
    <w:multiLevelType w:val="hybridMultilevel"/>
    <w:lvl w:ilvl="0">
      <w:lvlJc w:val="left"/>
      <w:lvlText w:val="**"/>
      <w:numFmt w:val="bullet"/>
      <w:start w:val="1"/>
    </w:lvl>
  </w:abstractNum>
  <w:abstractNum w:abstractNumId="133">
    <w:nsid w:val="2A6AD9BE"/>
    <w:multiLevelType w:val="hybridMultilevel"/>
    <w:lvl w:ilvl="0">
      <w:lvlJc w:val="left"/>
      <w:lvlText w:val="%1"/>
      <w:numFmt w:val="lowerRoman"/>
      <w:start w:val="1"/>
    </w:lvl>
    <w:lvl w:ilvl="1">
      <w:lvlJc w:val="left"/>
      <w:lvlText w:val="%2."/>
      <w:numFmt w:val="lowerRoman"/>
      <w:start w:val="1"/>
    </w:lvl>
  </w:abstractNum>
  <w:abstractNum w:abstractNumId="134">
    <w:nsid w:val="BAAC1B4"/>
    <w:multiLevelType w:val="hybridMultilevel"/>
    <w:lvl w:ilvl="0">
      <w:lvlJc w:val="left"/>
      <w:lvlText w:val="%1."/>
      <w:numFmt w:val="lowerRoman"/>
      <w:start w:val="3"/>
    </w:lvl>
    <w:lvl w:ilvl="1">
      <w:lvlJc w:val="left"/>
      <w:lvlText w:val="%2"/>
      <w:numFmt w:val="lowerRoman"/>
      <w:start w:val="1"/>
    </w:lvl>
  </w:abstractNum>
  <w:abstractNum w:abstractNumId="135">
    <w:nsid w:val="36B2ACBC"/>
    <w:multiLevelType w:val="hybridMultilevel"/>
    <w:lvl w:ilvl="0">
      <w:lvlJc w:val="left"/>
      <w:lvlText w:val="%1"/>
      <w:numFmt w:val="lowerLetter"/>
      <w:start w:val="1"/>
    </w:lvl>
    <w:lvl w:ilvl="1">
      <w:lvlJc w:val="left"/>
      <w:lvlText w:val="%2."/>
      <w:numFmt w:val="lowerLetter"/>
      <w:start w:val="35"/>
    </w:lvl>
  </w:abstractNum>
  <w:abstractNum w:abstractNumId="136">
    <w:nsid w:val="779D8544"/>
    <w:multiLevelType w:val="hybridMultilevel"/>
    <w:lvl w:ilvl="0">
      <w:lvlJc w:val="left"/>
      <w:lvlText w:val="%1."/>
      <w:numFmt w:val="lowerLetter"/>
      <w:start w:val="5"/>
    </w:lvl>
    <w:lvl w:ilvl="1">
      <w:lvlJc w:val="left"/>
      <w:lvlText w:val="%2"/>
      <w:numFmt w:val="lowerLetter"/>
      <w:start w:val="1"/>
    </w:lvl>
  </w:abstractNum>
  <w:abstractNum w:abstractNumId="137">
    <w:nsid w:val="4AB26E78"/>
    <w:multiLevelType w:val="hybridMultilevel"/>
    <w:lvl w:ilvl="0">
      <w:lvlJc w:val="left"/>
      <w:lvlText w:val="(%1)"/>
      <w:numFmt w:val="lowerRoman"/>
      <w:start w:val="1"/>
    </w:lvl>
  </w:abstractNum>
  <w:abstractNum w:abstractNumId="138">
    <w:nsid w:val="21FAA2FA"/>
    <w:multiLevelType w:val="hybridMultilevel"/>
    <w:lvl w:ilvl="0">
      <w:lvlJc w:val="left"/>
      <w:lvlText w:val="%1."/>
      <w:numFmt w:val="lowerRoman"/>
      <w:start w:val="2"/>
    </w:lvl>
  </w:abstractNum>
  <w:abstractNum w:abstractNumId="139">
    <w:nsid w:val="5451CF49"/>
    <w:multiLevelType w:val="hybridMultilevel"/>
    <w:lvl w:ilvl="0">
      <w:lvlJc w:val="left"/>
      <w:lvlText w:val="%1."/>
      <w:numFmt w:val="lowerLetter"/>
      <w:start w:val="7"/>
    </w:lvl>
    <w:lvl w:ilvl="1">
      <w:lvlJc w:val="left"/>
      <w:lvlText w:val="%2."/>
      <w:numFmt w:val="lowerRoman"/>
      <w:start w:val="1"/>
    </w:lvl>
  </w:abstractNum>
  <w:abstractNum w:abstractNumId="140">
    <w:nsid w:val="6181EF69"/>
    <w:multiLevelType w:val="hybridMultilevel"/>
    <w:lvl w:ilvl="0">
      <w:lvlJc w:val="left"/>
      <w:lvlText w:val="%1"/>
      <w:numFmt w:val="lowerLetter"/>
      <w:start w:val="1"/>
    </w:lvl>
    <w:lvl w:ilvl="1">
      <w:lvlJc w:val="left"/>
      <w:lvlText w:val="%2."/>
      <w:numFmt w:val="lowerLetter"/>
      <w:start w:val="35"/>
    </w:lvl>
  </w:abstractNum>
  <w:abstractNum w:abstractNumId="141">
    <w:nsid w:val="3E6400E6"/>
    <w:multiLevelType w:val="hybridMultilevel"/>
    <w:lvl w:ilvl="0">
      <w:lvlJc w:val="left"/>
      <w:lvlText w:val="%1."/>
      <w:numFmt w:val="lowerLetter"/>
      <w:start w:val="1"/>
    </w:lvl>
  </w:abstractNum>
  <w:abstractNum w:abstractNumId="142">
    <w:nsid w:val="14217E23"/>
    <w:multiLevelType w:val="hybridMultilevel"/>
    <w:lvl w:ilvl="0">
      <w:lvlJc w:val="left"/>
      <w:lvlText w:val="%1."/>
      <w:numFmt w:val="lowerLetter"/>
      <w:start w:val="1"/>
    </w:lvl>
    <w:lvl w:ilvl="1">
      <w:lvlJc w:val="left"/>
      <w:lvlText w:val="%2."/>
      <w:numFmt w:val="lowerRoman"/>
      <w:start w:val="1"/>
    </w:lvl>
  </w:abstractNum>
  <w:abstractNum w:abstractNumId="143">
    <w:nsid w:val="710757D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144">
    <w:nsid w:val="5015CD1A"/>
    <w:multiLevelType w:val="hybridMultilevel"/>
    <w:lvl w:ilvl="0">
      <w:lvlJc w:val="left"/>
      <w:lvlText w:val="%1"/>
      <w:numFmt w:val="lowerLetter"/>
      <w:start w:val="1"/>
    </w:lvl>
    <w:lvl w:ilvl="1">
      <w:lvlJc w:val="left"/>
      <w:lvlText w:val="%2."/>
      <w:numFmt w:val="lowerLetter"/>
      <w:start w:val="61"/>
    </w:lvl>
    <w:lvl w:ilvl="2">
      <w:lvlJc w:val="left"/>
      <w:lvlText w:val="%3"/>
      <w:numFmt w:val="lowerRoman"/>
      <w:start w:val="1"/>
    </w:lvl>
  </w:abstractNum>
  <w:abstractNum w:abstractNumId="145">
    <w:nsid w:val="424479DA"/>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146">
    <w:nsid w:val="1A9A9E69"/>
    <w:multiLevelType w:val="hybridMultilevel"/>
    <w:lvl w:ilvl="0">
      <w:lvlJc w:val="left"/>
      <w:lvlText w:val="%1."/>
      <w:numFmt w:val="lowerLetter"/>
      <w:start w:val="3"/>
    </w:lvl>
  </w:abstractNum>
  <w:abstractNum w:abstractNumId="147">
    <w:nsid w:val="475E256A"/>
    <w:multiLevelType w:val="hybridMultilevel"/>
    <w:lvl w:ilvl="0">
      <w:lvlJc w:val="left"/>
      <w:lvlText w:val="%1."/>
      <w:numFmt w:val="decimal"/>
      <w:start w:val="1"/>
    </w:lvl>
  </w:abstractNum>
  <w:abstractNum w:abstractNumId="148">
    <w:nsid w:val="368DB37E"/>
    <w:multiLevelType w:val="hybridMultilevel"/>
    <w:lvl w:ilvl="0">
      <w:lvlJc w:val="left"/>
      <w:lvlText w:val="%1."/>
      <w:numFmt w:val="upperLetter"/>
      <w:start w:val="1"/>
    </w:lvl>
  </w:abstractNum>
  <w:abstractNum w:abstractNumId="149">
    <w:nsid w:val="6A3B714C"/>
    <w:multiLevelType w:val="hybridMultilevel"/>
    <w:lvl w:ilvl="0">
      <w:lvlJc w:val="left"/>
      <w:lvlText w:val="%1."/>
      <w:numFmt w:val="upperLetter"/>
      <w:start w:val="2"/>
    </w:lvl>
  </w:abstractNum>
  <w:abstractNum w:abstractNumId="150">
    <w:nsid w:val="327B517E"/>
    <w:multiLevelType w:val="hybridMultilevel"/>
    <w:lvl w:ilvl="0">
      <w:lvlJc w:val="left"/>
      <w:lvlText w:val="%1."/>
      <w:numFmt w:val="upperLetter"/>
      <w:start w:val="9"/>
    </w:lvl>
  </w:abstractNum>
  <w:abstractNum w:abstractNumId="151">
    <w:nsid w:val="1F461B51"/>
    <w:multiLevelType w:val="hybridMultilevel"/>
    <w:lvl w:ilvl="0">
      <w:lvlJc w:val="left"/>
      <w:lvlText w:val="%1."/>
      <w:numFmt w:val="upperLetter"/>
      <w:start w:val="35"/>
    </w:lvl>
  </w:abstractNum>
  <w:abstractNum w:abstractNumId="152">
    <w:nsid w:val="29BACF25"/>
    <w:multiLevelType w:val="hybridMultilevel"/>
    <w:lvl w:ilvl="0">
      <w:lvlJc w:val="left"/>
      <w:lvlText w:val="%1."/>
      <w:numFmt w:val="upperLetter"/>
      <w:start w:val="3"/>
    </w:lvl>
  </w:abstractNum>
  <w:abstractNum w:abstractNumId="153">
    <w:nsid w:val="5D5BABB3"/>
    <w:multiLevelType w:val="hybridMultilevel"/>
    <w:lvl w:ilvl="0">
      <w:lvlJc w:val="left"/>
      <w:lvlText w:val="%1."/>
      <w:numFmt w:val="upperLetter"/>
      <w:start w:val="9"/>
    </w:lvl>
  </w:abstractNum>
  <w:abstractNum w:abstractNumId="154">
    <w:nsid w:val="51BF6B48"/>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abstractNum>
  <w:abstractNum w:abstractNumId="155">
    <w:nsid w:val="7E0F6384"/>
    <w:multiLevelType w:val="hybridMultilevel"/>
    <w:lvl w:ilvl="0">
      <w:lvlJc w:val="left"/>
      <w:lvlText w:val="%1"/>
      <w:numFmt w:val="lowerRoman"/>
      <w:start w:val="1"/>
    </w:lvl>
    <w:lvl w:ilvl="1">
      <w:lvlJc w:val="left"/>
      <w:lvlText w:val="%2."/>
      <w:numFmt w:val="lowerRoman"/>
      <w:start w:val="2"/>
    </w:lvl>
    <w:lvl w:ilvl="2">
      <w:lvlJc w:val="left"/>
      <w:lvlText w:val="%3"/>
      <w:numFmt w:val="lowerRoman"/>
      <w:start w:val="1"/>
    </w:lvl>
  </w:abstractNum>
  <w:abstractNum w:abstractNumId="156">
    <w:nsid w:val="2B4B8B53"/>
    <w:multiLevelType w:val="hybridMultilevel"/>
    <w:lvl w:ilvl="0">
      <w:lvlJc w:val="left"/>
      <w:lvlText w:val="%1."/>
      <w:numFmt w:val="lowerRoman"/>
      <w:start w:val="4"/>
    </w:lvl>
    <w:lvl w:ilvl="1">
      <w:lvlJc w:val="left"/>
      <w:lvlText w:val="%2."/>
      <w:numFmt w:val="lowerRoman"/>
      <w:start w:val="6"/>
    </w:lvl>
    <w:lvl w:ilvl="2">
      <w:lvlJc w:val="left"/>
      <w:lvlText w:val="%3"/>
      <w:numFmt w:val="lowerRoman"/>
      <w:start w:val="1"/>
    </w:lvl>
  </w:abstractNum>
  <w:abstractNum w:abstractNumId="157">
    <w:nsid w:val="72E3413A"/>
    <w:multiLevelType w:val="hybridMultilevel"/>
    <w:lvl w:ilvl="0">
      <w:lvlJc w:val="left"/>
      <w:lvlText w:val="•"/>
      <w:numFmt w:val="bullet"/>
      <w:start w:val="1"/>
    </w:lvl>
  </w:abstractNum>
  <w:abstractNum w:abstractNumId="158">
    <w:nsid w:val="116AE494"/>
    <w:multiLevelType w:val="hybridMultilevel"/>
    <w:lvl w:ilvl="0">
      <w:lvlJc w:val="left"/>
      <w:lvlText w:val="(%1)"/>
      <w:numFmt w:val="lowerLetter"/>
      <w:start w:val="2"/>
    </w:lvl>
  </w:abstractNum>
  <w:abstractNum w:abstractNumId="159">
    <w:nsid w:val="3494B2FB"/>
    <w:multiLevelType w:val="hybridMultilevel"/>
    <w:lvl w:ilvl="0">
      <w:lvlJc w:val="left"/>
      <w:lvlText w:val="\endash "/>
      <w:numFmt w:val="bullet"/>
      <w:start w:val="1"/>
    </w:lvl>
  </w:abstractNum>
  <w:abstractNum w:abstractNumId="160">
    <w:nsid w:val="B13A31"/>
    <w:multiLevelType w:val="hybridMultilevel"/>
    <w:lvl w:ilvl="0">
      <w:lvlJc w:val="left"/>
      <w:lvlText w:val="%1)"/>
      <w:numFmt w:val="decimal"/>
      <w:start w:val="1"/>
    </w:lvl>
  </w:abstractNum>
  <w:abstractNum w:abstractNumId="161">
    <w:nsid w:val="64429599"/>
    <w:multiLevelType w:val="hybridMultilevel"/>
    <w:lvl w:ilvl="0">
      <w:lvlJc w:val="left"/>
      <w:lvlText w:val="%1"/>
      <w:numFmt w:val="decimal"/>
      <w:start w:val="1"/>
    </w:lvl>
    <w:lvl w:ilvl="1">
      <w:lvlJc w:val="left"/>
      <w:lvlText w:val="%2."/>
      <w:numFmt w:val="upperLetter"/>
      <w:start w:val="1"/>
    </w:lvl>
  </w:abstractNum>
  <w:abstractNum w:abstractNumId="162">
    <w:nsid w:val="631F1690"/>
    <w:multiLevelType w:val="hybridMultilevel"/>
    <w:lvl w:ilvl="0">
      <w:lvlJc w:val="left"/>
      <w:lvlText w:val="%1)"/>
      <w:numFmt w:val="decimal"/>
      <w:start w:val="3"/>
    </w:lvl>
    <w:lvl w:ilvl="1">
      <w:lvlJc w:val="left"/>
      <w:lvlText w:val="%2"/>
      <w:numFmt w:val="upperLetter"/>
      <w:start w:val="1"/>
    </w:lvl>
  </w:abstractNum>
  <w:abstractNum w:abstractNumId="163">
    <w:nsid w:val="25973E32"/>
    <w:multiLevelType w:val="hybridMultilevel"/>
    <w:lvl w:ilvl="0">
      <w:lvlJc w:val="left"/>
      <w:lvlText w:val="%1."/>
      <w:numFmt w:val="upperLetter"/>
      <w:start w:val="1"/>
    </w:lvl>
  </w:abstractNum>
  <w:abstractNum w:abstractNumId="164">
    <w:nsid w:val="EAD6F57"/>
    <w:multiLevelType w:val="hybridMultilevel"/>
    <w:lvl w:ilvl="0">
      <w:lvlJc w:val="left"/>
      <w:lvlText w:val="(%1)"/>
      <w:numFmt w:val="decimal"/>
      <w:start w:val="1"/>
    </w:lvl>
  </w:abstractNum>
  <w:abstractNum w:abstractNumId="165">
    <w:nsid w:val="6EC9D844"/>
    <w:multiLevelType w:val="hybridMultilevel"/>
    <w:lvl w:ilvl="0">
      <w:lvlJc w:val="left"/>
      <w:lvlText w:val="(%1)"/>
      <w:numFmt w:val="decimal"/>
      <w:start w:val="1"/>
    </w:lvl>
  </w:abstractNum>
  <w:abstractNum w:abstractNumId="166">
    <w:nsid w:val="5C49EAEE"/>
    <w:multiLevelType w:val="hybridMultilevel"/>
    <w:lvl w:ilvl="0">
      <w:lvlJc w:val="left"/>
      <w:lvlText w:val="(%1)"/>
      <w:numFmt w:val="lowerRoman"/>
      <w:start w:val="1"/>
    </w:lvl>
  </w:abstractNum>
  <w:abstractNum w:abstractNumId="167">
    <w:nsid w:val="64AF49B"/>
    <w:multiLevelType w:val="hybridMultilevel"/>
    <w:lvl w:ilvl="0">
      <w:lvlJc w:val="left"/>
      <w:lvlText w:val="(%1)"/>
      <w:numFmt w:val="decimal"/>
      <w:start w:val="3"/>
    </w:lvl>
  </w:abstractNum>
  <w:abstractNum w:abstractNumId="168">
    <w:nsid w:val="397C46BC"/>
    <w:multiLevelType w:val="hybridMultilevel"/>
    <w:lvl w:ilvl="0">
      <w:lvlJc w:val="left"/>
      <w:lvlText w:val="(%1)"/>
      <w:numFmt w:val="decimal"/>
      <w:start w:val="5"/>
    </w:lvl>
  </w:abstractNum>
  <w:abstractNum w:abstractNumId="169">
    <w:nsid w:val="7E448DE9"/>
    <w:multiLevelType w:val="hybridMultilevel"/>
    <w:lvl w:ilvl="0">
      <w:lvlJc w:val="left"/>
      <w:lvlText w:val="%1"/>
      <w:numFmt w:val="decimal"/>
      <w:start w:val="1"/>
    </w:lvl>
    <w:lvl w:ilvl="1">
      <w:lvlJc w:val="left"/>
      <w:lvlText w:val="%2."/>
      <w:numFmt w:val="upperLetter"/>
      <w:start w:val="2"/>
    </w:lvl>
  </w:abstractNum>
  <w:abstractNum w:abstractNumId="170">
    <w:nsid w:val="5A9CC3E5"/>
    <w:multiLevelType w:val="hybridMultilevel"/>
    <w:lvl w:ilvl="0">
      <w:lvlJc w:val="left"/>
      <w:lvlText w:val="(%1)"/>
      <w:numFmt w:val="decimal"/>
      <w:start w:val="1"/>
    </w:lvl>
    <w:lvl w:ilvl="1">
      <w:lvlJc w:val="left"/>
      <w:lvlText w:val="%2."/>
      <w:numFmt w:val="upperLetter"/>
      <w:start w:val="3"/>
    </w:lvl>
  </w:abstractNum>
  <w:abstractNum w:abstractNumId="171">
    <w:nsid w:val="1AFE3625"/>
    <w:multiLevelType w:val="hybridMultilevel"/>
    <w:lvl w:ilvl="0">
      <w:lvlJc w:val="left"/>
      <w:lvlText w:val="(%1)"/>
      <w:numFmt w:val="decimal"/>
      <w:start w:val="1"/>
    </w:lvl>
  </w:abstractNum>
  <w:abstractNum w:abstractNumId="172">
    <w:nsid w:val="3CA88ECF"/>
    <w:multiLevelType w:val="hybridMultilevel"/>
    <w:lvl w:ilvl="0">
      <w:lvlJc w:val="left"/>
      <w:lvlText w:val="%1"/>
      <w:numFmt w:val="decimal"/>
      <w:start w:val="1"/>
    </w:lvl>
    <w:lvl w:ilvl="1">
      <w:lvlJc w:val="left"/>
      <w:lvlText w:val="%2"/>
      <w:numFmt w:val="upperLetter"/>
      <w:start w:val="1"/>
    </w:lvl>
    <w:lvl w:ilvl="2">
      <w:lvlJc w:val="left"/>
      <w:lvlText w:val="(%3)"/>
      <w:numFmt w:val="decimal"/>
      <w:start w:val="3"/>
    </w:lvl>
  </w:abstractNum>
  <w:abstractNum w:abstractNumId="173">
    <w:nsid w:val="6EBE4208"/>
    <w:multiLevelType w:val="hybridMultilevel"/>
    <w:lvl w:ilvl="0">
      <w:lvlJc w:val="left"/>
      <w:lvlText w:val="%1"/>
      <w:numFmt w:val="decimal"/>
      <w:start w:val="1"/>
    </w:lvl>
    <w:lvl w:ilvl="1">
      <w:lvlJc w:val="left"/>
      <w:lvlText w:val="%2."/>
      <w:numFmt w:val="upperLetter"/>
      <w:start w:val="4"/>
    </w:lvl>
    <w:lvl w:ilvl="2">
      <w:lvlJc w:val="left"/>
      <w:lvlText w:val="%3"/>
      <w:numFmt w:val="decimal"/>
      <w:start w:val="1"/>
    </w:lvl>
  </w:abstractNum>
  <w:abstractNum w:abstractNumId="174">
    <w:nsid w:val="C058DF5"/>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175">
    <w:nsid w:val="CBE5BE9"/>
    <w:multiLevelType w:val="hybridMultilevel"/>
    <w:lvl w:ilvl="0">
      <w:lvlJc w:val="left"/>
      <w:lvlText w:val="(%1)"/>
      <w:numFmt w:val="lowerRoman"/>
      <w:start w:val="1"/>
    </w:lvl>
    <w:lvl w:ilvl="1">
      <w:lvlJc w:val="left"/>
      <w:lvlText w:val="%2)"/>
      <w:numFmt w:val="lowerLetter"/>
      <w:start w:val="1"/>
    </w:lvl>
  </w:abstractNum>
  <w:abstractNum w:abstractNumId="176">
    <w:nsid w:val="3102BBE2"/>
    <w:multiLevelType w:val="hybridMultilevel"/>
    <w:lvl w:ilvl="0">
      <w:lvlJc w:val="left"/>
      <w:lvlText w:val="(%1)"/>
      <w:numFmt w:val="decimal"/>
      <w:start w:val="2"/>
    </w:lvl>
  </w:abstractNum>
  <w:abstractNum w:abstractNumId="177">
    <w:nsid w:val="26A02C5E"/>
    <w:multiLevelType w:val="hybridMultilevel"/>
    <w:lvl w:ilvl="0">
      <w:lvlJc w:val="left"/>
      <w:lvlText w:val="(%1)"/>
      <w:numFmt w:val="lowerRoman"/>
      <w:start w:val="1"/>
    </w:lvl>
    <w:lvl w:ilvl="1">
      <w:lvlJc w:val="left"/>
      <w:lvlText w:val="%2)"/>
      <w:numFmt w:val="lowerLetter"/>
      <w:start w:val="1"/>
    </w:lvl>
  </w:abstractNum>
  <w:abstractNum w:abstractNumId="178">
    <w:nsid w:val="541C8153"/>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2"/>
    </w:lvl>
  </w:abstractNum>
  <w:abstractNum w:abstractNumId="179">
    <w:nsid w:val="67906F60"/>
    <w:multiLevelType w:val="hybridMultilevel"/>
    <w:lvl w:ilvl="0">
      <w:lvlJc w:val="left"/>
      <w:lvlText w:val="%1"/>
      <w:numFmt w:val="decimal"/>
      <w:start w:val="1"/>
    </w:lvl>
    <w:lvl w:ilvl="1">
      <w:lvlJc w:val="left"/>
      <w:lvlText w:val="%2."/>
      <w:numFmt w:val="upperLetter"/>
      <w:start w:val="5"/>
    </w:lvl>
    <w:lvl w:ilvl="2">
      <w:lvlJc w:val="left"/>
      <w:lvlText w:val="%3"/>
      <w:numFmt w:val="lowerLetter"/>
      <w:start w:val="1"/>
    </w:lvl>
  </w:abstractNum>
  <w:abstractNum w:abstractNumId="180">
    <w:nsid w:val="10DB9DAA"/>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abstractNum>
  <w:abstractNum w:abstractNumId="181">
    <w:nsid w:val="697D2D2"/>
    <w:multiLevelType w:val="hybridMultilevel"/>
    <w:lvl w:ilvl="0">
      <w:lvlJc w:val="left"/>
      <w:lvlText w:val="(%1)"/>
      <w:numFmt w:val="lowerRoman"/>
      <w:start w:val="1"/>
    </w:lvl>
  </w:abstractNum>
  <w:abstractNum w:abstractNumId="182">
    <w:nsid w:val="6D68AB2"/>
    <w:multiLevelType w:val="hybridMultilevel"/>
    <w:lvl w:ilvl="0">
      <w:lvlJc w:val="left"/>
      <w:lvlText w:val="%1."/>
      <w:numFmt w:val="upperLetter"/>
      <w:start w:val="6"/>
    </w:lvl>
  </w:abstractNum>
  <w:abstractNum w:abstractNumId="183">
    <w:nsid w:val="3A966CD0"/>
    <w:multiLevelType w:val="hybridMultilevel"/>
    <w:lvl w:ilvl="0">
      <w:lvlJc w:val="left"/>
      <w:lvlText w:val="%1)"/>
      <w:numFmt w:val="decimal"/>
      <w:start w:val="2"/>
    </w:lvl>
  </w:abstractNum>
  <w:abstractNum w:abstractNumId="184">
    <w:nsid w:val="63F37E85"/>
    <w:multiLevelType w:val="hybridMultilevel"/>
    <w:lvl w:ilvl="0">
      <w:lvlJc w:val="left"/>
      <w:lvlText w:val="%1)"/>
      <w:numFmt w:val="decimal"/>
      <w:start w:val="4"/>
    </w:lvl>
  </w:abstractNum>
  <w:abstractNum w:abstractNumId="185">
    <w:nsid w:val="5895F5FA"/>
    <w:multiLevelType w:val="hybridMultilevel"/>
    <w:lvl w:ilvl="0">
      <w:lvlJc w:val="left"/>
      <w:lvlText w:val="(%1)"/>
      <w:numFmt w:val="lowerLetter"/>
      <w:start w:val="1"/>
    </w:lvl>
  </w:abstractNum>
  <w:abstractNum w:abstractNumId="186">
    <w:nsid w:val="38A5D054"/>
    <w:multiLevelType w:val="hybridMultilevel"/>
    <w:lvl w:ilvl="0">
      <w:lvlJc w:val="left"/>
      <w:lvlText w:val="(%1)"/>
      <w:numFmt w:val="upperLetter"/>
      <w:start w:val="9"/>
    </w:lvl>
  </w:abstractNum>
  <w:abstractNum w:abstractNumId="187">
    <w:nsid w:val="F3F09D8"/>
    <w:multiLevelType w:val="hybridMultilevel"/>
    <w:lvl w:ilvl="0">
      <w:lvlJc w:val="left"/>
      <w:lvlText w:val="%1"/>
      <w:numFmt w:val="decimal"/>
      <w:start w:val="1"/>
    </w:lvl>
    <w:lvl w:ilvl="1">
      <w:lvlJc w:val="left"/>
      <w:lvlText w:val="(%2)"/>
      <w:numFmt w:val="decimal"/>
      <w:start w:val="2"/>
    </w:lvl>
    <w:lvl w:ilvl="2">
      <w:lvlJc w:val="left"/>
      <w:lvlText w:val="(%3)"/>
      <w:numFmt w:val="decimal"/>
      <w:start w:val="2"/>
    </w:lvl>
    <w:lvl w:ilvl="3">
      <w:lvlJc w:val="left"/>
      <w:lvlText w:val="%4."/>
      <w:numFmt w:val="upperLetter"/>
      <w:start w:val="1"/>
    </w:lvl>
  </w:abstractNum>
  <w:abstractNum w:abstractNumId="188">
    <w:nsid w:val="4B793735"/>
    <w:multiLevelType w:val="hybridMultilevel"/>
    <w:lvl w:ilvl="0">
      <w:lvlJc w:val="left"/>
      <w:lvlText w:val="%1)"/>
      <w:numFmt w:val="decimal"/>
      <w:start w:val="5"/>
    </w:lvl>
    <w:lvl w:ilvl="1">
      <w:lvlJc w:val="left"/>
      <w:lvlText w:val="%2"/>
      <w:numFmt w:val="decimal"/>
      <w:start w:val="1"/>
    </w:lvl>
    <w:lvl w:ilvl="2">
      <w:lvlJc w:val="left"/>
      <w:lvlText w:val="%3"/>
      <w:numFmt w:val="decimal"/>
      <w:start w:val="1"/>
    </w:lvl>
    <w:lvl w:ilvl="3">
      <w:lvlJc w:val="left"/>
      <w:lvlText w:val="%4"/>
      <w:numFmt w:val="upperLetter"/>
      <w:start w:val="1"/>
    </w:lvl>
  </w:abstractNum>
  <w:abstractNum w:abstractNumId="189">
    <w:nsid w:val="4A10B4E8"/>
    <w:multiLevelType w:val="hybridMultilevel"/>
    <w:lvl w:ilvl="0">
      <w:lvlJc w:val="left"/>
      <w:lvlText w:val="•"/>
      <w:numFmt w:val="bullet"/>
      <w:start w:val="1"/>
    </w:lvl>
    <w:lvl w:ilvl="1">
      <w:lvlJc w:val="left"/>
      <w:lvlText w:val="◦"/>
      <w:numFmt w:val="bullet"/>
      <w:start w:val="1"/>
    </w:lvl>
  </w:abstractNum>
  <w:abstractNum w:abstractNumId="190">
    <w:nsid w:val="43D3BCD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91">
    <w:nsid w:val="4C2A7166"/>
    <w:multiLevelType w:val="hybridMultilevel"/>
    <w:lvl w:ilvl="0">
      <w:lvlJc w:val="left"/>
      <w:lvlText w:val="▪"/>
      <w:numFmt w:val="bullet"/>
      <w:start w:val="1"/>
    </w:lvl>
    <w:lvl w:ilvl="1">
      <w:lvlJc w:val="left"/>
      <w:lvlText w:val="•"/>
      <w:numFmt w:val="bullet"/>
      <w:start w:val="1"/>
    </w:lvl>
  </w:abstractNum>
  <w:abstractNum w:abstractNumId="192">
    <w:nsid w:val="2E534A82"/>
    <w:multiLevelType w:val="hybridMultilevel"/>
    <w:lvl w:ilvl="0">
      <w:lvlJc w:val="left"/>
      <w:lvlText w:val="▪"/>
      <w:numFmt w:val="bullet"/>
      <w:start w:val="1"/>
    </w:lvl>
  </w:abstractNum>
  <w:abstractNum w:abstractNumId="193">
    <w:nsid w:val="26F2D364"/>
    <w:multiLevelType w:val="hybridMultilevel"/>
    <w:lvl w:ilvl="0">
      <w:lvlJc w:val="left"/>
      <w:lvlText w:val="◦"/>
      <w:numFmt w:val="bullet"/>
      <w:start w:val="1"/>
    </w:lvl>
  </w:abstractNum>
  <w:abstractNum w:abstractNumId="194">
    <w:nsid w:val="71C1AF98"/>
    <w:multiLevelType w:val="hybridMultilevel"/>
    <w:lvl w:ilvl="0">
      <w:lvlJc w:val="left"/>
      <w:lvlText w:val="◦"/>
      <w:numFmt w:val="bullet"/>
      <w:start w:val="1"/>
    </w:lvl>
  </w:abstractNum>
  <w:abstractNum w:abstractNumId="195">
    <w:nsid w:val="3D00B9D9"/>
    <w:multiLevelType w:val="hybridMultilevel"/>
    <w:lvl w:ilvl="0">
      <w:lvlJc w:val="left"/>
      <w:lvlText w:val="%1."/>
      <w:numFmt w:val="lowerLetter"/>
      <w:start w:val="1"/>
    </w:lvl>
  </w:abstractNum>
  <w:abstractNum w:abstractNumId="196">
    <w:nsid w:val="15BCABA8"/>
    <w:multiLevelType w:val="hybridMultilevel"/>
    <w:lvl w:ilvl="0">
      <w:lvlJc w:val="left"/>
      <w:lvlText w:val="%1."/>
      <w:numFmt w:val="lowerLetter"/>
      <w:start w:val="8"/>
    </w:lvl>
  </w:abstractNum>
  <w:abstractNum w:abstractNumId="197">
    <w:nsid w:val="4E0B9A87"/>
    <w:multiLevelType w:val="hybridMultilevel"/>
    <w:lvl w:ilvl="0">
      <w:lvlJc w:val="left"/>
      <w:lvlText w:val="%1."/>
      <w:numFmt w:val="lowerLetter"/>
      <w:start w:val="2"/>
    </w:lvl>
    <w:lvl w:ilvl="1">
      <w:lvlJc w:val="left"/>
      <w:lvlText w:val="%2."/>
      <w:numFmt w:val="lowerRoman"/>
      <w:start w:val="1"/>
    </w:lvl>
  </w:abstractNum>
  <w:abstractNum w:abstractNumId="198">
    <w:nsid w:val="434BAE75"/>
    <w:multiLevelType w:val="hybridMultilevel"/>
    <w:lvl w:ilvl="0">
      <w:lvlJc w:val="left"/>
      <w:lvlText w:val="%1."/>
      <w:numFmt w:val="lowerRoman"/>
      <w:start w:val="4"/>
    </w:lvl>
    <w:lvl w:ilvl="1">
      <w:lvlJc w:val="left"/>
      <w:lvlText w:val="%2."/>
      <w:numFmt w:val="lowerRoman"/>
      <w:start w:val="5"/>
    </w:lvl>
  </w:abstractNum>
  <w:abstractNum w:abstractNumId="199">
    <w:nsid w:val="4F38F265"/>
    <w:multiLevelType w:val="hybridMultilevel"/>
    <w:lvl w:ilvl="0">
      <w:lvlJc w:val="left"/>
      <w:lvlText w:val="%1"/>
      <w:numFmt w:val="lowerLetter"/>
      <w:start w:val="1"/>
    </w:lvl>
    <w:lvl w:ilvl="1">
      <w:lvlJc w:val="left"/>
      <w:lvlText w:val="%2."/>
      <w:numFmt w:val="lowerLetter"/>
      <w:start w:val="35"/>
    </w:lvl>
  </w:abstractNum>
  <w:abstractNum w:abstractNumId="200">
    <w:nsid w:val="4C502870"/>
    <w:multiLevelType w:val="hybridMultilevel"/>
    <w:lvl w:ilvl="0">
      <w:lvlJc w:val="left"/>
      <w:lvlText w:val="%1."/>
      <w:numFmt w:val="lowerLetter"/>
      <w:start w:val="5"/>
    </w:lvl>
    <w:lvl w:ilvl="1">
      <w:lvlJc w:val="left"/>
      <w:lvlText w:val="%2"/>
      <w:numFmt w:val="lowerLetter"/>
      <w:start w:val="1"/>
    </w:lvl>
  </w:abstractNum>
  <w:abstractNum w:abstractNumId="201">
    <w:nsid w:val="1DE8725A"/>
    <w:multiLevelType w:val="hybridMultilevel"/>
    <w:lvl w:ilvl="0">
      <w:lvlJc w:val="left"/>
      <w:lvlText w:val="(%1)"/>
      <w:numFmt w:val="lowerRoman"/>
      <w:start w:val="1"/>
    </w:lvl>
  </w:abstractNum>
  <w:abstractNum w:abstractNumId="202">
    <w:nsid w:val="6A37288A"/>
    <w:multiLevelType w:val="hybridMultilevel"/>
    <w:lvl w:ilvl="0">
      <w:lvlJc w:val="left"/>
      <w:lvlText w:val="%1."/>
      <w:numFmt w:val="lowerRoman"/>
      <w:start w:val="2"/>
    </w:lvl>
  </w:abstractNum>
  <w:abstractNum w:abstractNumId="203">
    <w:nsid w:val="8F8B73F"/>
    <w:multiLevelType w:val="hybridMultilevel"/>
    <w:lvl w:ilvl="0">
      <w:lvlJc w:val="left"/>
      <w:lvlText w:val="%1."/>
      <w:numFmt w:val="lowerLetter"/>
      <w:start w:val="7"/>
    </w:lvl>
    <w:lvl w:ilvl="1">
      <w:lvlJc w:val="left"/>
      <w:lvlText w:val="%2."/>
      <w:numFmt w:val="lowerRoman"/>
      <w:start w:val="1"/>
    </w:lvl>
  </w:abstractNum>
  <w:abstractNum w:abstractNumId="204">
    <w:nsid w:val="CA6B462"/>
    <w:multiLevelType w:val="hybridMultilevel"/>
    <w:lvl w:ilvl="0">
      <w:lvlJc w:val="left"/>
      <w:lvlText w:val="%1."/>
      <w:numFmt w:val="lowerLetter"/>
      <w:start w:val="1"/>
    </w:lvl>
  </w:abstractNum>
  <w:abstractNum w:abstractNumId="205">
    <w:nsid w:val="763CB680"/>
    <w:multiLevelType w:val="hybridMultilevel"/>
    <w:lvl w:ilvl="0">
      <w:lvlJc w:val="left"/>
      <w:lvlText w:val="%1."/>
      <w:numFmt w:val="lowerLetter"/>
      <w:start w:val="1"/>
    </w:lvl>
    <w:lvl w:ilvl="1">
      <w:lvlJc w:val="left"/>
      <w:lvlText w:val="%2."/>
      <w:numFmt w:val="lowerRoman"/>
      <w:start w:val="1"/>
    </w:lvl>
  </w:abstractNum>
  <w:abstractNum w:abstractNumId="206">
    <w:nsid w:val="15B71329"/>
    <w:multiLevelType w:val="hybridMultilevel"/>
    <w:lvl w:ilvl="0">
      <w:lvlJc w:val="left"/>
      <w:lvlText w:val="%1"/>
      <w:numFmt w:val="lowerLetter"/>
      <w:start w:val="1"/>
    </w:lvl>
    <w:lvl w:ilvl="1">
      <w:lvlJc w:val="left"/>
      <w:lvlText w:val="%2."/>
      <w:numFmt w:val="lowerLetter"/>
      <w:start w:val="61"/>
    </w:lvl>
  </w:abstractNum>
  <w:abstractNum w:abstractNumId="207">
    <w:nsid w:val="3DA97044"/>
    <w:multiLevelType w:val="hybridMultilevel"/>
    <w:lvl w:ilvl="0">
      <w:lvlJc w:val="left"/>
      <w:lvlText w:val="%1."/>
      <w:numFmt w:val="lowerLetter"/>
      <w:start w:val="2"/>
    </w:lvl>
    <w:lvl w:ilvl="1">
      <w:lvlJc w:val="left"/>
      <w:lvlText w:val="%2"/>
      <w:numFmt w:val="lowerLetter"/>
      <w:start w:val="1"/>
    </w:lvl>
  </w:abstractNum>
  <w:abstractNum w:abstractNumId="208">
    <w:nsid w:val="1CDCE2DE"/>
    <w:multiLevelType w:val="hybridMultilevel"/>
    <w:lvl w:ilvl="0">
      <w:lvlJc w:val="left"/>
      <w:lvlText w:val="%1."/>
      <w:numFmt w:val="lowerLetter"/>
      <w:start w:val="3"/>
    </w:lvl>
  </w:abstractNum>
  <w:abstractNum w:abstractNumId="209">
    <w:nsid w:val="69D3947C"/>
    <w:multiLevelType w:val="hybridMultilevel"/>
    <w:lvl w:ilvl="0">
      <w:lvlJc w:val="left"/>
      <w:lvlText w:val="%1."/>
      <w:numFmt w:val="decimal"/>
      <w:start w:val="1"/>
    </w:lvl>
  </w:abstractNum>
  <w:abstractNum w:abstractNumId="210">
    <w:nsid w:val="2539DFA5"/>
    <w:multiLevelType w:val="hybridMultilevel"/>
    <w:lvl w:ilvl="0">
      <w:lvlJc w:val="left"/>
      <w:lvlText w:val="%1."/>
      <w:numFmt w:val="decimal"/>
      <w:start w:val="1"/>
    </w:lvl>
    <w:lvl w:ilvl="1">
      <w:lvlJc w:val="left"/>
      <w:lvlText w:val="%2)"/>
      <w:numFmt w:val="lowerLetter"/>
      <w:start w:val="1"/>
    </w:lvl>
  </w:abstractNum>
  <w:abstractNum w:abstractNumId="211">
    <w:nsid w:val="2DB88089"/>
    <w:multiLevelType w:val="hybridMultilevel"/>
    <w:lvl w:ilvl="0">
      <w:lvlJc w:val="left"/>
      <w:lvlText w:val="%1."/>
      <w:numFmt w:val="decimal"/>
      <w:start w:val="1"/>
    </w:lvl>
    <w:lvl w:ilvl="1">
      <w:lvlJc w:val="left"/>
      <w:lvlText w:val="%2)"/>
      <w:numFmt w:val="lowerLetter"/>
      <w:start w:val="1"/>
    </w:lvl>
  </w:abstractNum>
  <w:abstractNum w:abstractNumId="212">
    <w:nsid w:val="706B674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23" Type="http://schemas.openxmlformats.org/officeDocument/2006/relationships/image" Target="media/image102.png"/><Relationship Id="rId124" Type="http://schemas.openxmlformats.org/officeDocument/2006/relationships/image" Target="media/image103.png"/><Relationship Id="rId126" Type="http://schemas.openxmlformats.org/officeDocument/2006/relationships/image" Target="media/image104.png"/><Relationship Id="rId128" Type="http://schemas.openxmlformats.org/officeDocument/2006/relationships/image" Target="media/image105.png"/><Relationship Id="rId131" Type="http://schemas.openxmlformats.org/officeDocument/2006/relationships/image" Target="media/image106.png"/><Relationship Id="rId134" Type="http://schemas.openxmlformats.org/officeDocument/2006/relationships/image" Target="media/image107.png"/><Relationship Id="rId137" Type="http://schemas.openxmlformats.org/officeDocument/2006/relationships/image" Target="media/image108.png"/><Relationship Id="rId140" Type="http://schemas.openxmlformats.org/officeDocument/2006/relationships/image" Target="media/image109.png"/><Relationship Id="rId143" Type="http://schemas.openxmlformats.org/officeDocument/2006/relationships/image" Target="media/image110.png"/><Relationship Id="rId145" Type="http://schemas.openxmlformats.org/officeDocument/2006/relationships/image" Target="media/image111.png"/><Relationship Id="rId155" Type="http://schemas.openxmlformats.org/officeDocument/2006/relationships/image" Target="media/image112.png"/><Relationship Id="rId156" Type="http://schemas.openxmlformats.org/officeDocument/2006/relationships/image" Target="media/image113.png"/><Relationship Id="rId172" Type="http://schemas.openxmlformats.org/officeDocument/2006/relationships/image" Target="media/image114.png"/><Relationship Id="rId173" Type="http://schemas.openxmlformats.org/officeDocument/2006/relationships/image" Target="media/image115.png"/><Relationship Id="rId175" Type="http://schemas.openxmlformats.org/officeDocument/2006/relationships/image" Target="media/image116.png"/><Relationship Id="rId177" Type="http://schemas.openxmlformats.org/officeDocument/2006/relationships/image" Target="media/image117.png"/><Relationship Id="rId180" Type="http://schemas.openxmlformats.org/officeDocument/2006/relationships/image" Target="media/image118.png"/><Relationship Id="rId183" Type="http://schemas.openxmlformats.org/officeDocument/2006/relationships/image" Target="media/image119.png"/><Relationship Id="rId186" Type="http://schemas.openxmlformats.org/officeDocument/2006/relationships/image" Target="media/image120.png"/><Relationship Id="rId189" Type="http://schemas.openxmlformats.org/officeDocument/2006/relationships/image" Target="media/image121.png"/><Relationship Id="rId192" Type="http://schemas.openxmlformats.org/officeDocument/2006/relationships/image" Target="media/image122.png"/><Relationship Id="rId195" Type="http://schemas.openxmlformats.org/officeDocument/2006/relationships/image" Target="media/image123.png"/><Relationship Id="rId197" Type="http://schemas.openxmlformats.org/officeDocument/2006/relationships/image" Target="media/image124.png"/><Relationship Id="rId208" Type="http://schemas.openxmlformats.org/officeDocument/2006/relationships/image" Target="media/image125.png"/><Relationship Id="rId209" Type="http://schemas.openxmlformats.org/officeDocument/2006/relationships/image" Target="media/image126.png"/><Relationship Id="rId210" Type="http://schemas.openxmlformats.org/officeDocument/2006/relationships/image" Target="media/image127.png"/><Relationship Id="rId211" Type="http://schemas.openxmlformats.org/officeDocument/2006/relationships/image" Target="media/image128.png"/><Relationship Id="rId212" Type="http://schemas.openxmlformats.org/officeDocument/2006/relationships/image" Target="media/image129.png"/><Relationship Id="rId213" Type="http://schemas.openxmlformats.org/officeDocument/2006/relationships/image" Target="media/image130.png"/><Relationship Id="rId214" Type="http://schemas.openxmlformats.org/officeDocument/2006/relationships/image" Target="media/image131.png"/><Relationship Id="rId215" Type="http://schemas.openxmlformats.org/officeDocument/2006/relationships/image" Target="media/image132.png"/><Relationship Id="rId216" Type="http://schemas.openxmlformats.org/officeDocument/2006/relationships/image" Target="media/image133.png"/><Relationship Id="rId217" Type="http://schemas.openxmlformats.org/officeDocument/2006/relationships/image" Target="media/image134.png"/><Relationship Id="rId218" Type="http://schemas.openxmlformats.org/officeDocument/2006/relationships/image" Target="media/image135.png"/><Relationship Id="rId219" Type="http://schemas.openxmlformats.org/officeDocument/2006/relationships/image" Target="media/image136.png"/><Relationship Id="rId220" Type="http://schemas.openxmlformats.org/officeDocument/2006/relationships/image" Target="media/image137.png"/><Relationship Id="rId221" Type="http://schemas.openxmlformats.org/officeDocument/2006/relationships/image" Target="media/image138.png"/><Relationship Id="rId222" Type="http://schemas.openxmlformats.org/officeDocument/2006/relationships/image" Target="media/image139.png"/><Relationship Id="rId223" Type="http://schemas.openxmlformats.org/officeDocument/2006/relationships/image" Target="media/image140.png"/><Relationship Id="rId224" Type="http://schemas.openxmlformats.org/officeDocument/2006/relationships/image" Target="media/image141.png"/><Relationship Id="rId225" Type="http://schemas.openxmlformats.org/officeDocument/2006/relationships/image" Target="media/image142.png"/><Relationship Id="rId226" Type="http://schemas.openxmlformats.org/officeDocument/2006/relationships/image" Target="media/image143.png"/><Relationship Id="rId227" Type="http://schemas.openxmlformats.org/officeDocument/2006/relationships/image" Target="media/image144.png"/><Relationship Id="rId228" Type="http://schemas.openxmlformats.org/officeDocument/2006/relationships/image" Target="media/image145.png"/><Relationship Id="rId229" Type="http://schemas.openxmlformats.org/officeDocument/2006/relationships/image" Target="media/image146.png"/><Relationship Id="rId230" Type="http://schemas.openxmlformats.org/officeDocument/2006/relationships/image" Target="media/image147.png"/><Relationship Id="rId231" Type="http://schemas.openxmlformats.org/officeDocument/2006/relationships/image" Target="media/image148.png"/><Relationship Id="rId232" Type="http://schemas.openxmlformats.org/officeDocument/2006/relationships/image" Target="media/image149.png"/><Relationship Id="rId233" Type="http://schemas.openxmlformats.org/officeDocument/2006/relationships/image" Target="media/image150.png"/><Relationship Id="rId234" Type="http://schemas.openxmlformats.org/officeDocument/2006/relationships/image" Target="media/image151.png"/><Relationship Id="rId235" Type="http://schemas.openxmlformats.org/officeDocument/2006/relationships/image" Target="media/image152.png"/><Relationship Id="rId236" Type="http://schemas.openxmlformats.org/officeDocument/2006/relationships/image" Target="media/image153.png"/><Relationship Id="rId237" Type="http://schemas.openxmlformats.org/officeDocument/2006/relationships/image" Target="media/image154.png"/><Relationship Id="rId238" Type="http://schemas.openxmlformats.org/officeDocument/2006/relationships/image" Target="media/image155.png"/><Relationship Id="rId239" Type="http://schemas.openxmlformats.org/officeDocument/2006/relationships/image" Target="media/image156.png"/><Relationship Id="rId240" Type="http://schemas.openxmlformats.org/officeDocument/2006/relationships/image" Target="media/image157.png"/><Relationship Id="rId241" Type="http://schemas.openxmlformats.org/officeDocument/2006/relationships/image" Target="media/image158.png"/><Relationship Id="rId242" Type="http://schemas.openxmlformats.org/officeDocument/2006/relationships/image" Target="media/image159.png"/><Relationship Id="rId243" Type="http://schemas.openxmlformats.org/officeDocument/2006/relationships/image" Target="media/image160.png"/><Relationship Id="rId244" Type="http://schemas.openxmlformats.org/officeDocument/2006/relationships/image" Target="media/image161.png"/><Relationship Id="rId245" Type="http://schemas.openxmlformats.org/officeDocument/2006/relationships/image" Target="media/image162.png"/><Relationship Id="rId246" Type="http://schemas.openxmlformats.org/officeDocument/2006/relationships/image" Target="media/image163.png"/><Relationship Id="rId247" Type="http://schemas.openxmlformats.org/officeDocument/2006/relationships/image" Target="media/image164.png"/><Relationship Id="rId248" Type="http://schemas.openxmlformats.org/officeDocument/2006/relationships/image" Target="media/image165.png"/><Relationship Id="rId249" Type="http://schemas.openxmlformats.org/officeDocument/2006/relationships/image" Target="media/image166.png"/><Relationship Id="rId250" Type="http://schemas.openxmlformats.org/officeDocument/2006/relationships/image" Target="media/image167.png"/><Relationship Id="rId251" Type="http://schemas.openxmlformats.org/officeDocument/2006/relationships/image" Target="media/image168.png"/><Relationship Id="rId252" Type="http://schemas.openxmlformats.org/officeDocument/2006/relationships/image" Target="media/image169.png"/><Relationship Id="rId253" Type="http://schemas.openxmlformats.org/officeDocument/2006/relationships/image" Target="media/image170.png"/><Relationship Id="rId254" Type="http://schemas.openxmlformats.org/officeDocument/2006/relationships/image" Target="media/image171.png"/><Relationship Id="rId255" Type="http://schemas.openxmlformats.org/officeDocument/2006/relationships/image" Target="media/image172.png"/><Relationship Id="rId256" Type="http://schemas.openxmlformats.org/officeDocument/2006/relationships/image" Target="media/image173.png"/><Relationship Id="rId257" Type="http://schemas.openxmlformats.org/officeDocument/2006/relationships/image" Target="media/image174.png"/><Relationship Id="rId258" Type="http://schemas.openxmlformats.org/officeDocument/2006/relationships/image" Target="media/image175.png"/><Relationship Id="rId259" Type="http://schemas.openxmlformats.org/officeDocument/2006/relationships/image" Target="media/image176.png"/><Relationship Id="rId260" Type="http://schemas.openxmlformats.org/officeDocument/2006/relationships/image" Target="media/image177.png"/><Relationship Id="rId261" Type="http://schemas.openxmlformats.org/officeDocument/2006/relationships/image" Target="media/image178.png"/><Relationship Id="rId262" Type="http://schemas.openxmlformats.org/officeDocument/2006/relationships/image" Target="media/image179.png"/><Relationship Id="rId263" Type="http://schemas.openxmlformats.org/officeDocument/2006/relationships/image" Target="media/image180.png"/><Relationship Id="rId264" Type="http://schemas.openxmlformats.org/officeDocument/2006/relationships/image" Target="media/image181.png"/><Relationship Id="rId265" Type="http://schemas.openxmlformats.org/officeDocument/2006/relationships/image" Target="media/image182.png"/><Relationship Id="rId266" Type="http://schemas.openxmlformats.org/officeDocument/2006/relationships/image" Target="media/image183.png"/><Relationship Id="rId267" Type="http://schemas.openxmlformats.org/officeDocument/2006/relationships/image" Target="media/image184.png"/><Relationship Id="rId268" Type="http://schemas.openxmlformats.org/officeDocument/2006/relationships/image" Target="media/image185.png"/><Relationship Id="rId269" Type="http://schemas.openxmlformats.org/officeDocument/2006/relationships/image" Target="media/image186.png"/><Relationship Id="rId270" Type="http://schemas.openxmlformats.org/officeDocument/2006/relationships/image" Target="media/image187.png"/><Relationship Id="rId271" Type="http://schemas.openxmlformats.org/officeDocument/2006/relationships/image" Target="media/image188.png"/><Relationship Id="rId272" Type="http://schemas.openxmlformats.org/officeDocument/2006/relationships/image" Target="media/image189.png"/><Relationship Id="rId273" Type="http://schemas.openxmlformats.org/officeDocument/2006/relationships/image" Target="media/image190.png"/><Relationship Id="rId274" Type="http://schemas.openxmlformats.org/officeDocument/2006/relationships/image" Target="media/image191.png"/><Relationship Id="rId275" Type="http://schemas.openxmlformats.org/officeDocument/2006/relationships/image" Target="media/image192.png"/><Relationship Id="rId276" Type="http://schemas.openxmlformats.org/officeDocument/2006/relationships/image" Target="media/image193.png"/><Relationship Id="rId277" Type="http://schemas.openxmlformats.org/officeDocument/2006/relationships/image" Target="media/image194.png"/><Relationship Id="rId278" Type="http://schemas.openxmlformats.org/officeDocument/2006/relationships/image" Target="media/image195.png"/><Relationship Id="rId279" Type="http://schemas.openxmlformats.org/officeDocument/2006/relationships/image" Target="media/image196.png"/><Relationship Id="rId280" Type="http://schemas.openxmlformats.org/officeDocument/2006/relationships/image" Target="media/image197.png"/><Relationship Id="rId281" Type="http://schemas.openxmlformats.org/officeDocument/2006/relationships/image" Target="media/image198.png"/><Relationship Id="rId282" Type="http://schemas.openxmlformats.org/officeDocument/2006/relationships/image" Target="media/image199.png"/><Relationship Id="rId283" Type="http://schemas.openxmlformats.org/officeDocument/2006/relationships/image" Target="media/image200.png"/><Relationship Id="rId284" Type="http://schemas.openxmlformats.org/officeDocument/2006/relationships/image" Target="media/image201.png"/><Relationship Id="rId285" Type="http://schemas.openxmlformats.org/officeDocument/2006/relationships/image" Target="media/image202.png"/><Relationship Id="rId286" Type="http://schemas.openxmlformats.org/officeDocument/2006/relationships/image" Target="media/image203.png"/><Relationship Id="rId287" Type="http://schemas.openxmlformats.org/officeDocument/2006/relationships/image" Target="media/image204.png"/><Relationship Id="rId288" Type="http://schemas.openxmlformats.org/officeDocument/2006/relationships/image" Target="media/image205.png"/><Relationship Id="rId289" Type="http://schemas.openxmlformats.org/officeDocument/2006/relationships/image" Target="media/image206.png"/><Relationship Id="rId290" Type="http://schemas.openxmlformats.org/officeDocument/2006/relationships/image" Target="media/image207.png"/><Relationship Id="rId291" Type="http://schemas.openxmlformats.org/officeDocument/2006/relationships/image" Target="media/image208.png"/><Relationship Id="rId292" Type="http://schemas.openxmlformats.org/officeDocument/2006/relationships/image" Target="media/image209.png"/><Relationship Id="rId293" Type="http://schemas.openxmlformats.org/officeDocument/2006/relationships/image" Target="media/image210.png"/><Relationship Id="rId294" Type="http://schemas.openxmlformats.org/officeDocument/2006/relationships/image" Target="media/image211.png"/><Relationship Id="rId295" Type="http://schemas.openxmlformats.org/officeDocument/2006/relationships/image" Target="media/image212.png"/><Relationship Id="rId296" Type="http://schemas.openxmlformats.org/officeDocument/2006/relationships/image" Target="media/image213.png"/><Relationship Id="rId297" Type="http://schemas.openxmlformats.org/officeDocument/2006/relationships/image" Target="media/image214.png"/><Relationship Id="rId298" Type="http://schemas.openxmlformats.org/officeDocument/2006/relationships/image" Target="media/image215.png"/><Relationship Id="rId299" Type="http://schemas.openxmlformats.org/officeDocument/2006/relationships/image" Target="media/image216.png"/><Relationship Id="rId300" Type="http://schemas.openxmlformats.org/officeDocument/2006/relationships/image" Target="media/image217.png"/><Relationship Id="rId301" Type="http://schemas.openxmlformats.org/officeDocument/2006/relationships/image" Target="media/image218.png"/><Relationship Id="rId302" Type="http://schemas.openxmlformats.org/officeDocument/2006/relationships/image" Target="media/image219.png"/><Relationship Id="rId303" Type="http://schemas.openxmlformats.org/officeDocument/2006/relationships/image" Target="media/image220.png"/><Relationship Id="rId304" Type="http://schemas.openxmlformats.org/officeDocument/2006/relationships/image" Target="media/image221.png"/><Relationship Id="rId305" Type="http://schemas.openxmlformats.org/officeDocument/2006/relationships/image" Target="media/image222.png"/><Relationship Id="rId306" Type="http://schemas.openxmlformats.org/officeDocument/2006/relationships/image" Target="media/image223.png"/><Relationship Id="rId307" Type="http://schemas.openxmlformats.org/officeDocument/2006/relationships/image" Target="media/image224.png"/><Relationship Id="rId308" Type="http://schemas.openxmlformats.org/officeDocument/2006/relationships/image" Target="media/image225.png"/><Relationship Id="rId309" Type="http://schemas.openxmlformats.org/officeDocument/2006/relationships/image" Target="media/image226.png"/><Relationship Id="rId310" Type="http://schemas.openxmlformats.org/officeDocument/2006/relationships/image" Target="media/image227.png"/><Relationship Id="rId311" Type="http://schemas.openxmlformats.org/officeDocument/2006/relationships/image" Target="media/image228.png"/><Relationship Id="rId312" Type="http://schemas.openxmlformats.org/officeDocument/2006/relationships/image" Target="media/image229.png"/><Relationship Id="rId313" Type="http://schemas.openxmlformats.org/officeDocument/2006/relationships/image" Target="media/image230.png"/><Relationship Id="rId314" Type="http://schemas.openxmlformats.org/officeDocument/2006/relationships/image" Target="media/image231.png"/><Relationship Id="rId315" Type="http://schemas.openxmlformats.org/officeDocument/2006/relationships/image" Target="media/image232.png"/><Relationship Id="rId316" Type="http://schemas.openxmlformats.org/officeDocument/2006/relationships/image" Target="media/image233.png"/><Relationship Id="rId317" Type="http://schemas.openxmlformats.org/officeDocument/2006/relationships/image" Target="media/image234.png"/><Relationship Id="rId318" Type="http://schemas.openxmlformats.org/officeDocument/2006/relationships/image" Target="media/image235.png"/><Relationship Id="rId319" Type="http://schemas.openxmlformats.org/officeDocument/2006/relationships/image" Target="media/image236.png"/><Relationship Id="rId320" Type="http://schemas.openxmlformats.org/officeDocument/2006/relationships/image" Target="media/image237.jpeg"/><Relationship Id="rId321" Type="http://schemas.openxmlformats.org/officeDocument/2006/relationships/image" Target="media/image238.jpeg"/><Relationship Id="rId322" Type="http://schemas.openxmlformats.org/officeDocument/2006/relationships/image" Target="media/image239.png"/><Relationship Id="rId323" Type="http://schemas.openxmlformats.org/officeDocument/2006/relationships/image" Target="media/image240.png"/><Relationship Id="rId324" Type="http://schemas.openxmlformats.org/officeDocument/2006/relationships/image" Target="media/image241.png"/><Relationship Id="rId325" Type="http://schemas.openxmlformats.org/officeDocument/2006/relationships/image" Target="media/image242.png"/><Relationship Id="rId326" Type="http://schemas.openxmlformats.org/officeDocument/2006/relationships/image" Target="media/image243.png"/><Relationship Id="rId327" Type="http://schemas.openxmlformats.org/officeDocument/2006/relationships/image" Target="media/image244.png"/><Relationship Id="rId328" Type="http://schemas.openxmlformats.org/officeDocument/2006/relationships/image" Target="media/image245.png"/><Relationship Id="rId329" Type="http://schemas.openxmlformats.org/officeDocument/2006/relationships/image" Target="media/image246.png"/><Relationship Id="rId330" Type="http://schemas.openxmlformats.org/officeDocument/2006/relationships/image" Target="media/image247.png"/><Relationship Id="rId331" Type="http://schemas.openxmlformats.org/officeDocument/2006/relationships/image" Target="media/image248.png"/><Relationship Id="rId332" Type="http://schemas.openxmlformats.org/officeDocument/2006/relationships/image" Target="media/image249.jpeg"/><Relationship Id="rId333" Type="http://schemas.openxmlformats.org/officeDocument/2006/relationships/image" Target="media/image250.jpeg"/><Relationship Id="rId334" Type="http://schemas.openxmlformats.org/officeDocument/2006/relationships/image" Target="media/image251.jpeg"/><Relationship Id="rId335" Type="http://schemas.openxmlformats.org/officeDocument/2006/relationships/image" Target="media/image252.png"/><Relationship Id="rId336" Type="http://schemas.openxmlformats.org/officeDocument/2006/relationships/image" Target="media/image253.png"/><Relationship Id="rId109" Type="http://schemas.openxmlformats.org/officeDocument/2006/relationships/hyperlink" Target="http://www.sec.gov/Archives/edgar/data/872589/000153217615000029/regn-ex_31x06302015x10q.htm" TargetMode="External"/><Relationship Id="rId110" Type="http://schemas.openxmlformats.org/officeDocument/2006/relationships/hyperlink" Target="http://www.sec.gov/Archives/edgar/data/872589/000110465916163216/a16-23471_1ex3d2.htm" TargetMode="External"/><Relationship Id="rId111" Type="http://schemas.openxmlformats.org/officeDocument/2006/relationships/hyperlink" Target="http://www.sec.gov/Archives/edgar/data/872589/000153217620000008/regn-ex41xdescriptiono.htm" TargetMode="External"/><Relationship Id="rId112" Type="http://schemas.openxmlformats.org/officeDocument/2006/relationships/hyperlink" Target="http://www.sec.gov/Archives/edgar/data/872589/000110465920093924/tm2027319d1_ex4-1.htm" TargetMode="External"/><Relationship Id="rId113" Type="http://schemas.openxmlformats.org/officeDocument/2006/relationships/hyperlink" Target="http://www.sec.gov/Archives/edgar/data/872589/000110465920093924/tm2027319d1_ex4-2.htm" TargetMode="External"/><Relationship Id="rId114" Type="http://schemas.openxmlformats.org/officeDocument/2006/relationships/hyperlink" Target="http://www.sec.gov/Archives/edgar/data/872589/000120677411001374/exhibit99-1.htm" TargetMode="External"/><Relationship Id="rId115" Type="http://schemas.openxmlformats.org/officeDocument/2006/relationships/hyperlink" Target="http://www.sec.gov/Archives/edgar/data/872589/000120677409000907/exhibit10-1.htm" TargetMode="External"/><Relationship Id="rId116" Type="http://schemas.openxmlformats.org/officeDocument/2006/relationships/hyperlink" Target="http://www.sec.gov/Archives/edgar/data/872589/000120677409000907/exhibit10-2.htm" TargetMode="External"/><Relationship Id="rId117" Type="http://schemas.openxmlformats.org/officeDocument/2006/relationships/hyperlink" Target="http://www.sec.gov/Archives/edgar/data/872589/000120677411000263/exhibit10_1-7.htm" TargetMode="External"/><Relationship Id="rId118" Type="http://schemas.openxmlformats.org/officeDocument/2006/relationships/hyperlink" Target="http://www.sec.gov/Archives/edgar/data/872589/000120677411000263/exhibit10_1-8.htm" TargetMode="External"/><Relationship Id="rId119" Type="http://schemas.openxmlformats.org/officeDocument/2006/relationships/hyperlink" Target="http://www.sec.gov/Archives/edgar/data/872589/000120677412000709/exhibit10-1_9.htm" TargetMode="External"/><Relationship Id="rId120" Type="http://schemas.openxmlformats.org/officeDocument/2006/relationships/hyperlink" Target="http://www.sec.gov/Archives/edgar/data/872589/000153217614000008/exhibit10110.htm" TargetMode="External"/><Relationship Id="rId121" Type="http://schemas.openxmlformats.org/officeDocument/2006/relationships/hyperlink" Target="http://www.sec.gov/Archives/edgar/data/872589/000110465917038718/a17-14867_1ex99d1.htm" TargetMode="External"/><Relationship Id="rId122" Type="http://schemas.openxmlformats.org/officeDocument/2006/relationships/hyperlink" Target="http://www.sec.gov/Archives/edgar/data/872589/000119312514240075/d741250dex101.htm" TargetMode="External"/><Relationship Id="rId125" Type="http://schemas.openxmlformats.org/officeDocument/2006/relationships/hyperlink" Target="http://www.sec.gov/Archives/edgar/data/872589/000119312514240075/d741250dex103.htm" TargetMode="External"/><Relationship Id="rId127" Type="http://schemas.openxmlformats.org/officeDocument/2006/relationships/hyperlink" Target="http://www.sec.gov/Archives/edgar/data/872589/000119312514240075/d741250dex104.htm" TargetMode="External"/><Relationship Id="rId129" Type="http://schemas.openxmlformats.org/officeDocument/2006/relationships/hyperlink" Target="http://www.sec.gov/Archives/edgar/data/872589/000153217616000045/regn-ex_1025x12312015x10k.htm" TargetMode="External"/><Relationship Id="rId130" Type="http://schemas.openxmlformats.org/officeDocument/2006/relationships/hyperlink" Target="http://www.sec.gov/Archives/edgar/data/872589/000110465915080234/a15-23696_1ex10d1.htm" TargetMode="External"/><Relationship Id="rId132" Type="http://schemas.openxmlformats.org/officeDocument/2006/relationships/hyperlink" Target="http://www.sec.gov/Archives/edgar/data/872589/000110465915080234/a15-23696_1ex10d3.htm" TargetMode="External"/><Relationship Id="rId133" Type="http://schemas.openxmlformats.org/officeDocument/2006/relationships/hyperlink" Target="http://www.sec.gov/Archives/edgar/data/872589/000153217616000045/regn-ex_10210x12312015x10k.htm" TargetMode="External"/><Relationship Id="rId135" Type="http://schemas.openxmlformats.org/officeDocument/2006/relationships/hyperlink" Target="http://www.sec.gov/Archives/edgar/data/872589/000153217618000013/regn-ex_10211xar2014ltipnq.htm" TargetMode="External"/><Relationship Id="rId136" Type="http://schemas.openxmlformats.org/officeDocument/2006/relationships/hyperlink" Target="http://www.sec.gov/Archives/edgar/data/872589/000153217618000013/regn-ex_10213xar2014ltipnq.htm" TargetMode="External"/><Relationship Id="rId138" Type="http://schemas.openxmlformats.org/officeDocument/2006/relationships/hyperlink" Target="http://www.sec.gov/Archives/edgar/data/872589/000153217618000013/regn-ex_10215xar2014ltiprs.htm" TargetMode="External"/><Relationship Id="rId139" Type="http://schemas.openxmlformats.org/officeDocument/2006/relationships/hyperlink" Target="http://www.sec.gov/Archives/edgar/data/872589/000153217618000013/regn-ex_10216xar2014ltipnq.htm" TargetMode="External"/><Relationship Id="rId141" Type="http://schemas.openxmlformats.org/officeDocument/2006/relationships/hyperlink" Target="http://www.sec.gov/Archives/edgar/data/872589/000153217619000009/regn-ex_10217xstockoptiona.htm" TargetMode="External"/><Relationship Id="rId142" Type="http://schemas.openxmlformats.org/officeDocument/2006/relationships/hyperlink" Target="http://www.sec.gov/Archives/edgar/data/872589/000153217619000009/regn-ex_10218xstockoptiona.htm" TargetMode="External"/><Relationship Id="rId144" Type="http://schemas.openxmlformats.org/officeDocument/2006/relationships/hyperlink" Target="http://www.sec.gov/Archives/edgar/data/872589/000153217619000009/regn-ex_10219xar2014ltiprs.htm" TargetMode="External"/><Relationship Id="rId146" Type="http://schemas.openxmlformats.org/officeDocument/2006/relationships/hyperlink" Target="http://www.sec.gov/Archives/edgar/data/872589/000153217619000009/regn-ex_10220xar2014ltipnq.htm" TargetMode="External"/><Relationship Id="rId147" Type="http://schemas.openxmlformats.org/officeDocument/2006/relationships/hyperlink" Target="http://www.sec.gov/Archives/edgar/data/872589/000153217619000009/regn-ex_10221xar2014ltiprs.htm" TargetMode="External"/><Relationship Id="rId148" Type="http://schemas.openxmlformats.org/officeDocument/2006/relationships/hyperlink" Target="http://www.sec.gov/Archives/edgar/data/872589/000153217620000008/regn-ex10217ar2014ltip.htm" TargetMode="External"/><Relationship Id="rId149" Type="http://schemas.openxmlformats.org/officeDocument/2006/relationships/hyperlink" Target="http://www.sec.gov/Archives/edgar/data/872589/000153217620000008/regn-ex10218ar2014ltip.htm" TargetMode="External"/><Relationship Id="rId150" Type="http://schemas.openxmlformats.org/officeDocument/2006/relationships/hyperlink" Target="http://www.sec.gov/Archives/edgar/data/872589/000153217620000008/regn-ex10219ar2014ltip.htm" TargetMode="External"/><Relationship Id="rId151" Type="http://schemas.openxmlformats.org/officeDocument/2006/relationships/hyperlink" Target="http://www.sec.gov/Archives/edgar/data/872589/000153217620000008/regn-ex10220ar2014ltip.htm" TargetMode="External"/><Relationship Id="rId152" Type="http://schemas.openxmlformats.org/officeDocument/2006/relationships/hyperlink" Target="http://www.sec.gov/Archives/edgar/data/872589/000153217620000008/regn-ex10221ar2014ltip.htm" TargetMode="External"/><Relationship Id="rId153" Type="http://schemas.openxmlformats.org/officeDocument/2006/relationships/hyperlink" Target="http://www.sec.gov/Archives/edgar/data/872589/000153217620000008/regn-ex10222ar2014ltip.htm" TargetMode="External"/><Relationship Id="rId154" Type="http://schemas.openxmlformats.org/officeDocument/2006/relationships/hyperlink" Target="http://www.sec.gov/Archives/edgar/data/872589/000110465920073764/tm2022552d1_ex99-1.htm" TargetMode="External"/><Relationship Id="rId157" Type="http://schemas.openxmlformats.org/officeDocument/2006/relationships/hyperlink" Target="http://www.sec.gov/Archives/edgar/data/872589/000120677409000338/exhibit10-3.htm" TargetMode="External"/><Relationship Id="rId158" Type="http://schemas.openxmlformats.org/officeDocument/2006/relationships/hyperlink" Target="http://www.sec.gov/Archives/edgar/data/872589/000095012305002979/y06183exv10w7.txt" TargetMode="External"/><Relationship Id="rId159" Type="http://schemas.openxmlformats.org/officeDocument/2006/relationships/hyperlink" Target="http://www.sec.gov/Archives/edgar/data/872589/000119312513365438/d596986dex101.htm" TargetMode="External"/><Relationship Id="rId160" Type="http://schemas.openxmlformats.org/officeDocument/2006/relationships/hyperlink" Target="http://www.sec.gov/Archives/edgar/data/872589/000120677409000338/exhibit10-5.htm" TargetMode="External"/><Relationship Id="rId161" Type="http://schemas.openxmlformats.org/officeDocument/2006/relationships/hyperlink" Target="http://www.sec.gov/Archives/edgar/data/872589/000110465915045962/a15-14252_1ex10d1.htm" TargetMode="External"/><Relationship Id="rId162" Type="http://schemas.openxmlformats.org/officeDocument/2006/relationships/hyperlink" Target="http://www.sec.gov/Archives/edgar/data/872589/000120677409001498/exhibit10-1.htm" TargetMode="External"/><Relationship Id="rId163" Type="http://schemas.openxmlformats.org/officeDocument/2006/relationships/hyperlink" Target="http://www.sec.gov/Archives/edgar/data/872589/000153217615000020/regn-ex_101x03312015x10q.htm" TargetMode="External"/><Relationship Id="rId164" Type="http://schemas.openxmlformats.org/officeDocument/2006/relationships/hyperlink" Target="http://www.sec.gov/Archives/edgar/data/872589/000095012306013527/y26593exv10w1.htm" TargetMode="External"/><Relationship Id="rId165" Type="http://schemas.openxmlformats.org/officeDocument/2006/relationships/hyperlink" Target="http://www.sec.gov/Archives/edgar/data/872589/000153217615000008/regn-ex_10101x12312014x10k.htm" TargetMode="External"/><Relationship Id="rId166" Type="http://schemas.openxmlformats.org/officeDocument/2006/relationships/hyperlink" Target="http://www.sec.gov/Archives/edgar/data/872589/000153217620000008/regn-ex10102secondamen.htm" TargetMode="External"/><Relationship Id="rId167" Type="http://schemas.openxmlformats.org/officeDocument/2006/relationships/hyperlink" Target="http://www.sec.gov/Archives/edgar/data/872589/000153217614000022/regn-ex_102x03312014x10q.htm" TargetMode="External"/><Relationship Id="rId168" Type="http://schemas.openxmlformats.org/officeDocument/2006/relationships/hyperlink" Target="http://www.sec.gov/Archives/edgar/data/872589/000120677410001385/exhibit10-14.htm" TargetMode="External"/><Relationship Id="rId169" Type="http://schemas.openxmlformats.org/officeDocument/2006/relationships/hyperlink" Target="http://www.sec.gov/Archives/edgar/data/872589/000153217615000037/regn-ex_103x09302015x10q.htm" TargetMode="External"/><Relationship Id="rId170" Type="http://schemas.openxmlformats.org/officeDocument/2006/relationships/hyperlink" Target="http://www.sec.gov/Archives/edgar/data/872589/000120677410001385/exhibit10-15.htm" TargetMode="External"/><Relationship Id="rId171" Type="http://schemas.openxmlformats.org/officeDocument/2006/relationships/hyperlink" Target="http://www.sec.gov/Archives/edgar/data/872589/000153217613000022/regn-ex_105x6302013x10q.htm" TargetMode="External"/><Relationship Id="rId174" Type="http://schemas.openxmlformats.org/officeDocument/2006/relationships/hyperlink" Target="http://www.sec.gov/Archives/edgar/data/872589/000153217615000037/regn-ex_104x09302015x10q.htm" TargetMode="External"/><Relationship Id="rId176" Type="http://schemas.openxmlformats.org/officeDocument/2006/relationships/hyperlink" Target="http://www.sec.gov/Archives/edgar/data/872589/000180422020000022/regn-ex103x06302020x10q.htm" TargetMode="External"/><Relationship Id="rId178" Type="http://schemas.openxmlformats.org/officeDocument/2006/relationships/hyperlink" Target="http://www.sec.gov/Archives/edgar/data/872589/000180422020000022/regn-ex104x06302020x10q.htm" TargetMode="External"/><Relationship Id="rId179" Type="http://schemas.openxmlformats.org/officeDocument/2006/relationships/hyperlink" Target="http://www.sec.gov/Archives/edgar/data/872589/000119312514008775/d659864dex101.htm" TargetMode="External"/><Relationship Id="rId181" Type="http://schemas.openxmlformats.org/officeDocument/2006/relationships/hyperlink" Target="http://www.sec.gov/Archives/edgar/data/872589/000110465920067752/tm2021201d1_ex10-2.htm" TargetMode="External"/><Relationship Id="rId182" Type="http://schemas.openxmlformats.org/officeDocument/2006/relationships/hyperlink" Target="http://www.sec.gov/Archives/edgar/data/872589/000153217613000022/regn-ex_106x6302013x10q.htm" TargetMode="External"/><Relationship Id="rId184" Type="http://schemas.openxmlformats.org/officeDocument/2006/relationships/hyperlink" Target="http://www.sec.gov/Archives/edgar/data/872589/000110465918073328/a18-41689_1ex10d1.htm" TargetMode="External"/><Relationship Id="rId185" Type="http://schemas.openxmlformats.org/officeDocument/2006/relationships/hyperlink" Target="http://www.sec.gov/Archives/edgar/data/872589/000153217619000009/regn-ex_1017xamendedio.htm" TargetMode="External"/><Relationship Id="rId187" Type="http://schemas.openxmlformats.org/officeDocument/2006/relationships/hyperlink" Target="http://www.sec.gov/Archives/edgar/data/872589/000153217615000037/regn-ex_102x09302015x10q.htm" TargetMode="External"/><Relationship Id="rId188" Type="http://schemas.openxmlformats.org/officeDocument/2006/relationships/hyperlink" Target="http://www.sec.gov/Archives/edgar/data/872589/000153217615000037/regn-ex_107x09302015x10q.htm" TargetMode="External"/><Relationship Id="rId190" Type="http://schemas.openxmlformats.org/officeDocument/2006/relationships/hyperlink" Target="http://www.sec.gov/Archives/edgar/data/872589/000153217616000055/regn-ex_102x03312016x10q.htm" TargetMode="External"/><Relationship Id="rId191" Type="http://schemas.openxmlformats.org/officeDocument/2006/relationships/hyperlink" Target="http://www.sec.gov/Archives/edgar/data/872589/000153217616000082/regn-ex_101xteva.htm" TargetMode="External"/><Relationship Id="rId193" Type="http://schemas.openxmlformats.org/officeDocument/2006/relationships/hyperlink" Target="http://www.sec.gov/Archives/edgar/data/872589/000153217617000008/regn-ex_1035xlandmarkpsaex.htm" TargetMode="External"/><Relationship Id="rId194" Type="http://schemas.openxmlformats.org/officeDocument/2006/relationships/hyperlink" Target="http://www.sec.gov/Archives/edgar/data/872589/000093041319001557/c93557_ex10-1.htm" TargetMode="External"/><Relationship Id="rId196" Type="http://schemas.openxmlformats.org/officeDocument/2006/relationships/hyperlink" Target="http://www.sec.gov/Archives/edgar/data/872589/000093041319001557/c93557_ex10-2.htm" TargetMode="External"/><Relationship Id="rId198" Type="http://schemas.openxmlformats.org/officeDocument/2006/relationships/hyperlink" Target="http://www.sec.gov/Archives/edgar/data/872589/000093041319001557/c93557_ex10-3.htm" TargetMode="External"/><Relationship Id="rId199" Type="http://schemas.openxmlformats.org/officeDocument/2006/relationships/hyperlink" Target="http://www.sec.gov/Archives/edgar/data/872589/000153217618000020/regn-ex_102xletteragreemen.htm" TargetMode="External"/><Relationship Id="rId200" Type="http://schemas.openxmlformats.org/officeDocument/2006/relationships/hyperlink" Target="http://www.sec.gov/Archives/edgar/data/872589/000153217619000026/regn-ex104.htm" TargetMode="External"/><Relationship Id="rId201" Type="http://schemas.openxmlformats.org/officeDocument/2006/relationships/hyperlink" Target="http://www.sec.gov/Archives/edgar/data/872589/000153217619000026/regn-ex1041.htm" TargetMode="External"/><Relationship Id="rId202" Type="http://schemas.openxmlformats.org/officeDocument/2006/relationships/hyperlink" Target="http://www.sec.gov/Archives/edgar/data/872589/000153217619000026/regn-ex1042.htm" TargetMode="External"/><Relationship Id="rId203" Type="http://schemas.openxmlformats.org/officeDocument/2006/relationships/hyperlink" Target="http://www.sec.gov/Archives/edgar/data/872589/000153217619000026/regn-ex105.htm" TargetMode="External"/><Relationship Id="rId204" Type="http://schemas.openxmlformats.org/officeDocument/2006/relationships/hyperlink" Target="http://www.sec.gov/Archives/edgar/data/872589/000153217619000026/regn-ex106.htm" TargetMode="External"/><Relationship Id="rId205" Type="http://schemas.openxmlformats.org/officeDocument/2006/relationships/hyperlink" Target="http://www.sec.gov/Archives/edgar/data/872589/000110465920067752/tm2021201d1_ex10-1.htm" TargetMode="External"/><Relationship Id="rId206" Type="http://schemas.openxmlformats.org/officeDocument/2006/relationships/hyperlink" Target="http://www.sec.gov/Archives/edgar/data/872589/000180422020000030/regn-ex101x09302020x10q.htm" TargetMode="External"/><Relationship Id="rId207" Type="http://schemas.openxmlformats.org/officeDocument/2006/relationships/hyperlink" Target="http://www.sec.gov/Archives/edgar/data/872589/000180422020000030/regn-ex103x09302020x10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2021-02-08T08:20:04Z</dcterms:created>
  <dcterms:modified xsi:type="dcterms:W3CDTF">2021-02-08T08:20:04Z</dcterms:modified>
</cp:coreProperties>
</file>