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360" w:right="2200" w:hanging="334"/>
        <w:spacing w:after="0" w:line="304"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June 30, 2024</w:t>
      </w:r>
    </w:p>
    <w:p>
      <w:pPr>
        <w:spacing w:after="0" w:line="181" w:lineRule="exact"/>
        <w:rPr>
          <w:sz w:val="24"/>
          <w:szCs w:val="24"/>
          <w:color w:val="auto"/>
        </w:rPr>
      </w:pPr>
    </w:p>
    <w:p>
      <w:pPr>
        <w:ind w:left="360" w:right="2180" w:hanging="334"/>
        <w:spacing w:after="0" w:line="319"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000-19034</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6" w:lineRule="exact"/>
        <w:rPr>
          <w:sz w:val="24"/>
          <w:szCs w:val="24"/>
          <w:color w:val="auto"/>
        </w:rPr>
      </w:pPr>
    </w:p>
    <w:tbl>
      <w:tblPr>
        <w:tblLayout w:type="fixed"/>
        <w:tblInd w:w="20" w:type="dxa"/>
        <w:tblCellMar>
          <w:top w:w="0" w:type="dxa"/>
          <w:left w:w="0" w:type="dxa"/>
          <w:bottom w:w="0" w:type="dxa"/>
          <w:right w:w="0" w:type="dxa"/>
        </w:tblCellMar>
      </w:tblPr>
      <w:tr>
        <w:trPr>
          <w:trHeight w:val="232"/>
        </w:trPr>
        <w:tc>
          <w:tcPr>
            <w:tcW w:w="2060" w:type="dxa"/>
            <w:vAlign w:val="bottom"/>
          </w:tcPr>
          <w:p>
            <w:pPr>
              <w:spacing w:after="0"/>
              <w:rPr>
                <w:sz w:val="20"/>
                <w:szCs w:val="20"/>
                <w:color w:val="auto"/>
              </w:rPr>
            </w:pPr>
          </w:p>
        </w:tc>
        <w:tc>
          <w:tcPr>
            <w:tcW w:w="298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40" w:type="dxa"/>
            <w:vAlign w:val="bottom"/>
            <w:gridSpan w:val="2"/>
          </w:tcPr>
          <w:p>
            <w:pPr>
              <w:jc w:val="right"/>
              <w:ind w:right="1124"/>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40" w:type="dxa"/>
            <w:vAlign w:val="bottom"/>
            <w:gridSpan w:val="3"/>
          </w:tcPr>
          <w:p>
            <w:pPr>
              <w:jc w:val="center"/>
              <w:ind w:left="377"/>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2060" w:type="dxa"/>
            <w:vAlign w:val="bottom"/>
          </w:tcPr>
          <w:p>
            <w:pPr>
              <w:spacing w:after="0"/>
              <w:rPr>
                <w:sz w:val="24"/>
                <w:szCs w:val="24"/>
                <w:color w:val="auto"/>
              </w:rPr>
            </w:pPr>
          </w:p>
        </w:tc>
        <w:tc>
          <w:tcPr>
            <w:tcW w:w="8140" w:type="dxa"/>
            <w:vAlign w:val="bottom"/>
            <w:gridSpan w:val="7"/>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 10591-6707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including zip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(914) 847-7000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(Registrant's telephone number, including area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360" w:type="dxa"/>
            <w:vAlign w:val="bottom"/>
          </w:tcPr>
          <w:p>
            <w:pPr>
              <w:spacing w:after="0"/>
              <w:rPr>
                <w:sz w:val="24"/>
                <w:szCs w:val="24"/>
                <w:color w:val="auto"/>
              </w:rPr>
            </w:pPr>
          </w:p>
        </w:tc>
        <w:tc>
          <w:tcPr>
            <w:tcW w:w="36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80" w:type="dxa"/>
            <w:vAlign w:val="bottom"/>
          </w:tcPr>
          <w:p>
            <w:pPr>
              <w:spacing w:after="0"/>
              <w:rPr>
                <w:sz w:val="21"/>
                <w:szCs w:val="21"/>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2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of 1934 during the preceding 12 months (or for such shorter period that the registrant was required to file such reports), and (2) has been subject</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270"/>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 such filing requirements for the past 90 days.</w:t>
            </w: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405 of Regulation S-T (§232.405 of this chapter) during the preceding 12 months (or for such shorter period that the registrant was required to</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303"/>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submit such files).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4" w:lineRule="exact"/>
        <w:rPr>
          <w:sz w:val="24"/>
          <w:szCs w:val="24"/>
          <w:color w:val="auto"/>
        </w:rPr>
      </w:pPr>
    </w:p>
    <w:p>
      <w:pPr>
        <w:jc w:val="both"/>
        <w:ind w:left="20" w:right="16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1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Large accelerated</w:t>
            </w:r>
          </w:p>
        </w:tc>
        <w:tc>
          <w:tcPr>
            <w:tcW w:w="170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7"/>
                <w:szCs w:val="17"/>
                <w:color w:val="auto"/>
              </w:rPr>
              <w:t>☐</w:t>
            </w:r>
          </w:p>
        </w:tc>
        <w:tc>
          <w:tcPr>
            <w:tcW w:w="2280" w:type="dxa"/>
            <w:vAlign w:val="bottom"/>
            <w:vMerge w:val="restart"/>
          </w:tcPr>
          <w:p>
            <w:pPr>
              <w:ind w:left="24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Smaller reporting</w:t>
            </w:r>
          </w:p>
        </w:tc>
        <w:tc>
          <w:tcPr>
            <w:tcW w:w="6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Emerging growth</w:t>
            </w:r>
          </w:p>
        </w:tc>
        <w:tc>
          <w:tcPr>
            <w:tcW w:w="560" w:type="dxa"/>
            <w:vAlign w:val="bottom"/>
            <w:vMerge w:val="restart"/>
          </w:tcPr>
          <w:p>
            <w:pPr>
              <w:jc w:val="right"/>
              <w:ind w:right="299"/>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780" w:type="dxa"/>
            <w:vAlign w:val="bottom"/>
          </w:tcPr>
          <w:p>
            <w:pPr>
              <w:ind w:left="1140"/>
              <w:spacing w:after="0" w:line="196" w:lineRule="exact"/>
              <w:rPr>
                <w:sz w:val="20"/>
                <w:szCs w:val="20"/>
                <w:color w:val="auto"/>
              </w:rPr>
            </w:pPr>
            <w:r>
              <w:rPr>
                <w:rFonts w:ascii="Times New Roman" w:cs="Times New Roman" w:eastAsia="Times New Roman" w:hAnsi="Times New Roman"/>
                <w:sz w:val="16"/>
                <w:szCs w:val="16"/>
                <w:color w:val="auto"/>
              </w:rPr>
              <w:t xml:space="preserve">filer </w:t>
            </w:r>
            <w:r>
              <w:rPr>
                <w:rFonts w:ascii="MS PGothic" w:cs="MS PGothic" w:eastAsia="MS PGothic" w:hAnsi="MS PGothic"/>
                <w:sz w:val="17"/>
                <w:szCs w:val="17"/>
                <w:color w:val="auto"/>
              </w:rPr>
              <w:t>☒</w:t>
            </w:r>
          </w:p>
        </w:tc>
        <w:tc>
          <w:tcPr>
            <w:tcW w:w="1700" w:type="dxa"/>
            <w:vAlign w:val="bottom"/>
            <w:vMerge w:val="continue"/>
          </w:tcPr>
          <w:p>
            <w:pPr>
              <w:spacing w:after="0"/>
              <w:rPr>
                <w:sz w:val="24"/>
                <w:szCs w:val="24"/>
                <w:color w:val="auto"/>
              </w:rPr>
            </w:pPr>
          </w:p>
        </w:tc>
        <w:tc>
          <w:tcPr>
            <w:tcW w:w="22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620" w:type="dxa"/>
            <w:vAlign w:val="bottom"/>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5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w:t>
            </w:r>
          </w:p>
        </w:tc>
        <w:tc>
          <w:tcPr>
            <w:tcW w:w="560" w:type="dxa"/>
            <w:vAlign w:val="bottom"/>
            <w:vMerge w:val="restart"/>
          </w:tcPr>
          <w:p>
            <w:pPr>
              <w:jc w:val="right"/>
              <w:ind w:right="99"/>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any new or revised financial accounting standards provided pursuant to Section 13(a) of the Exchange Act.</w:t>
            </w:r>
          </w:p>
        </w:tc>
        <w:tc>
          <w:tcPr>
            <w:tcW w:w="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jc w:val="right"/>
              <w:ind w:right="99"/>
              <w:spacing w:after="0" w:line="196" w:lineRule="exact"/>
              <w:rPr>
                <w:sz w:val="20"/>
                <w:szCs w:val="20"/>
                <w:color w:val="auto"/>
              </w:rPr>
            </w:pPr>
            <w:r>
              <w:rPr>
                <w:rFonts w:ascii="Times New Roman" w:cs="Times New Roman" w:eastAsia="Times New Roman" w:hAnsi="Times New Roman"/>
                <w:sz w:val="13"/>
                <w:szCs w:val="13"/>
                <w:color w:val="auto"/>
                <w:w w:val="88"/>
              </w:rPr>
              <w:t xml:space="preserve">Yes </w:t>
            </w:r>
            <w:r>
              <w:rPr>
                <w:rFonts w:ascii="MS PGothic" w:cs="MS PGothic" w:eastAsia="MS PGothic" w:hAnsi="MS PGothic"/>
                <w:sz w:val="17"/>
                <w:szCs w:val="17"/>
                <w:color w:val="auto"/>
                <w:w w:val="88"/>
              </w:rPr>
              <w:t>☐</w:t>
            </w:r>
          </w:p>
        </w:tc>
        <w:tc>
          <w:tcPr>
            <w:tcW w:w="520" w:type="dxa"/>
            <w:vAlign w:val="bottom"/>
          </w:tcPr>
          <w:p>
            <w:pPr>
              <w:ind w:left="18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July 25, 2024:</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Class of Common Stock</w:t>
            </w:r>
          </w:p>
        </w:tc>
        <w:tc>
          <w:tcPr>
            <w:tcW w:w="54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Number of Shares</w:t>
            </w:r>
          </w:p>
        </w:tc>
      </w:tr>
      <w:tr>
        <w:trPr>
          <w:trHeight w:val="207"/>
        </w:trPr>
        <w:tc>
          <w:tcPr>
            <w:tcW w:w="2240" w:type="dxa"/>
            <w:vAlign w:val="bottom"/>
          </w:tcPr>
          <w:p>
            <w:pPr>
              <w:spacing w:after="0"/>
              <w:rPr>
                <w:sz w:val="17"/>
                <w:szCs w:val="17"/>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Stock, $.001 par value</w:t>
            </w:r>
          </w:p>
        </w:tc>
        <w:tc>
          <w:tcPr>
            <w:tcW w:w="320" w:type="dxa"/>
            <w:vAlign w:val="bottom"/>
          </w:tcPr>
          <w:p>
            <w:pPr>
              <w:spacing w:after="0"/>
              <w:rPr>
                <w:sz w:val="17"/>
                <w:szCs w:val="17"/>
                <w:color w:val="auto"/>
              </w:rPr>
            </w:pPr>
          </w:p>
        </w:tc>
        <w:tc>
          <w:tcPr>
            <w:tcW w:w="3200" w:type="dxa"/>
            <w:vAlign w:val="bottom"/>
            <w:tcBorders>
              <w:top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rPr>
              <w:t>1,817,146</w:t>
            </w:r>
          </w:p>
        </w:tc>
        <w:tc>
          <w:tcPr>
            <w:tcW w:w="222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32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rPr>
              <w:t>108,417,383</w:t>
            </w:r>
          </w:p>
        </w:tc>
        <w:tc>
          <w:tcPr>
            <w:tcW w:w="2220" w:type="dxa"/>
            <w:vAlign w:val="bottom"/>
          </w:tcPr>
          <w:p>
            <w:pPr>
              <w:spacing w:after="0"/>
              <w:rPr>
                <w:sz w:val="18"/>
                <w:szCs w:val="18"/>
                <w:color w:val="auto"/>
              </w:rPr>
            </w:pPr>
          </w:p>
        </w:tc>
      </w:tr>
      <w:tr>
        <w:trPr>
          <w:trHeight w:val="1026"/>
        </w:trPr>
        <w:tc>
          <w:tcPr>
            <w:tcW w:w="22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2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21"/>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23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gridSpan w:val="2"/>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189"/>
        </w:trPr>
        <w:tc>
          <w:tcPr>
            <w:tcW w:w="81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 PAGE</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"Altibodies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"ARCALYST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"Evkeeza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"EYLEA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"EYLEA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HD," "Inmazeb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"Libtayo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"Praluent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(in the United States), "REGEN-COV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w:t>
      </w:r>
    </w:p>
    <w:p>
      <w:pPr>
        <w:jc w:val="both"/>
        <w:spacing w:after="0" w:line="188" w:lineRule="auto"/>
        <w:rPr>
          <w:sz w:val="20"/>
          <w:szCs w:val="20"/>
          <w:color w:val="auto"/>
        </w:rPr>
      </w:pPr>
      <w:r>
        <w:rPr>
          <w:rFonts w:ascii="Times New Roman" w:cs="Times New Roman" w:eastAsia="Times New Roman" w:hAnsi="Times New Roman"/>
          <w:sz w:val="17"/>
          <w:szCs w:val="17"/>
          <w:color w:val="auto"/>
        </w:rPr>
        <w:t>"Regeneron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"Regeneron Genetics Center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"RGC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Veloci-Bi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VelociGene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VelociHum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VelociMab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VelocImmune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VelociMouse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VelociSuite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"Veopoz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"ZALTRAP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are trademarks of Regeneron Pharmaceuticals, Inc. Trademarks and trade names of other companies appearing in this report are, to the knowledge of Regeneron Pharmaceuticals, Inc., the property of their respective owners. This report refers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products of 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5,667.3</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19,479.2</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4,146.4</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33,080.2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36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7,107.1</w:t>
            </w: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par value $.01 per share; 30.0 shares authorized; shares issued and outstanding - none</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2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A Stock, convertible, par value $.001 per share; 40.0 shares authorized; shares issued and outstanding -</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1.8 in 2024 and 2023</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320.0 shares authorized; shares issued - 134.8 in 2024 and 133.1 in</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11,354.0</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27,260.3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Treasury Stock, at cost; 26.4 shares in 2024 and 25.5 shares in 2023</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(12,560.4)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25,973.1</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33,080.2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(Unaudited)</w:t>
      </w:r>
    </w:p>
    <w:p>
      <w:pPr>
        <w:spacing w:after="0" w:line="9"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7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5"/>
        </w:trPr>
        <w:tc>
          <w:tcPr>
            <w:tcW w:w="3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3"/>
                <w:szCs w:val="23"/>
                <w:color w:val="auto"/>
              </w:rPr>
            </w:pPr>
          </w:p>
        </w:tc>
        <w:tc>
          <w:tcPr>
            <w:tcW w:w="24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3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5"/>
        </w:trPr>
        <w:tc>
          <w:tcPr>
            <w:tcW w:w="37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product sales</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3,440.1</w:t>
            </w:r>
          </w:p>
        </w:tc>
      </w:tr>
      <w:tr>
        <w:trPr>
          <w:trHeight w:val="229"/>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revenue</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2,694.8</w:t>
            </w:r>
          </w:p>
        </w:tc>
      </w:tr>
      <w:tr>
        <w:trPr>
          <w:trHeight w:val="229"/>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revenue</w:t>
            </w:r>
          </w:p>
        </w:tc>
        <w:tc>
          <w:tcPr>
            <w:tcW w:w="9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23"/>
        </w:trPr>
        <w:tc>
          <w:tcPr>
            <w:tcW w:w="37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6,320.2</w:t>
            </w:r>
          </w:p>
        </w:tc>
      </w:tr>
      <w:tr>
        <w:trPr>
          <w:trHeight w:val="196"/>
        </w:trPr>
        <w:tc>
          <w:tcPr>
            <w:tcW w:w="3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2,186.5</w:t>
            </w:r>
          </w:p>
        </w:tc>
      </w:tr>
      <w:tr>
        <w:trPr>
          <w:trHeight w:val="229"/>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30"/>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w:t>
            </w:r>
          </w:p>
        </w:tc>
      </w:tr>
      <w:tr>
        <w:trPr>
          <w:trHeight w:val="229"/>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r>
      <w:tr>
        <w:trPr>
          <w:trHeight w:val="229"/>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Cost of collaboration and contract manufacturing</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w:t>
            </w:r>
          </w:p>
        </w:tc>
      </w:tr>
      <w:tr>
        <w:trPr>
          <w:trHeight w:val="230"/>
        </w:trPr>
        <w:tc>
          <w:tcPr>
            <w:tcW w:w="3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37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4,357.0</w:t>
            </w:r>
          </w:p>
        </w:tc>
      </w:tr>
      <w:tr>
        <w:trPr>
          <w:trHeight w:val="196"/>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1,963.2</w:t>
            </w:r>
          </w:p>
        </w:tc>
      </w:tr>
      <w:tr>
        <w:trPr>
          <w:trHeight w:val="216"/>
        </w:trPr>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3"/>
        </w:trPr>
        <w:tc>
          <w:tcPr>
            <w:tcW w:w="37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196"/>
        </w:trPr>
        <w:tc>
          <w:tcPr>
            <w:tcW w:w="3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1,940.9</w:t>
            </w:r>
          </w:p>
        </w:tc>
      </w:tr>
      <w:tr>
        <w:trPr>
          <w:trHeight w:val="216"/>
        </w:trPr>
        <w:tc>
          <w:tcPr>
            <w:tcW w:w="3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196"/>
        </w:trPr>
        <w:tc>
          <w:tcPr>
            <w:tcW w:w="3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7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r>
      <w:tr>
        <w:trPr>
          <w:trHeight w:val="216"/>
        </w:trPr>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16"/>
        </w:trPr>
        <w:tc>
          <w:tcPr>
            <w:tcW w:w="3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 (loss) on debt securities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9"/>
        </w:trPr>
        <w:tc>
          <w:tcPr>
            <w:tcW w:w="3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Loss on foreign currency translation</w:t>
            </w:r>
          </w:p>
        </w:tc>
        <w:tc>
          <w:tcPr>
            <w:tcW w:w="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1,827.3</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19685</wp:posOffset>
            </wp:positionV>
            <wp:extent cx="6471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45720</wp:posOffset>
            </wp:positionV>
            <wp:extent cx="64719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719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369" w:right="8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2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4"/>
                <w:szCs w:val="14"/>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500" w:type="dxa"/>
            <w:vAlign w:val="bottom"/>
            <w:gridSpan w:val="3"/>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0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0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vMerge w:val="restart"/>
          </w:tcPr>
          <w:p>
            <w:pPr>
              <w:jc w:val="right"/>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50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7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$11,354.0</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$27,260.3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$(12,560.4)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25,973.1</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11,942.6</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(12,856.7)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26,991.1</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12,316.9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29,414.6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(13,455.9)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28,205.8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9"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STOCKHOLDERS' EQUITY (Unaudited) </w:t>
      </w:r>
      <w:r>
        <w:rPr>
          <w:rFonts w:ascii="Times New Roman" w:cs="Times New Roman" w:eastAsia="Times New Roman" w:hAnsi="Times New Roman"/>
          <w:sz w:val="18"/>
          <w:szCs w:val="18"/>
          <w:b w:val="1"/>
          <w:bCs w:val="1"/>
          <w:i w:val="1"/>
          <w:iCs w:val="1"/>
          <w:color w:val="auto"/>
        </w:rPr>
        <w:t>(continued)</w:t>
      </w:r>
    </w:p>
    <w:p>
      <w:pPr>
        <w:spacing w:after="0" w:line="63"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2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4"/>
                <w:szCs w:val="14"/>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500" w:type="dxa"/>
            <w:vAlign w:val="bottom"/>
            <w:gridSpan w:val="3"/>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0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50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7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9,949.3</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$23,306.7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$(10,353.3)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22,664.0</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2023</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10,597.7</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24,124.5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23,495.2</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2023</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10,888.5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25,092.9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(11,765.9)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24,017.9</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19685</wp:posOffset>
            </wp:positionV>
            <wp:extent cx="68922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45720</wp:posOffset>
            </wp:positionV>
            <wp:extent cx="68922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9" w:right="5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1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79"/>
        </w:trPr>
        <w:tc>
          <w:tcPr>
            <w:tcW w:w="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700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97"/>
        </w:trPr>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5"/>
        </w:trPr>
        <w:tc>
          <w:tcPr>
            <w:tcW w:w="80" w:type="dxa"/>
            <w:vAlign w:val="bottom"/>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 w:type="dxa"/>
            <w:vAlign w:val="bottom"/>
          </w:tcPr>
          <w:p>
            <w:pPr>
              <w:spacing w:after="0"/>
              <w:rPr>
                <w:sz w:val="18"/>
                <w:szCs w:val="18"/>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(Gains) losses on marketable and other securities,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non-cash items,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inventories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29"/>
        </w:trPr>
        <w:tc>
          <w:tcPr>
            <w:tcW w:w="80" w:type="dxa"/>
            <w:vAlign w:val="bottom"/>
          </w:tcPr>
          <w:p>
            <w:pPr>
              <w:spacing w:after="0"/>
              <w:rPr>
                <w:sz w:val="19"/>
                <w:szCs w:val="19"/>
                <w:color w:val="auto"/>
              </w:rPr>
            </w:pPr>
          </w:p>
        </w:tc>
        <w:tc>
          <w:tcPr>
            <w:tcW w:w="8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30"/>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23"/>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r>
      <w:tr>
        <w:trPr>
          <w:trHeight w:val="223"/>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2,390.0</w:t>
            </w:r>
          </w:p>
        </w:tc>
      </w:tr>
      <w:tr>
        <w:trPr>
          <w:trHeight w:val="196"/>
        </w:trPr>
        <w:tc>
          <w:tcPr>
            <w:tcW w:w="8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(6,271.1)</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or maturities of marketable and other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4,061.5</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Libtayo intangible asset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30"/>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(2,622.6)</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30"/>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(1,399.5)</w:t>
            </w:r>
          </w:p>
        </w:tc>
      </w:tr>
      <w:tr>
        <w:trPr>
          <w:trHeight w:val="223"/>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80" w:type="dxa"/>
            <w:vAlign w:val="bottom"/>
          </w:tcPr>
          <w:p>
            <w:pPr>
              <w:spacing w:after="0"/>
              <w:rPr>
                <w:sz w:val="18"/>
                <w:szCs w:val="18"/>
                <w:color w:val="auto"/>
              </w:rPr>
            </w:pPr>
          </w:p>
        </w:tc>
        <w:tc>
          <w:tcPr>
            <w:tcW w:w="8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w:t>
            </w:r>
          </w:p>
        </w:tc>
      </w:tr>
      <w:tr>
        <w:trPr>
          <w:trHeight w:val="216"/>
        </w:trPr>
        <w:tc>
          <w:tcPr>
            <w:tcW w:w="80" w:type="dxa"/>
            <w:vAlign w:val="bottom"/>
          </w:tcPr>
          <w:p>
            <w:pPr>
              <w:spacing w:after="0"/>
              <w:rPr>
                <w:sz w:val="18"/>
                <w:szCs w:val="18"/>
                <w:color w:val="auto"/>
              </w:rPr>
            </w:pPr>
          </w:p>
        </w:tc>
        <w:tc>
          <w:tcPr>
            <w:tcW w:w="8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3,119.4</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5"/>
        </w:trPr>
        <w:tc>
          <w:tcPr>
            <w:tcW w:w="80" w:type="dxa"/>
            <w:vAlign w:val="bottom"/>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1,949.7</w:t>
            </w:r>
          </w:p>
        </w:tc>
      </w:tr>
      <w:tr>
        <w:trPr>
          <w:trHeight w:val="20"/>
        </w:trPr>
        <w:tc>
          <w:tcPr>
            <w:tcW w:w="8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19685</wp:posOffset>
            </wp:positionV>
            <wp:extent cx="7029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45720</wp:posOffset>
            </wp:positionV>
            <wp:extent cx="7029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2023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No. 2023-07, </w:t>
      </w:r>
      <w:r>
        <w:rPr>
          <w:rFonts w:ascii="Times New Roman" w:cs="Times New Roman" w:eastAsia="Times New Roman" w:hAnsi="Times New Roman"/>
          <w:sz w:val="18"/>
          <w:szCs w:val="18"/>
          <w:i w:val="1"/>
          <w:iCs w:val="1"/>
          <w:color w:val="auto"/>
        </w:rPr>
        <w:t>Segment Reporting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The amendments require disclosure of incremental segment information on an annual and interim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amendments also require companies with a single reportable segment to provide all disclosures required by this amendment and all existing segment disclosures in Accounting Standards Codification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amendments are effective for fiscal years beginning after December 15, 2023, and interim periods beginning after December 15, 2024. The Company does not expect the adoption of the amendments to have a significant impact on its financial statements.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No.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The amendments require (i) enhanced disclosures in connection with an entity's effective tax rate reconciliation and (ii) income taxes paid disaggregated by jurisdiction. The amendments are effective for annual periods beginning after December 15, 2024. The Company does not expect the adoption of the amendments to have a significant impact on its financial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consist of the following:</w:t>
      </w:r>
    </w:p>
    <w:p>
      <w:pPr>
        <w:spacing w:after="0" w:line="266"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19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8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28"/>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8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HD</w:t>
            </w:r>
          </w:p>
        </w:tc>
        <w:tc>
          <w:tcPr>
            <w:tcW w:w="1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p>
        </w:tc>
        <w:tc>
          <w:tcPr>
            <w:tcW w:w="1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2,933.9</w:t>
            </w:r>
          </w:p>
        </w:tc>
      </w:tr>
      <w:tr>
        <w:trPr>
          <w:trHeight w:val="223"/>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EYLEA HD and EYLEA</w:t>
            </w:r>
          </w:p>
        </w:tc>
        <w:tc>
          <w:tcPr>
            <w:tcW w:w="1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r>
      <w:tr>
        <w:trPr>
          <w:trHeight w:val="230"/>
        </w:trPr>
        <w:tc>
          <w:tcPr>
            <w:tcW w:w="2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p>
        </w:tc>
        <w:tc>
          <w:tcPr>
            <w:tcW w:w="1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Libtayo</w:t>
            </w:r>
          </w:p>
        </w:tc>
        <w:tc>
          <w:tcPr>
            <w:tcW w:w="1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 of world</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2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Libtayo</w:t>
            </w:r>
          </w:p>
        </w:tc>
        <w:tc>
          <w:tcPr>
            <w:tcW w:w="1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Global</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r>
      <w:tr>
        <w:trPr>
          <w:trHeight w:val="229"/>
        </w:trPr>
        <w:tc>
          <w:tcPr>
            <w:tcW w:w="2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w:t>
            </w:r>
          </w:p>
        </w:tc>
        <w:tc>
          <w:tcPr>
            <w:tcW w:w="1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29"/>
        </w:trPr>
        <w:tc>
          <w:tcPr>
            <w:tcW w:w="2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p>
        </w:tc>
        <w:tc>
          <w:tcPr>
            <w:tcW w:w="1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30"/>
        </w:trPr>
        <w:tc>
          <w:tcPr>
            <w:tcW w:w="2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Inmazeb</w:t>
            </w:r>
            <w:r>
              <w:rPr>
                <w:rFonts w:ascii="Times New Roman" w:cs="Times New Roman" w:eastAsia="Times New Roman" w:hAnsi="Times New Roman"/>
                <w:sz w:val="23"/>
                <w:szCs w:val="23"/>
                <w:color w:val="auto"/>
                <w:vertAlign w:val="superscript"/>
              </w:rPr>
              <w:t>®</w:t>
            </w:r>
          </w:p>
        </w:tc>
        <w:tc>
          <w:tcPr>
            <w:tcW w:w="1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Global</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2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3,440.1</w:t>
            </w:r>
          </w:p>
        </w:tc>
      </w:tr>
      <w:tr>
        <w:trPr>
          <w:trHeight w:val="21"/>
        </w:trPr>
        <w:tc>
          <w:tcPr>
            <w:tcW w:w="2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 had $3.958 billion and $3.888 billion, respectively, of trade accounts receivable that were recorded within Accounts receivable, net.</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product sales to certain customers that each accounted for more than 10% of total gross product revenue for the three and six months ended June 30, 2024 and 2023. Sales to each of these customers as a percentage of the Company's total gross product revenue are as follows:</w:t>
      </w:r>
    </w:p>
    <w:p>
      <w:pPr>
        <w:spacing w:after="0" w:line="189"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240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3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3040" w:type="dxa"/>
            <w:vAlign w:val="bottom"/>
          </w:tcPr>
          <w:p>
            <w:pPr>
              <w:spacing w:after="0"/>
              <w:rPr>
                <w:sz w:val="20"/>
                <w:szCs w:val="20"/>
                <w:color w:val="auto"/>
              </w:rPr>
            </w:pPr>
          </w:p>
        </w:tc>
        <w:tc>
          <w:tcPr>
            <w:tcW w:w="152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Borders>
              <w:bottom w:val="single" w:sz="8" w:color="auto"/>
            </w:tcBorders>
          </w:tcPr>
          <w:p>
            <w:pPr>
              <w:spacing w:after="0"/>
              <w:rPr>
                <w:sz w:val="20"/>
                <w:szCs w:val="20"/>
                <w:color w:val="auto"/>
              </w:rPr>
            </w:pPr>
          </w:p>
        </w:tc>
      </w:tr>
      <w:tr>
        <w:trPr>
          <w:trHeight w:val="225"/>
        </w:trPr>
        <w:tc>
          <w:tcPr>
            <w:tcW w:w="30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55"/>
        </w:trPr>
        <w:tc>
          <w:tcPr>
            <w:tcW w:w="30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Besse Medical, a subsidiary of Cencora,</w:t>
            </w: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43"/>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License, and Other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p>
      <w:pPr>
        <w:spacing w:after="0" w:line="16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The Company is party to a global, strategic collaboration with Sanofi to research, develop, and commercialize fully human monoclonal antibodies, which currently consists of 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(dupilumab), 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and itepekimab</w:t>
      </w:r>
      <w:r>
        <w:rPr>
          <w:rFonts w:ascii="Times New Roman" w:cs="Times New Roman" w:eastAsia="Times New Roman" w:hAnsi="Times New Roman"/>
          <w:sz w:val="21"/>
          <w:szCs w:val="21"/>
          <w:i w:val="1"/>
          <w:iCs w:val="1"/>
          <w:color w:val="auto"/>
        </w:rPr>
        <w:t>.</w:t>
      </w:r>
    </w:p>
    <w:p>
      <w:pPr>
        <w:jc w:val="both"/>
        <w:spacing w:after="0" w:line="258" w:lineRule="auto"/>
        <w:rPr>
          <w:sz w:val="20"/>
          <w:szCs w:val="20"/>
          <w:color w:val="auto"/>
        </w:rPr>
      </w:pPr>
      <w:r>
        <w:rPr>
          <w:rFonts w:ascii="Times New Roman" w:cs="Times New Roman" w:eastAsia="Times New Roman" w:hAnsi="Times New Roman"/>
          <w:sz w:val="18"/>
          <w:szCs w:val="18"/>
          <w:color w:val="auto"/>
        </w:rPr>
        <w:t>Sanofi is generally responsible for funding 80% to 100% of agreed-upon development costs. The Company is obligated to reimburse Sanofi for 30% to 50% of worldwide development expenses that were funded by Sanofi (i.e., "development balance") based on the Company's share of collaboration profits; however, the Company is only required to apply 20% of its share of profits from the collaboration each calendar quarter to reimburse Sanofi for these development expenses. As of June 30, 2024, the Company's contingent reimbursement obligation to Sanofi under the collaboration was approximately $2.013 billion.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Sanofi leads commercialization activities for products under the collaboration, subject to the Company's right to co-commercialize such products.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Sanofi collaboration are as follows:</w:t>
      </w: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7"/>
                <w:szCs w:val="17"/>
                <w:color w:val="auto"/>
              </w:rPr>
            </w:pPr>
          </w:p>
        </w:tc>
        <w:tc>
          <w:tcPr>
            <w:tcW w:w="19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3740" w:type="dxa"/>
            <w:vAlign w:val="bottom"/>
          </w:tcPr>
          <w:p>
            <w:pPr>
              <w:spacing w:after="0"/>
              <w:rPr>
                <w:sz w:val="20"/>
                <w:szCs w:val="20"/>
                <w:color w:val="auto"/>
              </w:rPr>
            </w:pPr>
          </w:p>
        </w:tc>
        <w:tc>
          <w:tcPr>
            <w:tcW w:w="2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52"/>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80" w:type="dxa"/>
            <w:vAlign w:val="bottom"/>
          </w:tcPr>
          <w:p>
            <w:pPr>
              <w:spacing w:after="0"/>
              <w:rPr>
                <w:sz w:val="21"/>
                <w:szCs w:val="21"/>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751.1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1,387.6</w:t>
            </w:r>
          </w:p>
        </w:tc>
      </w:tr>
      <w:tr>
        <w:trPr>
          <w:trHeight w:val="175"/>
        </w:trPr>
        <w:tc>
          <w:tcPr>
            <w:tcW w:w="3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commercial</w:t>
            </w:r>
          </w:p>
        </w:tc>
        <w:tc>
          <w:tcPr>
            <w:tcW w:w="24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supplies</w:t>
            </w:r>
          </w:p>
        </w:tc>
        <w:tc>
          <w:tcPr>
            <w:tcW w:w="2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r>
      <w:tr>
        <w:trPr>
          <w:trHeight w:val="175"/>
        </w:trPr>
        <w:tc>
          <w:tcPr>
            <w:tcW w:w="3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Sanofi</w:t>
            </w:r>
          </w:p>
        </w:tc>
        <w:tc>
          <w:tcPr>
            <w:tcW w:w="2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(R&amp;D expense)</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4"/>
        </w:trPr>
        <w:tc>
          <w:tcPr>
            <w:tcW w:w="374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R&amp;D expenses, net of reimbursement of R&amp;D</w:t>
            </w:r>
          </w:p>
        </w:tc>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4"/>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176"/>
        </w:trPr>
        <w:tc>
          <w:tcPr>
            <w:tcW w:w="3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4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Reduction of SG&amp;A expense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Sanofi collaboration:</w:t>
      </w:r>
    </w:p>
    <w:p>
      <w:pPr>
        <w:spacing w:after="0" w:line="194" w:lineRule="exact"/>
        <w:rPr>
          <w:sz w:val="20"/>
          <w:szCs w:val="20"/>
          <w:color w:val="auto"/>
        </w:rPr>
      </w:pPr>
    </w:p>
    <w:tbl>
      <w:tblPr>
        <w:tblLayout w:type="fixed"/>
        <w:tblInd w:w="2500" w:type="dxa"/>
        <w:tblCellMar>
          <w:top w:w="0" w:type="dxa"/>
          <w:left w:w="0" w:type="dxa"/>
          <w:bottom w:w="0" w:type="dxa"/>
          <w:right w:w="0" w:type="dxa"/>
        </w:tblCellMar>
      </w:tblPr>
      <w:tr>
        <w:trPr>
          <w:trHeight w:val="229"/>
        </w:trPr>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w:t>
            </w: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global development and commercialization of EYLEA 8 mg (aflibercept 8 mg) and EYLEA (aflibercept) outside the United States. Agreed-upon development expenses incurred by the Company and Bayer are generally shared equally. Within the United States, the Company is responsible for commercialization and retains profits from such sales. Bayer is responsible for commercialization activities outside the United States, and the companies share equally in profits from such sales.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Bayer collaboration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8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52"/>
        </w:trPr>
        <w:tc>
          <w:tcPr>
            <w:tcW w:w="30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72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r>
      <w:tr>
        <w:trPr>
          <w:trHeight w:val="223"/>
        </w:trPr>
        <w:tc>
          <w:tcPr>
            <w:tcW w:w="300" w:type="dxa"/>
            <w:vAlign w:val="bottom"/>
          </w:tcPr>
          <w:p>
            <w:pPr>
              <w:spacing w:after="0"/>
              <w:rPr>
                <w:sz w:val="19"/>
                <w:szCs w:val="19"/>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17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349.5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280" w:type="dxa"/>
            <w:vAlign w:val="bottom"/>
          </w:tcPr>
          <w:p>
            <w:pPr>
              <w:spacing w:after="0"/>
              <w:rPr>
                <w:sz w:val="19"/>
                <w:szCs w:val="19"/>
                <w:color w:val="auto"/>
              </w:rPr>
            </w:pPr>
          </w:p>
        </w:tc>
      </w:tr>
      <w:tr>
        <w:trPr>
          <w:trHeight w:val="175"/>
        </w:trPr>
        <w:tc>
          <w:tcPr>
            <w:tcW w:w="300" w:type="dxa"/>
            <w:vAlign w:val="bottom"/>
          </w:tcPr>
          <w:p>
            <w:pPr>
              <w:spacing w:after="0"/>
              <w:rPr>
                <w:sz w:val="15"/>
                <w:szCs w:val="15"/>
                <w:color w:val="auto"/>
              </w:rPr>
            </w:pPr>
          </w:p>
        </w:tc>
        <w:tc>
          <w:tcPr>
            <w:tcW w:w="3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ex-U.S.</w:t>
            </w:r>
          </w:p>
        </w:tc>
        <w:tc>
          <w:tcPr>
            <w:tcW w:w="1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43"/>
        </w:trPr>
        <w:tc>
          <w:tcPr>
            <w:tcW w:w="300" w:type="dxa"/>
            <w:vAlign w:val="bottom"/>
          </w:tcPr>
          <w:p>
            <w:pPr>
              <w:spacing w:after="0"/>
              <w:rPr>
                <w:sz w:val="21"/>
                <w:szCs w:val="21"/>
                <w:color w:val="auto"/>
              </w:rPr>
            </w:pPr>
          </w:p>
        </w:tc>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supplies</w:t>
            </w: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80" w:type="dxa"/>
            <w:vAlign w:val="bottom"/>
          </w:tcPr>
          <w:p>
            <w:pPr>
              <w:spacing w:after="0"/>
              <w:rPr>
                <w:sz w:val="21"/>
                <w:szCs w:val="21"/>
                <w:color w:val="auto"/>
              </w:rPr>
            </w:pPr>
          </w:p>
        </w:tc>
      </w:tr>
      <w:tr>
        <w:trPr>
          <w:trHeight w:val="176"/>
        </w:trPr>
        <w:tc>
          <w:tcPr>
            <w:tcW w:w="300" w:type="dxa"/>
            <w:vAlign w:val="bottom"/>
          </w:tcPr>
          <w:p>
            <w:pPr>
              <w:spacing w:after="0"/>
              <w:rPr>
                <w:sz w:val="15"/>
                <w:szCs w:val="15"/>
                <w:color w:val="auto"/>
              </w:rPr>
            </w:pPr>
          </w:p>
        </w:tc>
        <w:tc>
          <w:tcPr>
            <w:tcW w:w="3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Bayer</w:t>
            </w:r>
          </w:p>
        </w:tc>
        <w:tc>
          <w:tcPr>
            <w:tcW w:w="17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(R&amp;D expense)</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tcPr>
          <w:p>
            <w:pPr>
              <w:spacing w:after="0"/>
              <w:rPr>
                <w:sz w:val="15"/>
                <w:szCs w:val="15"/>
                <w:color w:val="auto"/>
              </w:rPr>
            </w:pPr>
          </w:p>
        </w:tc>
      </w:tr>
      <w:tr>
        <w:trPr>
          <w:trHeight w:val="184"/>
        </w:trPr>
        <w:tc>
          <w:tcPr>
            <w:tcW w:w="300" w:type="dxa"/>
            <w:vAlign w:val="bottom"/>
          </w:tcPr>
          <w:p>
            <w:pPr>
              <w:spacing w:after="0"/>
              <w:rPr>
                <w:sz w:val="16"/>
                <w:szCs w:val="16"/>
                <w:color w:val="auto"/>
              </w:rPr>
            </w:pPr>
          </w:p>
        </w:tc>
        <w:tc>
          <w:tcPr>
            <w:tcW w:w="374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R&amp;D expenses, net of reimbursement of R&amp;D</w:t>
            </w: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tcPr>
          <w:p>
            <w:pPr>
              <w:spacing w:after="0"/>
              <w:rPr>
                <w:sz w:val="16"/>
                <w:szCs w:val="16"/>
                <w:color w:val="auto"/>
              </w:rPr>
            </w:pPr>
          </w:p>
        </w:tc>
      </w:tr>
      <w:tr>
        <w:trPr>
          <w:trHeight w:val="234"/>
        </w:trPr>
        <w:tc>
          <w:tcPr>
            <w:tcW w:w="300" w:type="dxa"/>
            <w:vAlign w:val="bottom"/>
          </w:tcPr>
          <w:p>
            <w:pPr>
              <w:spacing w:after="0"/>
              <w:rPr>
                <w:sz w:val="20"/>
                <w:szCs w:val="20"/>
                <w:color w:val="auto"/>
              </w:rPr>
            </w:pPr>
          </w:p>
        </w:tc>
        <w:tc>
          <w:tcPr>
            <w:tcW w:w="3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tcPr>
          <w:p>
            <w:pPr>
              <w:spacing w:after="0"/>
              <w:rPr>
                <w:sz w:val="20"/>
                <w:szCs w:val="20"/>
                <w:color w:val="auto"/>
              </w:rPr>
            </w:pPr>
          </w:p>
        </w:tc>
      </w:tr>
      <w:tr>
        <w:trPr>
          <w:trHeight w:val="445"/>
        </w:trPr>
        <w:tc>
          <w:tcPr>
            <w:tcW w:w="7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The following table summarizes contract balances in connection with the Company's Bayer collaboration:</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96"/>
        </w:trPr>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24"/>
                <w:szCs w:val="24"/>
                <w:color w:val="auto"/>
              </w:rPr>
            </w:pPr>
          </w:p>
        </w:tc>
        <w:tc>
          <w:tcPr>
            <w:tcW w:w="164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381.7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4"/>
        </w:trPr>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tcPr>
          <w:p>
            <w:pPr>
              <w:spacing w:after="0"/>
              <w:rPr>
                <w:sz w:val="20"/>
                <w:szCs w:val="20"/>
                <w:color w:val="auto"/>
              </w:rPr>
            </w:pPr>
          </w:p>
        </w:tc>
        <w:tc>
          <w:tcPr>
            <w:tcW w:w="1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138.2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657"/>
        </w:trPr>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58"/>
        </w:trPr>
        <w:tc>
          <w:tcPr>
            <w:tcW w:w="3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Roche</w:t>
      </w:r>
    </w:p>
    <w:p>
      <w:pPr>
        <w:spacing w:after="0" w:line="1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is a party to a collaboration agreement with Roche to develop, manufacture, and distribute the casirivimab and imdevimab antibody cocktail (known as REGEN-COV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United States and Ronapreve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other countries). Under the terms of the collaboration agreement, the Company has the right to distribute the product in the United States while Roche has the right to distribute the product outside the United States. The parties share gross profits from worldwide sales based on a pre-specified formula, depending on the amount of manufactured product supplied by each party to the market.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Roche collaboration are as follows:</w:t>
      </w:r>
    </w:p>
    <w:p>
      <w:pPr>
        <w:spacing w:after="0" w:line="27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19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Global gross profit payment from Roche in</w:t>
            </w:r>
          </w:p>
        </w:tc>
        <w:tc>
          <w:tcPr>
            <w:tcW w:w="23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connection with sales of Ronapreve</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balances in the Company's Balance Sheets in connection with the Roche collaboration were not material as of June 30, 2024 and December 31,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Other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collaboration and license agreements discussed above, the Company has various other collaboration and license agreements that are not individually significant to its operating results or financial condition at this time. Pursuant to the terms of those agreements, the Company may be required to pay, or it may receive, additional amounts contingent upon the occurrence of various future events (e.g., upon the achievement of various development and commercial milestones), which in the aggregate could be significant. The Company may also incur, or get reimbursed for, significant research and development costs.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to Acquired in-process research and development expense $23.9 million and $31.0 million, respectively, which primarily related to up-front payments, as well as a premium on equity securities purchased, in connection with collaboration and licensing agreements. During the six months ended June 30, 2023, the Company recorded to Acquired in-process research and development expense $56.1 million, which included a $45.0 million up-front payment in connection with the Company's collaboration agreement with Sonoma Biotherapeutics, Inc.</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9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8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r>
      <w:tr>
        <w:trPr>
          <w:trHeight w:val="228"/>
        </w:trPr>
        <w:tc>
          <w:tcPr>
            <w:tcW w:w="800" w:type="dxa"/>
            <w:vAlign w:val="bottom"/>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760" w:type="dxa"/>
            <w:vAlign w:val="bottom"/>
          </w:tcPr>
          <w:p>
            <w:pPr>
              <w:spacing w:after="0"/>
              <w:rPr>
                <w:sz w:val="19"/>
                <w:szCs w:val="19"/>
                <w:color w:val="auto"/>
              </w:rPr>
            </w:pPr>
          </w:p>
        </w:tc>
      </w:tr>
      <w:tr>
        <w:trPr>
          <w:trHeight w:val="270"/>
        </w:trPr>
        <w:tc>
          <w:tcPr>
            <w:tcW w:w="80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30"/>
        </w:trPr>
        <w:tc>
          <w:tcPr>
            <w:tcW w:w="80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760" w:type="dxa"/>
            <w:vAlign w:val="bottom"/>
          </w:tcPr>
          <w:p>
            <w:pPr>
              <w:spacing w:after="0"/>
              <w:rPr>
                <w:sz w:val="19"/>
                <w:szCs w:val="19"/>
                <w:color w:val="auto"/>
              </w:rPr>
            </w:pPr>
          </w:p>
        </w:tc>
      </w:tr>
      <w:tr>
        <w:trPr>
          <w:trHeight w:val="229"/>
        </w:trPr>
        <w:tc>
          <w:tcPr>
            <w:tcW w:w="8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76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4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tcPr>
          <w:p>
            <w:pPr>
              <w:spacing w:after="0"/>
              <w:rPr>
                <w:sz w:val="19"/>
                <w:szCs w:val="19"/>
                <w:color w:val="auto"/>
              </w:rPr>
            </w:pPr>
          </w:p>
        </w:tc>
      </w:tr>
      <w:tr>
        <w:trPr>
          <w:trHeight w:val="248"/>
        </w:trPr>
        <w:tc>
          <w:tcPr>
            <w:tcW w:w="80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760" w:type="dxa"/>
            <w:vAlign w:val="bottom"/>
          </w:tcPr>
          <w:p>
            <w:pPr>
              <w:spacing w:after="0"/>
              <w:rPr>
                <w:sz w:val="21"/>
                <w:szCs w:val="21"/>
                <w:color w:val="auto"/>
              </w:rPr>
            </w:pPr>
          </w:p>
        </w:tc>
      </w:tr>
      <w:tr>
        <w:trPr>
          <w:trHeight w:val="20"/>
        </w:trPr>
        <w:tc>
          <w:tcPr>
            <w:tcW w:w="80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7"/>
        </w:trPr>
        <w:tc>
          <w:tcPr>
            <w:tcW w:w="8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80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760" w:type="dxa"/>
            <w:vAlign w:val="bottom"/>
          </w:tcPr>
          <w:p>
            <w:pPr>
              <w:spacing w:after="0"/>
              <w:rPr>
                <w:sz w:val="19"/>
                <w:szCs w:val="19"/>
                <w:color w:val="auto"/>
              </w:rPr>
            </w:pPr>
          </w:p>
        </w:tc>
      </w:tr>
      <w:tr>
        <w:trPr>
          <w:trHeight w:val="234"/>
        </w:trPr>
        <w:tc>
          <w:tcPr>
            <w:tcW w:w="80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760" w:type="dxa"/>
            <w:vAlign w:val="bottom"/>
          </w:tcPr>
          <w:p>
            <w:pPr>
              <w:spacing w:after="0"/>
              <w:rPr>
                <w:sz w:val="20"/>
                <w:szCs w:val="20"/>
                <w:color w:val="auto"/>
              </w:rPr>
            </w:pPr>
          </w:p>
        </w:tc>
      </w:tr>
      <w:tr>
        <w:trPr>
          <w:trHeight w:val="751"/>
        </w:trPr>
        <w:tc>
          <w:tcPr>
            <w:tcW w:w="8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8"/>
        </w:trPr>
        <w:tc>
          <w:tcPr>
            <w:tcW w:w="80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57" w:lineRule="exact"/>
        <w:rPr>
          <w:sz w:val="20"/>
          <w:szCs w:val="20"/>
          <w:color w:val="auto"/>
        </w:rPr>
      </w:pPr>
    </w:p>
    <w:tbl>
      <w:tblPr>
        <w:tblLayout w:type="fixed"/>
        <w:tblInd w:w="190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22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1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3020" w:type="dxa"/>
            <w:vAlign w:val="bottom"/>
          </w:tcPr>
          <w:p>
            <w:pPr>
              <w:spacing w:after="0"/>
              <w:rPr>
                <w:sz w:val="20"/>
                <w:szCs w:val="20"/>
                <w:color w:val="auto"/>
              </w:rPr>
            </w:pPr>
          </w:p>
        </w:tc>
        <w:tc>
          <w:tcPr>
            <w:tcW w:w="144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720" w:type="dxa"/>
            <w:vAlign w:val="bottom"/>
            <w:tcBorders>
              <w:bottom w:val="single" w:sz="8" w:color="auto"/>
            </w:tcBorders>
          </w:tcPr>
          <w:p>
            <w:pPr>
              <w:spacing w:after="0"/>
              <w:rPr>
                <w:sz w:val="20"/>
                <w:szCs w:val="20"/>
                <w:color w:val="auto"/>
              </w:rPr>
            </w:pPr>
          </w:p>
        </w:tc>
      </w:tr>
      <w:tr>
        <w:trPr>
          <w:trHeight w:val="223"/>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Marketable securities as of June 30, 2024 and December 31, 2023 consist of both available-for-sale debt securities of investment grade issuers (see below and Note 6) as well as equity securities of publicly traded companies (see Note 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183"/>
        </w:trPr>
        <w:tc>
          <w:tcPr>
            <w:tcW w:w="20" w:type="dxa"/>
            <w:vAlign w:val="bottom"/>
          </w:tcPr>
          <w:p>
            <w:pPr>
              <w:spacing w:after="0"/>
              <w:rPr>
                <w:sz w:val="15"/>
                <w:szCs w:val="15"/>
                <w:color w:val="auto"/>
              </w:rPr>
            </w:pPr>
          </w:p>
        </w:tc>
        <w:tc>
          <w:tcPr>
            <w:tcW w:w="50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June 30, 2024</w:t>
            </w:r>
          </w:p>
        </w:tc>
        <w:tc>
          <w:tcPr>
            <w:tcW w:w="180" w:type="dxa"/>
            <w:vAlign w:val="bottom"/>
          </w:tcPr>
          <w:p>
            <w:pPr>
              <w:spacing w:after="0"/>
              <w:rPr>
                <w:sz w:val="15"/>
                <w:szCs w:val="15"/>
                <w:color w:val="auto"/>
              </w:rPr>
            </w:pPr>
          </w:p>
        </w:tc>
        <w:tc>
          <w:tcPr>
            <w:tcW w:w="124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b w:val="1"/>
                <w:bCs w:val="1"/>
                <w:color w:val="auto"/>
              </w:rPr>
              <w:t>Cost Basis</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Gains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3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7,296.4</w:t>
            </w: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5,767.5</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3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6,492.5</w:t>
            </w:r>
          </w:p>
        </w:tc>
        <w:tc>
          <w:tcPr>
            <w:tcW w:w="10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6,398.0</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4,833.4</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12,636.0</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12,533.9</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as of June 30, 2024 mature at various dates through June 2029. The fair values of available-for-sale debt securities by contractual maturity consist of the following:</w:t>
      </w:r>
    </w:p>
    <w:p>
      <w:pPr>
        <w:spacing w:after="0" w:line="226"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8,114.8</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4,414.5</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after five years</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40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14,436.9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12,533.9</w:t>
            </w:r>
          </w:p>
        </w:tc>
      </w:tr>
      <w:tr>
        <w:trPr>
          <w:trHeight w:val="21"/>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available-for-sale debt securities that have unrealized losses, aggregated by investment category and length of time that the individual securities have been in a continuous loss position.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60" w:type="dxa"/>
            <w:vAlign w:val="bottom"/>
          </w:tcPr>
          <w:p>
            <w:pPr>
              <w:spacing w:after="0"/>
              <w:rPr>
                <w:sz w:val="20"/>
                <w:szCs w:val="20"/>
                <w:color w:val="auto"/>
              </w:rPr>
            </w:pPr>
          </w:p>
        </w:tc>
        <w:tc>
          <w:tcPr>
            <w:tcW w:w="24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500" w:type="dxa"/>
            <w:vAlign w:val="bottom"/>
            <w:gridSpan w:val="4"/>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198"/>
        </w:trPr>
        <w:tc>
          <w:tcPr>
            <w:tcW w:w="350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As of June 30, 2024</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w w:val="96"/>
              </w:rPr>
              <w:t>Loss</w:t>
            </w: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184"/>
        </w:trPr>
        <w:tc>
          <w:tcPr>
            <w:tcW w:w="350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9"/>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3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0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184"/>
        </w:trPr>
        <w:tc>
          <w:tcPr>
            <w:tcW w:w="3500" w:type="dxa"/>
            <w:vAlign w:val="bottom"/>
            <w:gridSpan w:val="4"/>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3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unrealized losses on corporate bonds as of June 30, 2024 were primarily driven by increased interest rates. The Company has reviewed its portfolio of available-for-sale debt securities and determined that the decline in fair value below cost did not result from credit-related factors. In addition, the Company does not intend to sell, and it is not more likely than not that the Company will be required to sell, such securities before recovery of their amortized cost bases.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marketable securities, for the three and six months ended June 30, 2024 and 2023, amounts reclassified from Accumulated other comprehensive loss into Other income (expense), net were related to realized gains/losses on sales of available-for-sale debt securities. For the three and six months ended June 30, 2024 and 2023, realized gains/losses on sales of marketable securities were not material.</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assets and liabilities which are measured at fair value on a recurring basis. The following fair value hierarchy is used to classify assets and liabilities, based on inputs to valuation techniques utilized to measure fair value:</w:t>
      </w:r>
    </w:p>
    <w:p>
      <w:pPr>
        <w:spacing w:after="0" w:line="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other unobservable inputs</w:t>
      </w: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gridSpan w:val="7"/>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Reporting Date</w:t>
            </w:r>
          </w:p>
        </w:tc>
      </w:tr>
      <w:tr>
        <w:trPr>
          <w:trHeight w:val="183"/>
        </w:trPr>
        <w:tc>
          <w:tcPr>
            <w:tcW w:w="42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June 30, 2024</w:t>
            </w:r>
          </w:p>
        </w:tc>
        <w:tc>
          <w:tcPr>
            <w:tcW w:w="260" w:type="dxa"/>
            <w:vAlign w:val="bottom"/>
          </w:tcPr>
          <w:p>
            <w:pPr>
              <w:spacing w:after="0"/>
              <w:rPr>
                <w:sz w:val="15"/>
                <w:szCs w:val="15"/>
                <w:color w:val="auto"/>
              </w:rPr>
            </w:pPr>
          </w:p>
        </w:tc>
        <w:tc>
          <w:tcPr>
            <w:tcW w:w="148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15"/>
                <w:szCs w:val="15"/>
                <w:color w:val="auto"/>
              </w:rPr>
            </w:pPr>
          </w:p>
        </w:tc>
        <w:tc>
          <w:tcPr>
            <w:tcW w:w="1440" w:type="dxa"/>
            <w:vAlign w:val="bottom"/>
            <w:gridSpan w:val="2"/>
          </w:tcPr>
          <w:p>
            <w:pPr>
              <w:ind w:left="220"/>
              <w:spacing w:after="0" w:line="182"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5"/>
                <w:szCs w:val="15"/>
                <w:color w:val="auto"/>
              </w:rPr>
            </w:pPr>
          </w:p>
        </w:tc>
        <w:tc>
          <w:tcPr>
            <w:tcW w:w="1440" w:type="dxa"/>
            <w:vAlign w:val="bottom"/>
            <w:gridSpan w:val="2"/>
          </w:tcPr>
          <w:p>
            <w:pPr>
              <w:jc w:val="center"/>
              <w:ind w:right="440"/>
              <w:spacing w:after="0" w:line="182" w:lineRule="exact"/>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5"/>
                <w:szCs w:val="15"/>
                <w:color w:val="auto"/>
              </w:rPr>
            </w:pPr>
          </w:p>
        </w:tc>
        <w:tc>
          <w:tcPr>
            <w:tcW w:w="1320" w:type="dxa"/>
            <w:vAlign w:val="bottom"/>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1"/>
        </w:trPr>
        <w:tc>
          <w:tcPr>
            <w:tcW w:w="150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9"/>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16,392.5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15,123.9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15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70"/>
        </w:trPr>
        <w:tc>
          <w:tcPr>
            <w:tcW w:w="1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10"/>
        </w:trPr>
        <w:tc>
          <w:tcPr>
            <w:tcW w:w="19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23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29"/>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4"/>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certain restricted equity securities as of June 30, 2024 which are subject to transfer restrictions that expire in April 2026.</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$392.5 million and $196.3 million of net unrealized gains, respectively, on equity securities in Other income (expense), net; and during the three and six months ended June 30, 2023, the Company recorded $30.9 million and $195.6 million of net unrealized losses, respectively, on equity securities in Other income (expense), net.</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investments summarized in the table above, as of June 30, 2024 and December 31, 2023, the Company had $196.8 million and $74.3 million, respectively, in equity investments that do not have a readily determinable fair value. These investments are recorded within Other noncurrent assets.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debt, which was determined based on Level 2 inputs, was estimated to be $1.485 billion and $1.528 billion as of June 30, 2024 and December 31,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194" w:lineRule="exact"/>
        <w:rPr>
          <w:sz w:val="20"/>
          <w:szCs w:val="20"/>
          <w:color w:val="auto"/>
        </w:rPr>
      </w:pPr>
    </w:p>
    <w:tbl>
      <w:tblPr>
        <w:tblLayout w:type="fixed"/>
        <w:tblInd w:w="2760" w:type="dxa"/>
        <w:tblCellMar>
          <w:top w:w="0" w:type="dxa"/>
          <w:left w:w="0" w:type="dxa"/>
          <w:bottom w:w="0" w:type="dxa"/>
          <w:right w:w="0" w:type="dxa"/>
        </w:tblCellMar>
      </w:tblPr>
      <w:tr>
        <w:trPr>
          <w:trHeight w:val="230"/>
        </w:trPr>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w:t>
            </w: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w:t>
            </w: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30"/>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w:t>
            </w:r>
          </w:p>
        </w:tc>
      </w:tr>
      <w:tr>
        <w:trPr>
          <w:trHeight w:val="248"/>
        </w:trPr>
        <w:tc>
          <w:tcPr>
            <w:tcW w:w="2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2,580.5</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The Company's effective tax rate was 12.0% and 10.6% for the three months ended June 30, 2024 and 2023, respectively, and 7.5% and 8.0% for the six months ended June 30, 2024 and 2023, respectively. The Company's effective tax rate for the three and six months ended June 30, 2024 was positively impacted, compared to the U.S. federal statutory rate, primarily by stock-based compensation and income earned in foreign jurisdictions with tax rates lower than the U.S. federal statutory rate, partly offset by the remeasurement of existing uncertain tax positions.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three and six months ended June 30, 2023 was positively impacted, compared to the U.S. federal statutory rate, primarily by income earned in foreign jurisdictions with tax rates lower than the U.S. federal statutory rate and, to a lesser extent, stock-based compensation and federal tax credits for research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2023, the Company's board of directors authorized a share repurchase program to repurchase up to $3.0 billion of the Company's Common Stock. The share repurchase program permits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2024, the Company's board of directors authorized a share repurchase program to repurchase up to an additional $3.0 billion of the Company's Common Stock. The share repurchase program was approved under terms substantially similar to the share repurchase program described above.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shares of the Company's Common Stock the Company repurchased and the cost of the shares, which were recorded as Treasury Stock.</w:t>
      </w:r>
    </w:p>
    <w:p>
      <w:pPr>
        <w:spacing w:after="0" w:line="99" w:lineRule="exact"/>
        <w:rPr>
          <w:sz w:val="20"/>
          <w:szCs w:val="20"/>
          <w:color w:val="auto"/>
        </w:rPr>
      </w:pPr>
    </w:p>
    <w:tbl>
      <w:tblPr>
        <w:tblLayout w:type="fixed"/>
        <w:tblInd w:w="192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7"/>
                <w:szCs w:val="17"/>
                <w:color w:val="auto"/>
              </w:rPr>
            </w:pPr>
          </w:p>
        </w:tc>
        <w:tc>
          <w:tcPr>
            <w:tcW w:w="202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2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0"/>
                <w:szCs w:val="20"/>
                <w:color w:val="auto"/>
              </w:rPr>
            </w:pPr>
          </w:p>
        </w:tc>
      </w:tr>
      <w:tr>
        <w:trPr>
          <w:trHeight w:val="223"/>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 aggregate of $3.631 billion remained available for share repurchases under the programs.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Statement of Cash Flows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Condensed Consolidated Balance Sheets to the total of the same such amounts shown in the Condensed Consolidated Statements of Cash Flows:</w:t>
      </w:r>
    </w:p>
    <w:p>
      <w:pPr>
        <w:spacing w:after="0" w:line="131"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1,937.2</w:t>
            </w:r>
          </w:p>
        </w:tc>
        <w:tc>
          <w:tcPr>
            <w:tcW w:w="0" w:type="dxa"/>
            <w:vAlign w:val="bottom"/>
          </w:tcPr>
          <w:p>
            <w:pPr>
              <w:spacing w:after="0"/>
              <w:rPr>
                <w:sz w:val="1"/>
                <w:szCs w:val="1"/>
                <w:color w:val="auto"/>
              </w:rPr>
            </w:pPr>
          </w:p>
        </w:tc>
      </w:tr>
      <w:tr>
        <w:trPr>
          <w:trHeight w:val="22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56"/>
        </w:trPr>
        <w:tc>
          <w:tcPr>
            <w:tcW w:w="64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w:t>
            </w:r>
          </w:p>
        </w:tc>
        <w:tc>
          <w:tcPr>
            <w:tcW w:w="42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1,928.2</w:t>
            </w:r>
          </w:p>
        </w:tc>
        <w:tc>
          <w:tcPr>
            <w:tcW w:w="120" w:type="dxa"/>
            <w:vAlign w:val="bottom"/>
          </w:tcPr>
          <w:p>
            <w:pPr>
              <w:spacing w:after="0"/>
              <w:rPr>
                <w:sz w:val="13"/>
                <w:szCs w:val="13"/>
                <w:color w:val="auto"/>
              </w:rPr>
            </w:pPr>
          </w:p>
        </w:tc>
        <w:tc>
          <w:tcPr>
            <w:tcW w:w="48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1,949.7</w:t>
            </w:r>
          </w:p>
        </w:tc>
        <w:tc>
          <w:tcPr>
            <w:tcW w:w="0" w:type="dxa"/>
            <w:vAlign w:val="bottom"/>
          </w:tcPr>
          <w:p>
            <w:pPr>
              <w:spacing w:after="0"/>
              <w:rPr>
                <w:sz w:val="1"/>
                <w:szCs w:val="1"/>
                <w:color w:val="auto"/>
              </w:rPr>
            </w:pPr>
          </w:p>
        </w:tc>
      </w:tr>
      <w:tr>
        <w:trPr>
          <w:trHeight w:val="221"/>
        </w:trPr>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Statements of Cash Flows</w:t>
            </w:r>
          </w:p>
        </w:tc>
        <w:tc>
          <w:tcPr>
            <w:tcW w:w="42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of amounts held by financial institutions pursuant to contractual arrangements.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disclosure of non-cash investing and financing activities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9"/>
                <w:szCs w:val="19"/>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19"/>
                <w:szCs w:val="19"/>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Pr>
          <w:p>
            <w:pPr>
              <w:spacing w:after="0"/>
              <w:rPr>
                <w:sz w:val="19"/>
                <w:szCs w:val="19"/>
                <w:color w:val="auto"/>
              </w:rPr>
            </w:pP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184"/>
        </w:trPr>
        <w:tc>
          <w:tcPr>
            <w:tcW w:w="3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Accrued contingent consideration in connection</w:t>
            </w: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4"/>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acquisitions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Legal Matters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The outcome of any such proceedings, regardless of the merits, is inherently uncertain. If the Company were unable to prevail in any such proceedings, its consolidated financial position, results of operations, and future cash flows may be materially impacted. Costs associated with the Company's involvement in legal proceedings are expensed as incurred. The Company recognizes accruals for loss contingencies associated with such proceedings when it is probable that a liability will be incurred and the amount of loss can be reasonably estimated. As of June 30, 2024 and December 31, 2023, the Company's accruals for loss contingencies were not material. There are certain loss contingencies that the Company deems reasonably possible for which the possible loss or range of possible loss is not estimable at this time.</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Praluent (alirocumab) Injection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27, 2022, the Company filed a lawsuit against Amgen Inc. in the United States District Court for the District of Delaware, alleging that, beginning in 2020, Amgen engaged in an anticompetitive bundling scheme which was designed to exclude Praluent from the market in violation of federal and state laws. The lawsuit seeks damages for harm caused by the alleged scheme, as well as injunctive relief restraining Amgen from continuing its alleged anticompetitive conduct. On August 1 and 11, 2022, Amgen filed a motion to dismiss the complaint and a motion to stay these proceedings, respectively. On February 10, 2023, the court denied Amgen's motion to stay; and on March 21, 2023, the court denied Amgen's motion to dismiss. On August 28, 2023, the Company filed an amended complaint in this matter; and, as part of its response, on September 20, 2023, Amgen filed a counterclaim alleging that the Company engaged in unfair business practices in violation of state law. On May 22, 2024, Amgen filed a motion for summary judgment. A trial has been scheduled to begin in November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 2023, Sanofi filed an action in the Munich Central Division of the Unified Patent Court (the "UPC") seeking revocation of Amgen's European Patent No. 3,666,797 (the "'797 Patent"). The '797 Patent is a divisional patent of European Patent No. 2,215,124 (the "'124 Patent") (i.e., a patent that shares the same priority date, disclosure, and patent term of the parent '124 Patent), which was previously invalidated by Technical Board of Appeal (the "TBA") of the European Patent Office (the "EPO"). A trial on the revocation action before the Munich Central Division of the UPC was held on June 4, 2024. On July 16, 2024, the Munich Central Division of the UPC issued a decision revoking the '797 Patent in its entirety.</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June 1, 2023, Amgen filed a lawsuit against the Company and certain of Sanofi's affiliated entities in the Munich Local Division of the UPC alleging infringement of the '797 Patent. The lawsuit seeks, among other things, a permanent injunction in several countries in Europe and monetary damages. On July 29, 2024, the Munich Local Division of the UPC ordered a stay of the infringement lawsuit in light of the decision of the Munich Central Division of the UPC to revoke the '797 Patent in its entirety (discussed above).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patents pertaining to EYLEA are subject to post-grant proceedings before the United States Patent and Trademark Office ("USPTO"), EPO, or other comparable foreign authorities, including those described in greater detail below. In addition, the Company has filed patent infringement lawsuits in several jurisdictions alleging infringement of certain Company patents pertaining to EYLEA, including those described in greater detail below.</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Post-Grant Proceedings Before USPTO</w:t>
      </w:r>
    </w:p>
    <w:p>
      <w:pPr>
        <w:spacing w:after="0" w:line="291" w:lineRule="exact"/>
        <w:rPr>
          <w:sz w:val="20"/>
          <w:szCs w:val="20"/>
          <w:color w:val="auto"/>
        </w:rPr>
      </w:pPr>
    </w:p>
    <w:p>
      <w:pPr>
        <w:ind w:left="260"/>
        <w:spacing w:after="0"/>
        <w:tabs>
          <w:tab w:leader="none" w:pos="2360" w:val="left"/>
          <w:tab w:leader="none" w:pos="4100" w:val="left"/>
          <w:tab w:leader="none" w:pos="6180" w:val="left"/>
          <w:tab w:leader="none" w:pos="8440" w:val="left"/>
        </w:tabs>
        <w:rPr>
          <w:sz w:val="20"/>
          <w:szCs w:val="20"/>
          <w:color w:val="auto"/>
        </w:rPr>
      </w:pPr>
      <w:r>
        <w:rPr>
          <w:rFonts w:ascii="Times New Roman" w:cs="Times New Roman" w:eastAsia="Times New Roman" w:hAnsi="Times New Roman"/>
          <w:sz w:val="18"/>
          <w:szCs w:val="18"/>
          <w:b w:val="1"/>
          <w:bCs w:val="1"/>
          <w:color w:val="auto"/>
        </w:rPr>
        <w:t>Company Patent(s)</w:t>
      </w:r>
      <w:r>
        <w:rPr>
          <w:sz w:val="20"/>
          <w:szCs w:val="20"/>
          <w:color w:val="auto"/>
        </w:rPr>
        <w:tab/>
      </w:r>
      <w:r>
        <w:rPr>
          <w:rFonts w:ascii="Times New Roman" w:cs="Times New Roman" w:eastAsia="Times New Roman" w:hAnsi="Times New Roman"/>
          <w:sz w:val="18"/>
          <w:szCs w:val="18"/>
          <w:b w:val="1"/>
          <w:bCs w:val="1"/>
          <w:color w:val="auto"/>
        </w:rPr>
        <w:t>Challenger(s)</w:t>
      </w:r>
      <w:r>
        <w:rPr>
          <w:sz w:val="20"/>
          <w:szCs w:val="20"/>
          <w:color w:val="auto"/>
        </w:rPr>
        <w:tab/>
      </w:r>
      <w:r>
        <w:rPr>
          <w:rFonts w:ascii="Times New Roman" w:cs="Times New Roman" w:eastAsia="Times New Roman" w:hAnsi="Times New Roman"/>
          <w:sz w:val="18"/>
          <w:szCs w:val="18"/>
          <w:b w:val="1"/>
          <w:bCs w:val="1"/>
          <w:color w:val="auto"/>
        </w:rPr>
        <w:t>Type of Challenge</w:t>
      </w:r>
      <w:r>
        <w:rPr>
          <w:sz w:val="20"/>
          <w:szCs w:val="20"/>
          <w:color w:val="auto"/>
        </w:rPr>
        <w:tab/>
      </w:r>
      <w:r>
        <w:rPr>
          <w:rFonts w:ascii="Times New Roman" w:cs="Times New Roman" w:eastAsia="Times New Roman" w:hAnsi="Times New Roman"/>
          <w:sz w:val="18"/>
          <w:szCs w:val="18"/>
          <w:b w:val="1"/>
          <w:bCs w:val="1"/>
          <w:color w:val="auto"/>
        </w:rPr>
        <w:t>Date of Challenge</w:t>
      </w:r>
      <w:r>
        <w:rPr>
          <w:sz w:val="20"/>
          <w:szCs w:val="20"/>
          <w:color w:val="auto"/>
        </w:rPr>
        <w:tab/>
      </w:r>
      <w:r>
        <w:rPr>
          <w:rFonts w:ascii="Times New Roman" w:cs="Times New Roman" w:eastAsia="Times New Roman" w:hAnsi="Times New Roman"/>
          <w:sz w:val="17"/>
          <w:szCs w:val="17"/>
          <w:b w:val="1"/>
          <w:bCs w:val="1"/>
          <w:color w:val="auto"/>
        </w:rPr>
        <w:t>Latest Events/Current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14573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45732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p>
      <w:pPr>
        <w:spacing w:after="0" w:line="40" w:lineRule="exact"/>
        <w:rPr>
          <w:sz w:val="20"/>
          <w:szCs w:val="20"/>
          <w:color w:val="auto"/>
        </w:rPr>
      </w:pPr>
    </w:p>
    <w:p>
      <w:pPr>
        <w:ind w:left="40" w:right="80"/>
        <w:spacing w:after="0" w:line="216" w:lineRule="auto"/>
        <w:rPr>
          <w:sz w:val="20"/>
          <w:szCs w:val="20"/>
          <w:color w:val="auto"/>
        </w:rPr>
      </w:pPr>
      <w:r>
        <w:rPr>
          <w:rFonts w:ascii="Times New Roman" w:cs="Times New Roman" w:eastAsia="Times New Roman" w:hAnsi="Times New Roman"/>
          <w:sz w:val="18"/>
          <w:szCs w:val="18"/>
          <w:color w:val="auto"/>
        </w:rPr>
        <w:t>U.S. Patent Nos. 9,254,338 (the "'338 Patent") and 9,669,069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"'069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964565</wp:posOffset>
            </wp:positionV>
            <wp:extent cx="12515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spacing w:after="0" w:line="229" w:lineRule="auto"/>
        <w:rPr>
          <w:sz w:val="20"/>
          <w:szCs w:val="20"/>
          <w:color w:val="auto"/>
        </w:rPr>
      </w:pPr>
      <w:r>
        <w:rPr>
          <w:rFonts w:ascii="Times New Roman" w:cs="Times New Roman" w:eastAsia="Times New Roman" w:hAnsi="Times New Roman"/>
          <w:sz w:val="17"/>
          <w:szCs w:val="17"/>
          <w:color w:val="auto"/>
        </w:rPr>
        <w:t>U.S. Patent Nos. 10,130,681 (the "'681 Patent") and 10,888,601</w:t>
      </w:r>
    </w:p>
    <w:p>
      <w:pPr>
        <w:ind w:left="40"/>
        <w:spacing w:after="0"/>
        <w:rPr>
          <w:sz w:val="20"/>
          <w:szCs w:val="20"/>
          <w:color w:val="auto"/>
        </w:rPr>
      </w:pPr>
      <w:r>
        <w:rPr>
          <w:rFonts w:ascii="Times New Roman" w:cs="Times New Roman" w:eastAsia="Times New Roman" w:hAnsi="Times New Roman"/>
          <w:sz w:val="18"/>
          <w:szCs w:val="18"/>
          <w:color w:val="auto"/>
        </w:rPr>
        <w:t>(the "'601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 w:right="200"/>
        <w:spacing w:after="0" w:line="226" w:lineRule="auto"/>
        <w:rPr>
          <w:sz w:val="20"/>
          <w:szCs w:val="20"/>
          <w:color w:val="auto"/>
        </w:rPr>
      </w:pPr>
      <w:r>
        <w:rPr>
          <w:rFonts w:ascii="Times New Roman" w:cs="Times New Roman" w:eastAsia="Times New Roman" w:hAnsi="Times New Roman"/>
          <w:sz w:val="18"/>
          <w:szCs w:val="18"/>
          <w:color w:val="auto"/>
        </w:rPr>
        <w:t>U.S. Patent No. 11,253,572 (the "'572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351790</wp:posOffset>
            </wp:positionV>
            <wp:extent cx="12515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5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Mylan</w:t>
            </w:r>
          </w:p>
        </w:tc>
        <w:tc>
          <w:tcPr>
            <w:tcW w:w="100" w:type="dxa"/>
            <w:vAlign w:val="bottom"/>
          </w:tcPr>
          <w:p>
            <w:pPr>
              <w:spacing w:after="0"/>
              <w:rPr>
                <w:sz w:val="14"/>
                <w:szCs w:val="14"/>
                <w:color w:val="auto"/>
              </w:rPr>
            </w:pPr>
          </w:p>
        </w:tc>
        <w:tc>
          <w:tcPr>
            <w:tcW w:w="20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IPR petitions seeking</w:t>
            </w:r>
          </w:p>
        </w:tc>
        <w:tc>
          <w:tcPr>
            <w:tcW w:w="100" w:type="dxa"/>
            <w:vAlign w:val="bottom"/>
          </w:tcPr>
          <w:p>
            <w:pPr>
              <w:spacing w:after="0"/>
              <w:rPr>
                <w:sz w:val="14"/>
                <w:szCs w:val="14"/>
                <w:color w:val="auto"/>
              </w:rPr>
            </w:pPr>
          </w:p>
        </w:tc>
        <w:tc>
          <w:tcPr>
            <w:tcW w:w="18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May 5, 2021</w:t>
            </w:r>
          </w:p>
        </w:tc>
        <w:tc>
          <w:tcPr>
            <w:tcW w:w="100" w:type="dxa"/>
            <w:vAlign w:val="bottom"/>
          </w:tcPr>
          <w:p>
            <w:pPr>
              <w:spacing w:after="0"/>
              <w:rPr>
                <w:sz w:val="14"/>
                <w:szCs w:val="14"/>
                <w:color w:val="auto"/>
              </w:rPr>
            </w:pPr>
          </w:p>
        </w:tc>
        <w:tc>
          <w:tcPr>
            <w:tcW w:w="33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On November 9, 2022, the USPTO issued</w:t>
            </w:r>
          </w:p>
        </w:tc>
        <w:tc>
          <w:tcPr>
            <w:tcW w:w="0" w:type="dxa"/>
            <w:vAlign w:val="bottom"/>
          </w:tcPr>
          <w:p>
            <w:pPr>
              <w:spacing w:after="0"/>
              <w:rPr>
                <w:sz w:val="1"/>
                <w:szCs w:val="1"/>
                <w:color w:val="auto"/>
              </w:rPr>
            </w:pPr>
          </w:p>
        </w:tc>
      </w:tr>
      <w:tr>
        <w:trPr>
          <w:trHeight w:val="176"/>
        </w:trPr>
        <w:tc>
          <w:tcPr>
            <w:tcW w:w="1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Pharmaceuticals Inc.,</w:t>
            </w:r>
          </w:p>
        </w:tc>
        <w:tc>
          <w:tcPr>
            <w:tcW w:w="21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declarations of invalidity</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final written decisions finding that the</w:t>
            </w:r>
          </w:p>
        </w:tc>
        <w:tc>
          <w:tcPr>
            <w:tcW w:w="0" w:type="dxa"/>
            <w:vAlign w:val="bottom"/>
          </w:tcPr>
          <w:p>
            <w:pPr>
              <w:spacing w:after="0"/>
              <w:rPr>
                <w:sz w:val="1"/>
                <w:szCs w:val="1"/>
                <w:color w:val="auto"/>
              </w:rPr>
            </w:pPr>
          </w:p>
        </w:tc>
      </w:tr>
      <w:tr>
        <w:trPr>
          <w:trHeight w:val="184"/>
        </w:trPr>
        <w:tc>
          <w:tcPr>
            <w:tcW w:w="16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joined by Apotex</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challenged claims of the '338 and '069</w:t>
            </w:r>
          </w:p>
        </w:tc>
        <w:tc>
          <w:tcPr>
            <w:tcW w:w="0" w:type="dxa"/>
            <w:vAlign w:val="bottom"/>
          </w:tcPr>
          <w:p>
            <w:pPr>
              <w:spacing w:after="0"/>
              <w:rPr>
                <w:sz w:val="1"/>
                <w:szCs w:val="1"/>
                <w:color w:val="auto"/>
              </w:rPr>
            </w:pPr>
          </w:p>
        </w:tc>
      </w:tr>
      <w:tr>
        <w:trPr>
          <w:trHeight w:val="180"/>
        </w:trPr>
        <w:tc>
          <w:tcPr>
            <w:tcW w:w="16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Inc. and Celltrion</w:t>
            </w: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Patents are unpatentable and, therefore,</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invalid.</w:t>
            </w:r>
          </w:p>
        </w:tc>
        <w:tc>
          <w:tcPr>
            <w:tcW w:w="0" w:type="dxa"/>
            <w:vAlign w:val="bottom"/>
          </w:tcPr>
          <w:p>
            <w:pPr>
              <w:spacing w:after="0"/>
              <w:rPr>
                <w:sz w:val="1"/>
                <w:szCs w:val="1"/>
                <w:color w:val="auto"/>
              </w:rPr>
            </w:pPr>
          </w:p>
        </w:tc>
      </w:tr>
      <w:tr>
        <w:trPr>
          <w:trHeight w:val="368"/>
        </w:trPr>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January 10, 2023, the Company filed</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notices of appeal of these decisions to the</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United States Court of Appeals for the</w:t>
            </w: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Federal Circuit (the "Federal Circuit"). On</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July 9, 2024, the Company's appeal was</w:t>
            </w:r>
          </w:p>
        </w:tc>
        <w:tc>
          <w:tcPr>
            <w:tcW w:w="0" w:type="dxa"/>
            <w:vAlign w:val="bottom"/>
          </w:tcPr>
          <w:p>
            <w:pPr>
              <w:spacing w:after="0"/>
              <w:rPr>
                <w:sz w:val="1"/>
                <w:szCs w:val="1"/>
                <w:color w:val="auto"/>
              </w:rPr>
            </w:pPr>
          </w:p>
        </w:tc>
      </w:tr>
      <w:tr>
        <w:trPr>
          <w:trHeight w:val="239"/>
        </w:trPr>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voluntarily dismissed.</w:t>
            </w:r>
          </w:p>
        </w:tc>
        <w:tc>
          <w:tcPr>
            <w:tcW w:w="0" w:type="dxa"/>
            <w:vAlign w:val="bottom"/>
          </w:tcPr>
          <w:p>
            <w:pPr>
              <w:spacing w:after="0"/>
              <w:rPr>
                <w:sz w:val="1"/>
                <w:szCs w:val="1"/>
                <w:color w:val="auto"/>
              </w:rPr>
            </w:pPr>
          </w:p>
        </w:tc>
      </w:tr>
      <w:tr>
        <w:trPr>
          <w:trHeight w:val="173"/>
        </w:trPr>
        <w:tc>
          <w:tcPr>
            <w:tcW w:w="15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Mylan, joined by</w:t>
            </w:r>
          </w:p>
        </w:tc>
        <w:tc>
          <w:tcPr>
            <w:tcW w:w="100" w:type="dxa"/>
            <w:vAlign w:val="bottom"/>
          </w:tcPr>
          <w:p>
            <w:pPr>
              <w:spacing w:after="0"/>
              <w:rPr>
                <w:sz w:val="15"/>
                <w:szCs w:val="15"/>
                <w:color w:val="auto"/>
              </w:rPr>
            </w:pPr>
          </w:p>
        </w:tc>
        <w:tc>
          <w:tcPr>
            <w:tcW w:w="20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IPR petitions seeking</w:t>
            </w:r>
          </w:p>
        </w:tc>
        <w:tc>
          <w:tcPr>
            <w:tcW w:w="100" w:type="dxa"/>
            <w:vAlign w:val="bottom"/>
          </w:tcPr>
          <w:p>
            <w:pPr>
              <w:spacing w:after="0"/>
              <w:rPr>
                <w:sz w:val="15"/>
                <w:szCs w:val="15"/>
                <w:color w:val="auto"/>
              </w:rPr>
            </w:pPr>
          </w:p>
        </w:tc>
        <w:tc>
          <w:tcPr>
            <w:tcW w:w="186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July 1, 2022</w:t>
            </w:r>
          </w:p>
        </w:tc>
        <w:tc>
          <w:tcPr>
            <w:tcW w:w="100" w:type="dxa"/>
            <w:vAlign w:val="bottom"/>
          </w:tcPr>
          <w:p>
            <w:pPr>
              <w:spacing w:after="0"/>
              <w:rPr>
                <w:sz w:val="15"/>
                <w:szCs w:val="15"/>
                <w:color w:val="auto"/>
              </w:rPr>
            </w:pPr>
          </w:p>
        </w:tc>
        <w:tc>
          <w:tcPr>
            <w:tcW w:w="33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On January 9, 2024, the USPTO issued final</w:t>
            </w:r>
          </w:p>
        </w:tc>
        <w:tc>
          <w:tcPr>
            <w:tcW w:w="0" w:type="dxa"/>
            <w:vAlign w:val="bottom"/>
          </w:tcPr>
          <w:p>
            <w:pPr>
              <w:spacing w:after="0"/>
              <w:rPr>
                <w:sz w:val="1"/>
                <w:szCs w:val="1"/>
                <w:color w:val="auto"/>
              </w:rPr>
            </w:pPr>
          </w:p>
        </w:tc>
      </w:tr>
      <w:tr>
        <w:trPr>
          <w:trHeight w:val="203"/>
        </w:trPr>
        <w:tc>
          <w:tcPr>
            <w:tcW w:w="16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Celltrion ('601 and</w:t>
            </w:r>
          </w:p>
        </w:tc>
        <w:tc>
          <w:tcPr>
            <w:tcW w:w="21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declarations of invalidity</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written decisions finding that that the</w:t>
            </w:r>
          </w:p>
        </w:tc>
        <w:tc>
          <w:tcPr>
            <w:tcW w:w="0" w:type="dxa"/>
            <w:vAlign w:val="bottom"/>
          </w:tcPr>
          <w:p>
            <w:pPr>
              <w:spacing w:after="0"/>
              <w:rPr>
                <w:sz w:val="1"/>
                <w:szCs w:val="1"/>
                <w:color w:val="auto"/>
              </w:rPr>
            </w:pPr>
          </w:p>
        </w:tc>
      </w:tr>
      <w:tr>
        <w:trPr>
          <w:trHeight w:val="189"/>
        </w:trPr>
        <w:tc>
          <w:tcPr>
            <w:tcW w:w="16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'681 Patents) and</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challenged claims of the '681 and '601</w:t>
            </w:r>
          </w:p>
        </w:tc>
        <w:tc>
          <w:tcPr>
            <w:tcW w:w="0" w:type="dxa"/>
            <w:vAlign w:val="bottom"/>
          </w:tcPr>
          <w:p>
            <w:pPr>
              <w:spacing w:after="0"/>
              <w:rPr>
                <w:sz w:val="1"/>
                <w:szCs w:val="1"/>
                <w:color w:val="auto"/>
              </w:rPr>
            </w:pPr>
          </w:p>
        </w:tc>
      </w:tr>
      <w:tr>
        <w:trPr>
          <w:trHeight w:val="164"/>
        </w:trPr>
        <w:tc>
          <w:tcPr>
            <w:tcW w:w="168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Samsung Bioepis</w:t>
            </w: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Patents are unpatentable and, therefore,</w:t>
            </w:r>
          </w:p>
        </w:tc>
        <w:tc>
          <w:tcPr>
            <w:tcW w:w="0" w:type="dxa"/>
            <w:vAlign w:val="bottom"/>
          </w:tcPr>
          <w:p>
            <w:pPr>
              <w:spacing w:after="0"/>
              <w:rPr>
                <w:sz w:val="1"/>
                <w:szCs w:val="1"/>
                <w:color w:val="auto"/>
              </w:rPr>
            </w:pPr>
          </w:p>
        </w:tc>
      </w:tr>
      <w:tr>
        <w:trPr>
          <w:trHeight w:val="234"/>
        </w:trPr>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 Ltd. ('601</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invalid.</w:t>
            </w:r>
          </w:p>
        </w:tc>
        <w:tc>
          <w:tcPr>
            <w:tcW w:w="0" w:type="dxa"/>
            <w:vAlign w:val="bottom"/>
          </w:tcPr>
          <w:p>
            <w:pPr>
              <w:spacing w:after="0"/>
              <w:rPr>
                <w:sz w:val="1"/>
                <w:szCs w:val="1"/>
                <w:color w:val="auto"/>
              </w:rPr>
            </w:pPr>
          </w:p>
        </w:tc>
      </w:tr>
      <w:tr>
        <w:trPr>
          <w:trHeight w:val="29"/>
        </w:trPr>
        <w:tc>
          <w:tcPr>
            <w:tcW w:w="1680" w:type="dxa"/>
            <w:vAlign w:val="bottom"/>
            <w:gridSpan w:val="2"/>
            <w:vMerge w:val="continue"/>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On March 12, 2024, the Company filed</w:t>
            </w:r>
          </w:p>
        </w:tc>
        <w:tc>
          <w:tcPr>
            <w:tcW w:w="0" w:type="dxa"/>
            <w:vAlign w:val="bottom"/>
          </w:tcPr>
          <w:p>
            <w:pPr>
              <w:spacing w:after="0"/>
              <w:rPr>
                <w:sz w:val="1"/>
                <w:szCs w:val="1"/>
                <w:color w:val="auto"/>
              </w:rPr>
            </w:pPr>
          </w:p>
        </w:tc>
      </w:tr>
      <w:tr>
        <w:trPr>
          <w:trHeight w:val="90"/>
        </w:trPr>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notices of appeal of these decisions to the</w:t>
            </w:r>
          </w:p>
        </w:tc>
        <w:tc>
          <w:tcPr>
            <w:tcW w:w="0" w:type="dxa"/>
            <w:vAlign w:val="bottom"/>
          </w:tcPr>
          <w:p>
            <w:pPr>
              <w:spacing w:after="0"/>
              <w:rPr>
                <w:sz w:val="1"/>
                <w:szCs w:val="1"/>
                <w:color w:val="auto"/>
              </w:rPr>
            </w:pPr>
          </w:p>
        </w:tc>
      </w:tr>
      <w:tr>
        <w:trPr>
          <w:trHeight w:val="239"/>
        </w:trPr>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Federal Circuit.</w:t>
            </w:r>
          </w:p>
        </w:tc>
        <w:tc>
          <w:tcPr>
            <w:tcW w:w="0" w:type="dxa"/>
            <w:vAlign w:val="bottom"/>
          </w:tcPr>
          <w:p>
            <w:pPr>
              <w:spacing w:after="0"/>
              <w:rPr>
                <w:sz w:val="1"/>
                <w:szCs w:val="1"/>
                <w:color w:val="auto"/>
              </w:rPr>
            </w:pPr>
          </w:p>
        </w:tc>
      </w:tr>
      <w:tr>
        <w:trPr>
          <w:trHeight w:val="173"/>
        </w:trPr>
        <w:tc>
          <w:tcPr>
            <w:tcW w:w="15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Samsung Bioepis,</w:t>
            </w:r>
          </w:p>
        </w:tc>
        <w:tc>
          <w:tcPr>
            <w:tcW w:w="100" w:type="dxa"/>
            <w:vAlign w:val="bottom"/>
          </w:tcPr>
          <w:p>
            <w:pPr>
              <w:spacing w:after="0"/>
              <w:rPr>
                <w:sz w:val="15"/>
                <w:szCs w:val="15"/>
                <w:color w:val="auto"/>
              </w:rPr>
            </w:pPr>
          </w:p>
        </w:tc>
        <w:tc>
          <w:tcPr>
            <w:tcW w:w="20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IPR petitions seeking</w:t>
            </w:r>
          </w:p>
        </w:tc>
        <w:tc>
          <w:tcPr>
            <w:tcW w:w="100" w:type="dxa"/>
            <w:vAlign w:val="bottom"/>
          </w:tcPr>
          <w:p>
            <w:pPr>
              <w:spacing w:after="0"/>
              <w:rPr>
                <w:sz w:val="15"/>
                <w:szCs w:val="15"/>
                <w:color w:val="auto"/>
              </w:rPr>
            </w:pPr>
          </w:p>
        </w:tc>
        <w:tc>
          <w:tcPr>
            <w:tcW w:w="186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January 6, 2023 ('681</w:t>
            </w:r>
          </w:p>
        </w:tc>
        <w:tc>
          <w:tcPr>
            <w:tcW w:w="100" w:type="dxa"/>
            <w:vAlign w:val="bottom"/>
          </w:tcPr>
          <w:p>
            <w:pPr>
              <w:spacing w:after="0"/>
              <w:rPr>
                <w:sz w:val="15"/>
                <w:szCs w:val="15"/>
                <w:color w:val="auto"/>
              </w:rPr>
            </w:pPr>
          </w:p>
        </w:tc>
        <w:tc>
          <w:tcPr>
            <w:tcW w:w="33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On July 19, 2023 and October 20, 2023, the</w:t>
            </w:r>
          </w:p>
        </w:tc>
        <w:tc>
          <w:tcPr>
            <w:tcW w:w="0" w:type="dxa"/>
            <w:vAlign w:val="bottom"/>
          </w:tcPr>
          <w:p>
            <w:pPr>
              <w:spacing w:after="0"/>
              <w:rPr>
                <w:sz w:val="1"/>
                <w:szCs w:val="1"/>
                <w:color w:val="auto"/>
              </w:rPr>
            </w:pPr>
          </w:p>
        </w:tc>
      </w:tr>
      <w:tr>
        <w:trPr>
          <w:trHeight w:val="191"/>
        </w:trPr>
        <w:tc>
          <w:tcPr>
            <w:tcW w:w="16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joined by Biocon</w:t>
            </w:r>
          </w:p>
        </w:tc>
        <w:tc>
          <w:tcPr>
            <w:tcW w:w="21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declarations of invalidity</w:t>
            </w:r>
          </w:p>
        </w:tc>
        <w:tc>
          <w:tcPr>
            <w:tcW w:w="19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Patent)</w:t>
            </w:r>
          </w:p>
        </w:tc>
        <w:tc>
          <w:tcPr>
            <w:tcW w:w="33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USPTO instituted IPR proceedings</w:t>
            </w:r>
          </w:p>
        </w:tc>
        <w:tc>
          <w:tcPr>
            <w:tcW w:w="0" w:type="dxa"/>
            <w:vAlign w:val="bottom"/>
          </w:tcPr>
          <w:p>
            <w:pPr>
              <w:spacing w:after="0"/>
              <w:rPr>
                <w:sz w:val="1"/>
                <w:szCs w:val="1"/>
                <w:color w:val="auto"/>
              </w:rPr>
            </w:pPr>
          </w:p>
        </w:tc>
      </w:tr>
      <w:tr>
        <w:trPr>
          <w:trHeight w:val="201"/>
        </w:trPr>
        <w:tc>
          <w:tcPr>
            <w:tcW w:w="168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Biologics Inc. ('601</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concerning the '681 Patent and the '601</w:t>
            </w:r>
          </w:p>
        </w:tc>
        <w:tc>
          <w:tcPr>
            <w:tcW w:w="0" w:type="dxa"/>
            <w:vAlign w:val="bottom"/>
          </w:tcPr>
          <w:p>
            <w:pPr>
              <w:spacing w:after="0"/>
              <w:rPr>
                <w:sz w:val="1"/>
                <w:szCs w:val="1"/>
                <w:color w:val="auto"/>
              </w:rPr>
            </w:pPr>
          </w:p>
        </w:tc>
      </w:tr>
      <w:tr>
        <w:trPr>
          <w:trHeight w:val="211"/>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26, 2023 ('601</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respectively.</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On June 14, 2024, the USPTO issued a final</w:t>
            </w: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written decision finding that the challenged</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claims of the '681 Patent are unpatentable</w:t>
            </w:r>
          </w:p>
        </w:tc>
        <w:tc>
          <w:tcPr>
            <w:tcW w:w="0" w:type="dxa"/>
            <w:vAlign w:val="bottom"/>
          </w:tcPr>
          <w:p>
            <w:pPr>
              <w:spacing w:after="0"/>
              <w:rPr>
                <w:sz w:val="1"/>
                <w:szCs w:val="1"/>
                <w:color w:val="auto"/>
              </w:rPr>
            </w:pPr>
          </w:p>
        </w:tc>
      </w:tr>
      <w:tr>
        <w:trPr>
          <w:trHeight w:val="239"/>
        </w:trPr>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therefore, invalid.</w:t>
            </w:r>
          </w:p>
        </w:tc>
        <w:tc>
          <w:tcPr>
            <w:tcW w:w="0" w:type="dxa"/>
            <w:vAlign w:val="bottom"/>
          </w:tcPr>
          <w:p>
            <w:pPr>
              <w:spacing w:after="0"/>
              <w:rPr>
                <w:sz w:val="1"/>
                <w:szCs w:val="1"/>
                <w:color w:val="auto"/>
              </w:rPr>
            </w:pPr>
          </w:p>
        </w:tc>
      </w:tr>
      <w:tr>
        <w:trPr>
          <w:trHeight w:val="173"/>
        </w:trPr>
        <w:tc>
          <w:tcPr>
            <w:tcW w:w="15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Samsung Bioepis</w:t>
            </w:r>
          </w:p>
        </w:tc>
        <w:tc>
          <w:tcPr>
            <w:tcW w:w="100" w:type="dxa"/>
            <w:vAlign w:val="bottom"/>
          </w:tcPr>
          <w:p>
            <w:pPr>
              <w:spacing w:after="0"/>
              <w:rPr>
                <w:sz w:val="15"/>
                <w:szCs w:val="15"/>
                <w:color w:val="auto"/>
              </w:rPr>
            </w:pPr>
          </w:p>
        </w:tc>
        <w:tc>
          <w:tcPr>
            <w:tcW w:w="20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IPR petition seeking</w:t>
            </w:r>
          </w:p>
        </w:tc>
        <w:tc>
          <w:tcPr>
            <w:tcW w:w="100" w:type="dxa"/>
            <w:vAlign w:val="bottom"/>
          </w:tcPr>
          <w:p>
            <w:pPr>
              <w:spacing w:after="0"/>
              <w:rPr>
                <w:sz w:val="15"/>
                <w:szCs w:val="15"/>
                <w:color w:val="auto"/>
              </w:rPr>
            </w:pPr>
          </w:p>
        </w:tc>
        <w:tc>
          <w:tcPr>
            <w:tcW w:w="186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April 27, 2023</w:t>
            </w:r>
          </w:p>
        </w:tc>
        <w:tc>
          <w:tcPr>
            <w:tcW w:w="100" w:type="dxa"/>
            <w:vAlign w:val="bottom"/>
          </w:tcPr>
          <w:p>
            <w:pPr>
              <w:spacing w:after="0"/>
              <w:rPr>
                <w:sz w:val="15"/>
                <w:szCs w:val="15"/>
                <w:color w:val="auto"/>
              </w:rPr>
            </w:pPr>
          </w:p>
        </w:tc>
        <w:tc>
          <w:tcPr>
            <w:tcW w:w="33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On November 17, 2023, the USPTO</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declaration of invalidity</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instituted IPR proceedings concerning the</w:t>
            </w: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'572 Patent. On July 11, 2024, the Company</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filed a Notice of Disclaimer with the</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USPTO, disclaiming all claims of the '572</w:t>
            </w:r>
          </w:p>
        </w:tc>
        <w:tc>
          <w:tcPr>
            <w:tcW w:w="0" w:type="dxa"/>
            <w:vAlign w:val="bottom"/>
          </w:tcPr>
          <w:p>
            <w:pPr>
              <w:spacing w:after="0"/>
              <w:rPr>
                <w:sz w:val="1"/>
                <w:szCs w:val="1"/>
                <w:color w:val="auto"/>
              </w:rPr>
            </w:pPr>
          </w:p>
        </w:tc>
      </w:tr>
      <w:tr>
        <w:trPr>
          <w:trHeight w:val="239"/>
        </w:trPr>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-1319530</wp:posOffset>
            </wp:positionH>
            <wp:positionV relativeFrom="paragraph">
              <wp:posOffset>-736600</wp:posOffset>
            </wp:positionV>
            <wp:extent cx="7115175" cy="728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7289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320"/>
            <w:col w:w="9140"/>
          </w:cols>
          <w:pgMar w:left="320" w:top="369" w:right="3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Patent Litigation</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 2022, the Company filed a patent infringement lawsuit against Mylan, a wholly-owned subsidiary of Viatris Inc., in the United States District Court for the Northern District of West Virginia alleging that Mylan's filing for FDA approval of an aflibercept 2 mg biosimilar infringes certain Company patents. On April 20, 2023, Mylan filed a motion for summary judgment or partial summary judgment concerning four of the asserted patents. On April 26, 2023, the Company filed a stipulation accepting summary judgment of noninfringement of all asserted claims of the Company's U.S. Patent No. 11,104,715. On June 5, 2023, Biocon, as successor-in-interest to the aflibercept 2 mg biosimilar, was joined as a defendant to the lawsuit. A trial was held from June 12, 2023 through June 23, 2023 concerning certain claims of the '601 Patent, the '572 Patent, and the Company's U.S. Patent No. 11,084,865 (the "'865 Patent"). On December 27, 2023, the court issued a decision finding that (i) the asserted claims of the '865 Patent were valid and infringed by Mylan and Biocon and (ii) the asserted claims of the '601 and '572 Patents were infringed by Mylan and Biocon but were invalid as obvious. On June 11, 2024, the court granted the Company's motion for a permanent injunction, enjoining Mylan and Biocon from selling in the United States their aflibercept 2 mg biosimilar until the expiration of the '865 Patent. On June 21, 2024, Mylan and Biocon filed a notice of appeal of the court's December 27, 2023 and June 11, 2024 decisions to the Federal Circuit.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8, November 22, and November 29, 2023, respectively, the Company filed patent infringement lawsuits against Celltrion, Samsung Bioepis, and Formycon AG in the United States District Court for the Northern District of West Virginia following service on Regeneron of each company's notice of commercial marketing. The lawsuits allege that each company has infringed certain Company patents, including based on each company's filing for FDA approval of an aflibercept 2 mg biosimilar. On December 27, 2023, the Company filed a second patent infringement lawsuit against Samsung Bioepis in the United States District Court for the Northern District of West Virginia alleging that Samsung's filing for FDA approval of an aflibercept 2 mg biosimilar infringes certain Company patents. On June 14, June 21, and June 28, 2024, respectively, the court granted the Company's motions for preliminary injunctions against Samsung Bioepis, Formycon, and Celltrion. On June 14, June 25, and July 8, 2024, respectively, Samsung Bioepis, Formycon, and Celltrion filed notices of appeal of the court's preliminary injunction decisions to the Federal Circuit.</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10, 2024, the Company filed a patent infringement lawsuit against Amgen in the United States District Court for the Central District of California alleging that Amgen's filing for FDA approval of an aflibercept 2 mg biosimilar infringes certain Company patents. On April 11, 2024, the United States Judicial Panel on Multidistrict Litigation granted the Company's motion to transfer this lawsuit to the United States District Court for the Northern District of West Virginia for coordinated and consolidated pretrial proceedings with the lawsuits described in the preceding paragraph. On June 7, 2024, the Company filed a motion for a preliminary injunction against Amgen. An oral hearing before the United States District Court for the Northern District of West Virginia has been scheduled for August 13,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Post-Grant Proceedings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Authority/Court</w:t>
            </w:r>
          </w:p>
        </w:tc>
        <w:tc>
          <w:tcPr>
            <w:tcW w:w="1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Company Patent(s)</w:t>
            </w: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Challenger(s)</w:t>
            </w:r>
          </w:p>
        </w:tc>
        <w:tc>
          <w:tcPr>
            <w:tcW w:w="1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Type of Challenge</w:t>
            </w:r>
          </w:p>
        </w:tc>
        <w:tc>
          <w:tcPr>
            <w:tcW w:w="1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Date of Challenge</w:t>
            </w: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Latest Events/Current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840" w:type="dxa"/>
            <w:vAlign w:val="bottom"/>
            <w:gridSpan w:val="2"/>
            <w:vMerge w:val="continue"/>
          </w:tcPr>
          <w:p>
            <w:pPr>
              <w:spacing w:after="0"/>
              <w:rPr>
                <w:sz w:val="21"/>
                <w:szCs w:val="21"/>
                <w:color w:val="auto"/>
              </w:rPr>
            </w:pPr>
          </w:p>
        </w:tc>
        <w:tc>
          <w:tcPr>
            <w:tcW w:w="1920" w:type="dxa"/>
            <w:vAlign w:val="bottom"/>
            <w:gridSpan w:val="2"/>
            <w:vMerge w:val="continue"/>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226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7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EPO</w:t>
            </w:r>
          </w:p>
        </w:tc>
        <w:tc>
          <w:tcPr>
            <w:tcW w:w="12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European Patent No.</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Anonymous parties</w:t>
            </w:r>
          </w:p>
        </w:tc>
        <w:tc>
          <w:tcPr>
            <w:tcW w:w="1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Opposition</w:t>
            </w:r>
          </w:p>
        </w:tc>
        <w:tc>
          <w:tcPr>
            <w:tcW w:w="1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October 26 and</w:t>
            </w:r>
          </w:p>
        </w:tc>
        <w:tc>
          <w:tcPr>
            <w:tcW w:w="12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Oral hearing scheduled for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2,944,306 (the "'306</w:t>
            </w: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proceedings</w:t>
            </w:r>
          </w:p>
        </w:tc>
        <w:tc>
          <w:tcPr>
            <w:tcW w:w="17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October 27, 2021</w:t>
            </w:r>
          </w:p>
        </w:tc>
        <w:tc>
          <w:tcPr>
            <w:tcW w:w="21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November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EPO</w:t>
            </w:r>
          </w:p>
        </w:tc>
        <w:tc>
          <w:tcPr>
            <w:tcW w:w="1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European Patent No.</w:t>
            </w:r>
          </w:p>
        </w:tc>
        <w:tc>
          <w:tcPr>
            <w:tcW w:w="1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Amgen and three</w:t>
            </w:r>
          </w:p>
        </w:tc>
        <w:tc>
          <w:tcPr>
            <w:tcW w:w="1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Opposition</w:t>
            </w:r>
          </w:p>
        </w:tc>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May 5-10, 2023</w:t>
            </w:r>
          </w:p>
        </w:tc>
        <w:tc>
          <w:tcPr>
            <w:tcW w:w="2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Oral hearing to be scheduled.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3,716,992 (the "'992</w:t>
            </w:r>
          </w:p>
        </w:tc>
        <w:tc>
          <w:tcPr>
            <w:tcW w:w="1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anonymous parties</w:t>
            </w:r>
          </w:p>
        </w:tc>
        <w:tc>
          <w:tcPr>
            <w:tcW w:w="17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proceedings</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EPO</w:t>
            </w: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European Patent No.</w:t>
            </w:r>
          </w:p>
        </w:tc>
        <w:tc>
          <w:tcPr>
            <w:tcW w:w="1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Amgen and</w:t>
            </w:r>
          </w:p>
        </w:tc>
        <w:tc>
          <w:tcPr>
            <w:tcW w:w="17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Opposition</w:t>
            </w:r>
          </w:p>
        </w:tc>
        <w:tc>
          <w:tcPr>
            <w:tcW w:w="17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April 22-30, 2024</w:t>
            </w:r>
          </w:p>
        </w:tc>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Oral hearing to be scheduled.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3,384,049 (the "'049</w:t>
            </w:r>
          </w:p>
        </w:tc>
        <w:tc>
          <w:tcPr>
            <w:tcW w:w="1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anonymous parties</w:t>
            </w:r>
          </w:p>
        </w:tc>
        <w:tc>
          <w:tcPr>
            <w:tcW w:w="17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proceedings</w:t>
            </w: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German Federal Patent</w:t>
            </w:r>
          </w:p>
        </w:tc>
        <w:tc>
          <w:tcPr>
            <w:tcW w:w="1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German designation of</w:t>
            </w:r>
          </w:p>
        </w:tc>
        <w:tc>
          <w:tcPr>
            <w:tcW w:w="1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Samsung Bioepis</w:t>
            </w:r>
          </w:p>
        </w:tc>
        <w:tc>
          <w:tcPr>
            <w:tcW w:w="1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Invalidation</w:t>
            </w:r>
          </w:p>
        </w:tc>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June 22, 2023</w:t>
            </w:r>
          </w:p>
        </w:tc>
        <w:tc>
          <w:tcPr>
            <w:tcW w:w="2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Trial has been scheduled to</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Court</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European Patent No.</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NL B.V.</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proceedings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begin in June 2025.</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2,364,691 (the "'691</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1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High Court of Justice</w:t>
            </w: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United Kingdom</w:t>
            </w:r>
          </w:p>
        </w:tc>
        <w:tc>
          <w:tcPr>
            <w:tcW w:w="1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Formycon AG and</w:t>
            </w:r>
          </w:p>
        </w:tc>
        <w:tc>
          <w:tcPr>
            <w:tcW w:w="17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Invalidation</w:t>
            </w:r>
          </w:p>
        </w:tc>
        <w:tc>
          <w:tcPr>
            <w:tcW w:w="17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April 18, 2024</w:t>
            </w:r>
          </w:p>
        </w:tc>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Trial has been scheduled to</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8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of England and Wales</w:t>
            </w:r>
          </w:p>
        </w:tc>
        <w:tc>
          <w:tcPr>
            <w:tcW w:w="19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designations of the '691</w:t>
            </w:r>
          </w:p>
        </w:tc>
        <w:tc>
          <w:tcPr>
            <w:tcW w:w="16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Klinge Biopharma</w:t>
            </w:r>
          </w:p>
        </w:tc>
        <w:tc>
          <w:tcPr>
            <w:tcW w:w="17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proceedings and</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begin in June 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Patent and '306 Patent</w:t>
            </w:r>
          </w:p>
        </w:tc>
        <w:tc>
          <w:tcPr>
            <w:tcW w:w="16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GmbH</w:t>
            </w:r>
          </w:p>
        </w:tc>
        <w:tc>
          <w:tcPr>
            <w:tcW w:w="17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declaration of non-</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5"/>
                <w:szCs w:val="15"/>
                <w:color w:val="auto"/>
              </w:rPr>
              <w:t>infringement by</w:t>
            </w: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challengers'</w:t>
            </w: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aflibercept 2 mg</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biosimilar</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High Court of Justice</w:t>
            </w:r>
          </w:p>
        </w:tc>
        <w:tc>
          <w:tcPr>
            <w:tcW w:w="1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United Kingdom</w:t>
            </w:r>
          </w:p>
        </w:tc>
        <w:tc>
          <w:tcPr>
            <w:tcW w:w="1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Amgen</w:t>
            </w:r>
          </w:p>
        </w:tc>
        <w:tc>
          <w:tcPr>
            <w:tcW w:w="1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Invalidation</w:t>
            </w:r>
          </w:p>
        </w:tc>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May 13, 2024</w:t>
            </w:r>
          </w:p>
        </w:tc>
        <w:tc>
          <w:tcPr>
            <w:tcW w:w="2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Stayed pending final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8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of England and Wales</w:t>
            </w:r>
          </w:p>
        </w:tc>
        <w:tc>
          <w:tcPr>
            <w:tcW w:w="19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designation of the '992</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proceedings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resolution of the EPO</w:t>
            </w: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Patent</w:t>
            </w: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opposition proceedings listed</w:t>
            </w: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above.</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District Court of The</w:t>
            </w: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Dutch designation of the</w:t>
            </w:r>
          </w:p>
        </w:tc>
        <w:tc>
          <w:tcPr>
            <w:tcW w:w="1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Samsung Bioepis</w:t>
            </w:r>
          </w:p>
        </w:tc>
        <w:tc>
          <w:tcPr>
            <w:tcW w:w="17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Invalidation</w:t>
            </w:r>
          </w:p>
        </w:tc>
        <w:tc>
          <w:tcPr>
            <w:tcW w:w="17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July 17, 2024</w:t>
            </w:r>
          </w:p>
        </w:tc>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Trial for both patents has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8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Hague, the</w:t>
            </w:r>
          </w:p>
        </w:tc>
        <w:tc>
          <w:tcPr>
            <w:tcW w:w="19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'691 Patent and '306</w:t>
            </w:r>
          </w:p>
        </w:tc>
        <w:tc>
          <w:tcPr>
            <w:tcW w:w="16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NL B.V.</w:t>
            </w:r>
          </w:p>
        </w:tc>
        <w:tc>
          <w:tcPr>
            <w:tcW w:w="17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proceedings</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been scheduled for July 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High Court of Justice</w:t>
            </w:r>
          </w:p>
        </w:tc>
        <w:tc>
          <w:tcPr>
            <w:tcW w:w="1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United Kingdom</w:t>
            </w:r>
          </w:p>
        </w:tc>
        <w:tc>
          <w:tcPr>
            <w:tcW w:w="1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Samsung Bioepis</w:t>
            </w:r>
          </w:p>
        </w:tc>
        <w:tc>
          <w:tcPr>
            <w:tcW w:w="1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Invalidation</w:t>
            </w:r>
          </w:p>
        </w:tc>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July 24, 2024</w:t>
            </w:r>
          </w:p>
        </w:tc>
        <w:tc>
          <w:tcPr>
            <w:tcW w:w="2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Trial to be scheduled.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England and Wales</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designation of the '992</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UK Limited</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proceedings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Viatris Canada and BCIL</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2024, the Company, Bayer Inc., Bayer Healthcare LLC, BGP Pharma ULC d.b.a. Viatris Canada ("Viatris Canada"), Biosimilar Collaborations Ireland Limited ("BCIL"), and Biocon Biologics Limited entered into a settlement agreement concerning the previously disclosed patent infringement lawsuits. Pursuant to the settlement agreement, each of such lawsuits has been dismissed and BCIL is generally precluded from launching its aflibercept 2 mg biosimilar product in Canada until July 1, 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Amgen Canada</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9, 2023, Amgen Canada Inc. ("Amgen Canada") filed invalidation proceedings against the Company in the Federal Court of Canada seeking revocation of the Company's Canadian Patent Nos. 2,654,510 (the "'510 Patent") and 3,007,276 (the "'276 Patent"). On September 14, 2023, the Company, Bayer Inc., and Bayer Healthcare LLC filed patent infringement lawsuits against Amgen Canada in the Federal Court of Canada seeking a declaration that the making, constructing, using, or selling of an aflibercept 2 mg biosimilar would directly or indirectly infringe one or more claims of Bayer Healthcare LLC's Canadian Patent No. 2,970,315 (the "'315 Patent"). On September 14, 2023, the Company and Bayer Inc. filed three separate patent infringement lawsuits against Amgen Canada in the Federal Court of Canada seeking a declaration that the making, constructing, using, or selling of an aflibercept 2 mg biosimilar would directly or indirectly infringe one or more claims of the Company's Canadian Patent Nos. 3,129,193 (the "'193 Patent"), 2,965,495 (the "'495 Patent"), and 2,906,768 (the "'768 Patent"), respectively. On October 11, 2023, the Company, Bayer Inc., and Bayer Healthcare LLC filed two separate patent infringement lawsuits against Amgen Canada in the Federal Court of Canada seeking a declaration that the making, constructing, using, or selling of an aflibercept 2 mg biosimilar would directly or indirectly infringe one or more claims of the Company's '510 Patent and '276 Patent, respectively. On May 7, 2024 and June 28, 2024, respectively, Amgen filed a summary trial motion with respect to the '510 Patent and a motion to delist the '276 Patent from the Canada Patent Register. Hearings for both motions have been scheduled for November 2024. A trial for the lawsuits concerning the '510 Patent and the '276 Patent has been scheduled for May-June 2025; and a trial for the lawsuits concerning the '315 Patent and the '193 Patent has been scheduled for August-September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Celltrion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15, 2024, the Company and Bayer Inc. filed patent infringement lawsuits against Celltrion, Inc., Celltrion Healthcare Co, Ltd., Celltrion Pharma Inc., and Celltrion Healthcare Canada Ltd. in the Federal Court of Canada seeking a declaration that the making, constructing, using, or selling of an aflibercept 2 mg biosimilar would directly or indirectly infringe one or more claims of the '510 Patent, the '276 Patent, the '495 Patent, the '768 Patent, the '193 Patent, and the '315 Patent. On July 2, 2024, the Company, Bayer Inc., Bayer Healthcare LLC, and Celltrion, Inc. entered into a settlement agreement concerning these patent infringement lawsuits, pursuant to which each such lawsuit has been dismissed and Celltrion is generally precluded from launching its aflibercept 2 mg biosimilar product in Canada until July 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Apotex</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6, 2024, the Company, Bayer Inc., and Bayer Healthcare LLC filed patent infringement lawsuits against Apotex Inc. in the Federal Court of Canada seeking a declaration that the making, constructing, using, or selling of an aflibercept 2 mg biosimilar would directly or indirectly infringe one or more claims of the '510 Patent, the '276 Patent, the '495 Patent, the '768 Patent, the '193 Patent, and the '315 Patent. On June 21, 2024, the Company, Bayer Inc., Bayer Healthcare LLC, and Apotex Inc. entered into a settlement agreement concerning these patent infringement lawsuits, pursuant to which each such lawsuit has been dismissed and Apotex is generally precluded from launching its aflibercept 2 mg biosimilar product in Canada until July 1,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South Korea</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31, 2022 and December 13, 2022, Samsung Bioepis Co., Ltd. initiated invalidation proceedings before the Intellectual Property Trial and Appeal Board of the Korean Intellectual Property Office against the Company's Korean Patent Nos. 1131429 and 1406811 (the "'811 Patent"), respectively, seeking revocation of each of such patents in its entirety.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8, 2024, the Company and Bayer Consumer Care AG filed a patent infringement lawsuit against Sam Chun Dang Pharm. Co., Ltd. and OPTUS Pharmaceutical Co., Ltd before the Seoul Central District Court seeking damages based on an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allegation that offering to sell an aflibercept 2 mg biosimilar would infringe one or more claims of the Company's Korean Patent No. 659477 (the "'477 Patent").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10, 2024, the Company and Bayer Consumer Care AG filed a patent infringement lawsuit against Celltrion Inc. before the Seoul Central District Court seeking damages and injunctive relief based on an allegation that the making, constructing, using, or selling of an aflibercept 2 mg biosimilar would infringe one or more claims of the '477 Patent, the '811 Patent, and Korean Patent No. 2519234 (the "'234 Patent").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16, 2023, the Company filed a patent infringement lawsuit against Samsung Bioepis Co., Ltd. and its parent company Samsung Biologics Co., Ltd. before the Seoul Central District Court seeking damages based on an allegation that the making, constructing, using, or selling of an aflibercept 2 mg biosimilar would infringe one or more claims of the '477 Patent.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8, 2024, the Company and Bayer Consumer Care AG filed a patent infringement lawsuit against Sam Chun Dang Pharm. Co., Ltd. and OPTUS Pharmaceutical Co., Ltd before the Seoul Central District Court seeking damages and injunctive relief based on an allegation that the making, constructing, using, or selling of an aflibercept 2 mg biosimilar would infringe one or more claims of the '811 patent and the '234 Patent.</w:t>
      </w:r>
    </w:p>
    <w:p>
      <w:pPr>
        <w:spacing w:after="0" w:line="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14, 2024, the Company and Bayer Consumer Care AG filed a patent infringement lawsuit against Samsung Bioepis Co., Ltd., its parent company Samsung Biologics Co., Ltd., and Samil Pharmaceuticals Co., Ltd. before the Seoul Central District Court seeking injunctive relief based on an allegation that the making, constructing, using, or selling of an aflibercept 2mg biosimilar would infringe one or more claims of the '811 Patent and the '234 Patent.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 Pre-filled Syringe</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19, 2020, Novartis Pharma AG, Novartis Pharmaceuticals Corporation, and Novartis Technology LLC (collectively, "Novartis") filed a patent infringement lawsuit (as amended on August 2, 2021) in the U.S. District Court for the Northern District of New York asserting claims of Novartis's U.S. Patent No. 9,220,631 (the "'631 Patent") and seeking preliminary and permanent injunctions to prevent the Company from continuing to infringe the '631 Patent. Novartis also seeks a judgment of patent infringement of the '631 Patent, monetary damages (together with interest), an order of willful infringement of the '631 Patent (which would allow the court in its discretion to award damages up to three times the amount assessed), costs and expenses of the lawsuits, and attorneys' fees. On November 7, 2022, the Company and Novartis entered into a stipulation staying the lawsuit in light of the decision in the IPR proceeding discussed below.</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16, 2020, the Company initiated two IPR petitions in the USPTO seeking a declaration of invalidity of the '631 Patent on two separate grounds. On October 26, 2021, the USPTO issued a decision instituting the IPR proceeding. An oral hearing was held on July 21, 2022. On October 25, 2022, the Patent Trial and Appeal Board ("PTAB") of the USPTO issued a final written decision invalidating all claims of the '631 Patent. On December 23, 2022, Novartis filed a notice of appeal of the PTAB's decision to the Federal Circuit. An oral hearing has been scheduled for August 6, 2024.</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17, 2020, the Company filed an antitrust lawsuit against Novartis and Vetter Pharma International Gmbh ("Vetter") in the United States District Court for the Southern District of New York seeking a declaration that the '631 Patent is unenforceable and a judgment that the defendants' conduct violates Sections 1 and 2 of the Sherman Antitrust Act of 1890, as amended (the "Sherman Antitrust Act"). The Company is also seeking injunctive relief and treble damages. On September 4, 2020, Novartis filed, and Vetter moved to join, a motion to dismiss the complaint, to transfer the lawsuit to the Northern District of New York, or to stay the lawsuit; and on October 19, 2020, Novartis filed, and Vetter moved to join, a second motion to dismiss the complaint on different grounds. On January 25, 2021, the Company filed an amended complaint seeking a judgment that Novartis's conduct violates Section 2 of the Sherman Antitrust Act based on additional grounds, as well as a judgment of tortious interference with contract. On February 22, 2021, Novartis filed, and Vetter moved to join, a motion to dismiss the amended complaint. On September 21, 2021, the court granted Novartis and Vetter's motion to transfer this lawsuit to the Northern District of New York. As a result, this lawsuit was transferred to the same judge that had been assigned to the patent infringement lawsuit discussed above. On January 31, 2022, the court granted Novartis and Vetter's motion to dismiss the amended complaint. On June 10, 2022, the Company filed an appeal of the District Court's decision to dismiss the amended complaint with the U.S. Court of Appeals for the Second Circuit (the "Second Circuit"). On March 18, 2024, the Second Circuit reversed the District Court's decision to dismiss the amended complaint and remanded the lawsuit to the District Court for further proceedings consistent with the Second Circuit's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REGEN-COV (casirivimab and imdevimab)</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5, 2020, Allele Biotechnology and Pharmaceuticals, Inc. ("Allele") filed a lawsuit (as amended on April 8, 2021 and December 12, 2022) against the Company in the United States District Court for the Southern District of New York, asserting infringement of U.S. Patent No. 10,221,221 (the "'221 Patent"). Allele seeks a judgment of patent infringement of the '221 Patent, an award of monetary damages (together with interest), an order of willful infringement of the '221 Patent (which</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would allow the court in its discretion to award damages up to three times the amount assessed), costs and expenses of the lawsuit, and attorneys' fees. On July 16, 2021, the Company filed a motion to dismiss the complaint, which motion was denied on March 2, 2022. On September 18, 2023, the parties entered into a stipulation that narrowed the case to (i) whether any safe harbor defense under federal law applies to Regeneron's use of the invention covered, based on the court's claim construction, by the '221 Patent; (ii) damages for any use by Regeneron found to not be covered by such safe harbor defense; and (iii) whether any use referred to in clause (ii) above was willful.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Matters</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ZALTRAP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(the "June 2020 Civil Complaint"). On August 24, 2020, the Company filed a motion to dismiss the June 2020 Civil Complaint in its entirety. On December 4, 2020, the court denied the motion to dismiss. On December 28, 2022, the U.S. Attorney's Office for the District of Massachusetts filed a motion for partial summary judgment. On January 31, 2023, the Company filed a motion for summary judgment. An oral hearing on the parties' respective motions for summary judgment was held on July 21, 2023. On September 27, 2023, the court (i) denied in part and granted in part the Company's motion for summary judgment and (ii) denied in its entirety the motion for partial summary judgment filed by the U.S. Attorney's Office for the District of Massachusetts. On October 25, 2023, the court certified for interlocutory appeal a portion of the court's September 27, 2023 order that addressed the causation standard applicable to the alleged violations of the federal Anti-Kickback Statute and federal False Claims Act; and on December 11, 2023, the U.S. Court of Appeals for the First Circuit certified for appeal (i.e., accepted for review) the court's September 27, 2023 order. An oral hearing concerning the appeal to the U.S. Court of Appeals for the First Circuit was held on July 22, 2024.</w:t>
      </w:r>
    </w:p>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On June 3, 2021, the United States District Court for the Central District of California unsealed a qui tam complaint filed against the Company, Regeneron Healthcare Solutions, Inc., and Sanofi-Aventis U.S. LLC by two qui tam plaintiffs (known as relators) purportedly on behalf of the United States and various states (the "State Plaintiffs"), asserting causes of action under the federal False Claims Act and state law. Also on June 3, 2021, the United States and the State Plaintiffs notified the court of their decision to decline to intervene in the case. On October 29, 2021, the qui tam plaintiffs filed an amended complaint in this matter. On January 14, 2022, the Company filed a motion to dismiss the amended complaint in its entirety. On July 25, 2023, the court in part granted and in part denied the Company's motion to dismiss. On September 1, 2023, the Company filed a second motion to dismiss the amended complaint or, in the alternative, a motion for judgment on the pleadings. A trial has been scheduled for April 2025.</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2021, the Company received a CID from the U.S. Department of Justice pursuant to the federal False Claims Act. The CID states that the investigation concerns allegations that the Company (i) violated the False Claims Act by paying kickbacks to distributors and ophthalmology practices to induce purchase of EYLEA, including through discounts, rebates, credit card fees, free units of EYLEA, and inventory management systems; and (ii) inflated reimbursement rates for EYLEA by excluding applicable discounts, rebates, and benefits from the average sales price reported to the Centers for Medicare &amp; Medicaid Services. The CID covers the period from January 2011 through June 2021. On November 29, 2023, the U.S. Department of Justice informed the Company that it had filed a notice of partial intervention in this matter. On March 28, 2024, the Department of Justice and the U.S. Attorney's Office for the District of Massachusetts filed a civil complaint intervention (the "March 2024 Civil Complaint") in the U.S. District Court for the District of Massachusetts asserting causes of action under the federal False Claims Act and a claim for unjust enrichment. Also on March 28, 2024, the U.S. District Court of the District of Massachusetts unsealed a qui tam complaint against the Company, AmerisourceBergen, and Besse Medical by two qui tam plaintiffs (known as relators) purportedly on behalf of the United States and various states and municipalities, asserting causes of action under the federal False Claims Act and state and local laws, and alleging violations of the federal Anti-Kickback statute. On June 25, 2024, the States of Colorado, Georgia, Michigan, North Carolina, Texas, and Washington filed a civil complaint in partial intervention (the "June 2024 Civil Complaint") in the U.S. District Court for the District of Massachusetts asserting causes of action under various states laws. On July 18, 2024, the Company filed a motion to dismiss the March 2024 Civil Complaint and the June 2024 Civil Complaint.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Department of Insurance Subpoena</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2022, the Company received a subpoena from the Insurance Commissioner for the State of California pursuant to the California Insurance Code. The subpoena seeks information relating to the marketing, sale, and distribution of EYLEA, including (i) discounts, rebates, credit card fees, and inventory management systems; (ii) Regeneron's relationships with distributors; (iii) price reporting; (iv) speaker programs; and (v) patient support programs. The subpoena covers the period from January 1, 2014 through August 1, 2021. The Company is cooperating with this investigation.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Initiated by Other Payors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party to several lawsuits relating to the conduct alleged in the June 2020 Civil Complaint discussed under "Department of Justice Matters" above. These lawsuits were filed by UnitedHealthcare Insurance Company and United Healthcare Services, Inc. (collectively, "UHC") and Humana Inc. ("Humana") in the United States District Court for the Southern District of New York on December 17, 2020 and July 22, 2021, respectively; and by Blue Cross and Blue Shield of Massachusetts, Inc. and Blue Cross and Blue Shield of Massachusetts HMO Blue, Inc. (collectively, "BCBS"), Medical Mutual of Ohio ("MMO"), Horizon Healthcare Services, Inc. d/b/a Horizon Blue Cross Blue Shield of New Jersey ("Horizon"), and Local 464A United Food and Commercial Workers Union Welfare Service Benefit Fund ("Local 464A") in the U.S. District Court for the District of Massachusetts on December 20, 2021, February 23, 2022, April 4, 2022, and June 17, 2022, respectively. These lawsuits allege causes of action under state law and the federal Racketeer Influenced and Corrupt Organizations Act ("RICO") and seek monetary damages and equitable relief. The MMO and Local 464A lawsuits are putative class action lawsuits. On December 29, 2021, the lawsuits filed by UHC and Humana were stayed by the United States District Court for the Southern District of New York pending resolution of the proceedings before the U.S. District Court for the District of Massachusetts concerning the allegations in the June 2020 Civil Complaint. On September 27, 2022, the lawsuits filed by BCBS, MMO, and Horizon were stayed by the U.S. District Court for the District of Massachusetts pending resolution of the proceedings before the same court concerning the allegations in the June 2020 Civil Complaint; and, in light of these stays, the parties to the Local 464A action have also agreed to stay that matter.</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24, 2024, a group of plaintiffs purporting to be assignees of claims by various Medicare Advantage plans and related entities filed a putative class action complaint in the U.S. District Court for the District of Columbia on behalf of Medicare Advantage plans and other payors. The lawsuit relates to the conduct alleged in the June 2020 Civil Complaint, March 2024 Civil Complaint, and June 2024 Civil Complaint discussed under "Department of Justice Matters" above. The lawsuit alleges causes of action under state law and RICO and seeks monetary damages and equitable relief.</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Shareholder Derivative Complaint</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29, 2021, an alleged shareholder filed a shareholder derivative complaint in the New York Supreme Court, naming the current and certain former members of the Company's board of directors and certain current and former executive officers of the Company as defendants and Regeneron as a nominal defendant. The complaint asserts that the individual defendants breached their fiduciary duties in relation to the allegations in the June 2020 Civil Complaint discussed under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 On September 23, 2021, the plaintiff moved to remand the case to the New York Supreme Court. Also on September 23, 2021, the individual defendants moved to dismiss the complaint in its entirety. On December 19, 2022, the U.S. District Court for the Southern District of New York denied the plaintiff's motion to remand the case and granted a motion to stay the case pending resolution of the proceedings before the U.S. District Court for the District of Massachusetts concerning the allegations in the June 2020 Civil Complaint. As a result of the stay, the court also terminated the Company's motion to dismiss the complaint without prejudice. The Company can therefore renew the motion to dismiss upon conclusion of the stay.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w:t>
      </w:r>
    </w:p>
    <w:p>
      <w:pPr>
        <w:spacing w:after="0" w:line="116" w:lineRule="exact"/>
        <w:rPr>
          <w:sz w:val="20"/>
          <w:szCs w:val="20"/>
          <w:color w:val="auto"/>
        </w:rPr>
      </w:pPr>
    </w:p>
    <w:p>
      <w:pPr>
        <w:jc w:val="both"/>
        <w:ind w:left="660" w:hanging="328"/>
        <w:spacing w:after="0" w:line="245"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those discussed or referenced in this report, Regeneron's and its collaborators' earlier-stage programs, and the use of human genetics in Regeneron's research programs;</w:t>
      </w:r>
    </w:p>
    <w:p>
      <w:pPr>
        <w:spacing w:after="0" w:line="3"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and timing of achieving any of our anticipated development milestones referenced in this report;</w:t>
      </w:r>
    </w:p>
    <w:p>
      <w:pPr>
        <w:ind w:left="660" w:hanging="328"/>
        <w:spacing w:after="0" w:line="241"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safety issues resulting from the administration of Regeneron's Products and Regeneron's Product Candidates in patients, including serious complications or side effects in connection with the use of Regeneron's Products and Regeneron's Product Candidates in clinical trials;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timing, and scope of possible regulatory approval and commercial launch of our late-stage product candidates and new indications for Regeneron's Products, including without limitation those discussed or referenced in this report;</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2"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extent to which the results from the research and development programs conducted by us and/or our collaborators may be replicated in other studies and/or lead to advancement of product candidates to clinical trials, therapeutic applications, or regulatory approval;</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ongoing regulatory obligations and oversight impacting Regeneron's Products, research and clinical programs, and business, including those relating to patient privacy;</w:t>
      </w:r>
    </w:p>
    <w:p>
      <w:pPr>
        <w:spacing w:after="0" w:line="1" w:lineRule="exact"/>
        <w:rPr>
          <w:rFonts w:ascii="Times New Roman" w:cs="Times New Roman" w:eastAsia="Times New Roman" w:hAnsi="Times New Roman"/>
          <w:sz w:val="18"/>
          <w:szCs w:val="18"/>
          <w:i w:val="1"/>
          <w:iCs w:val="1"/>
          <w:color w:val="auto"/>
        </w:rPr>
      </w:pPr>
    </w:p>
    <w:p>
      <w:pPr>
        <w:ind w:left="660" w:right="20" w:hanging="328"/>
        <w:spacing w:after="0" w:line="235"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determinations by regulatory and administrative governmental authorities which may delay or restrict our ability to continue to develop or commercialize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ind w:left="660" w:right="20" w:hanging="328"/>
        <w:spacing w:after="0" w:line="242"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competing drugs and product candidates that may be superior to, or more cost effective than,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jc w:val="both"/>
        <w:ind w:left="660" w:hanging="328"/>
        <w:spacing w:after="0"/>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w:t>
      </w: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manufacture and manage supply chains for multiple products and product candidates;</w:t>
      </w:r>
    </w:p>
    <w:p>
      <w:pPr>
        <w:ind w:left="660" w:hanging="328"/>
        <w:spacing w:after="0" w:line="242"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of our collaborators, suppliers, or other third parties (as applicable) to perform manufacturing, filling, finishing, packaging, labeling, distribution, and other steps related to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jc w:val="both"/>
        <w:ind w:left="660" w:hanging="328"/>
        <w:spacing w:after="0"/>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availability and extent of reimbursement of Regeneron's Products from third-party payors, including private payor healthcare and insurance programs, health maintenance organizations, pharmacy benefit management companies, and government programs such as Medicare and Medicaid;</w:t>
      </w: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coverage and reimbursement determinations by such payors and new policies and procedures adopted by such payors;</w:t>
      </w: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costs of developing, producing, and selling products or unanticipated expenses;</w:t>
      </w:r>
    </w:p>
    <w:p>
      <w:pPr>
        <w:ind w:left="660" w:hanging="328"/>
        <w:spacing w:after="0" w:line="242"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any of our financial projections or guidance, including without limitation capital expenditures, and changes to the assumptions underlying those projections or guidance;</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for any license or collaboration agreement, including our agreements with Sanofi and Bayer (or their respective affiliated companies, as applicable), to be cancelled or terminated;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public health outbreaks, epidemics, or pandemics (such as the COVID-19 pandemic) on our business; and</w:t>
      </w:r>
    </w:p>
    <w:p>
      <w:pPr>
        <w:jc w:val="both"/>
        <w:ind w:left="660" w:hanging="328"/>
        <w:spacing w:after="0" w:line="242"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intellectual property of other parties and pending or future litigation relating thereto (including without limitation the patent litigation and other related proceedings described further in Note 11 to our Condensed Consolidated Financial Statements included in this report), other litigation and other proceedings and government investigations relating to the Company and/or its operations (including without limitation those described in Note 11 to our Condensed Consolidated Financial Statements included in this report), the ultimate outcome of any such proceedings and investigations, and the impact any of the foregoing may have on our business, prospects, operating results, and financial condition.</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those indicated by such forward-looking statements. We do not undertake any obligation to update (publicly or otherwise) any forward-looking statement, whether as a result of new information, future events, or otherwise.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hematologic conditions, infectious diseases, and rare diseases.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advance as an integrated, multi-product biotechnology company that provides patients and medical professionals with important medicines for preventing and treating human diseases.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51"/>
        </w:trPr>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20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4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r>
      <w:tr>
        <w:trPr>
          <w:trHeight w:val="228"/>
        </w:trPr>
        <w:tc>
          <w:tcPr>
            <w:tcW w:w="1460" w:type="dxa"/>
            <w:vAlign w:val="bottom"/>
          </w:tcPr>
          <w:p>
            <w:pPr>
              <w:spacing w:after="0"/>
              <w:rPr>
                <w:sz w:val="19"/>
                <w:szCs w:val="19"/>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146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6,320.2</w:t>
            </w:r>
          </w:p>
        </w:tc>
      </w:tr>
      <w:tr>
        <w:trPr>
          <w:trHeight w:val="229"/>
        </w:trPr>
        <w:tc>
          <w:tcPr>
            <w:tcW w:w="14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w:t>
            </w:r>
          </w:p>
        </w:tc>
      </w:tr>
      <w:tr>
        <w:trPr>
          <w:trHeight w:val="230"/>
        </w:trPr>
        <w:tc>
          <w:tcPr>
            <w:tcW w:w="146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this report,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that have received marketing approval are summarized in the table below. Certain products have also received marketing approval in countries outside the United States, European Union ("EU"), or Japan.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38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Borders>
              <w:bottom w:val="single" w:sz="8" w:color="CCEEFF"/>
            </w:tcBorders>
          </w:tcPr>
          <w:p>
            <w:pPr>
              <w:spacing w:after="0"/>
              <w:rPr>
                <w:sz w:val="20"/>
                <w:szCs w:val="20"/>
                <w:color w:val="auto"/>
              </w:rPr>
            </w:pPr>
          </w:p>
        </w:tc>
        <w:tc>
          <w:tcPr>
            <w:tcW w:w="39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HD (aflibercept) Injection 8 mg</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Wet age-related macular degeneration ("wAMD")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Diabetic retinopathy ("DR")</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wAMD</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DME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DR</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69"/>
        </w:trPr>
        <w:tc>
          <w:tcPr>
            <w:tcW w:w="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Macular edema following retinal vein occlusion</w:t>
            </w:r>
          </w:p>
        </w:tc>
        <w:tc>
          <w:tcPr>
            <w:tcW w:w="100" w:type="dxa"/>
            <w:vAlign w:val="bottom"/>
          </w:tcPr>
          <w:p>
            <w:pPr>
              <w:spacing w:after="0"/>
              <w:rPr>
                <w:sz w:val="14"/>
                <w:szCs w:val="14"/>
                <w:color w:val="auto"/>
              </w:rPr>
            </w:pPr>
          </w:p>
        </w:tc>
        <w:tc>
          <w:tcPr>
            <w:tcW w:w="1100" w:type="dxa"/>
            <w:vAlign w:val="bottom"/>
            <w:gridSpan w:val="2"/>
          </w:tcPr>
          <w:p>
            <w:pPr>
              <w:jc w:val="center"/>
              <w:ind w:right="12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100" w:type="dxa"/>
            <w:vAlign w:val="bottom"/>
            <w:gridSpan w:val="2"/>
          </w:tcPr>
          <w:p>
            <w:pPr>
              <w:jc w:val="center"/>
              <w:ind w:right="12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020" w:type="dxa"/>
            <w:vAlign w:val="bottom"/>
            <w:gridSpan w:val="2"/>
          </w:tcPr>
          <w:p>
            <w:pPr>
              <w:jc w:val="center"/>
              <w:ind w:right="60"/>
              <w:spacing w:after="0" w:line="169" w:lineRule="exact"/>
              <w:rPr>
                <w:sz w:val="20"/>
                <w:szCs w:val="20"/>
                <w:color w:val="auto"/>
              </w:rPr>
            </w:pPr>
            <w:r>
              <w:rPr>
                <w:rFonts w:ascii="Webdings" w:cs="Webdings" w:eastAsia="Webdings" w:hAnsi="Webdings"/>
                <w:sz w:val="18"/>
                <w:szCs w:val="18"/>
                <w:b w:val="1"/>
                <w:bCs w:val="1"/>
                <w:color w:val="auto"/>
                <w:w w:val="88"/>
              </w:rPr>
              <w:t>a</w:t>
            </w:r>
          </w:p>
        </w:tc>
      </w:tr>
      <w:tr>
        <w:trPr>
          <w:trHeight w:val="175"/>
        </w:trPr>
        <w:tc>
          <w:tcPr>
            <w:tcW w:w="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("RVO"), which includes macular edema following</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central retinal vein occlusion ("CRVO") and macular</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edema following branch retinal vein occlusion</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9"/>
        </w:trPr>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("BRVO")</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7"/>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Myopic choroidal neovascularization ("mCNV")</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8"/>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Neovascular glaucoma ("NVG")</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60"/>
              <w:spacing w:after="0"/>
              <w:rPr>
                <w:sz w:val="20"/>
                <w:szCs w:val="20"/>
                <w:color w:val="auto"/>
              </w:rPr>
            </w:pPr>
            <w:r>
              <w:rPr>
                <w:rFonts w:ascii="Webdings" w:cs="Webdings" w:eastAsia="Webdings" w:hAnsi="Webdings"/>
                <w:sz w:val="18"/>
                <w:szCs w:val="18"/>
                <w:b w:val="1"/>
                <w:bCs w:val="1"/>
                <w:color w:val="auto"/>
                <w:w w:val="88"/>
              </w:rPr>
              <w:t>a</w:t>
            </w:r>
          </w:p>
        </w:tc>
      </w:tr>
      <w:tr>
        <w:trPr>
          <w:trHeight w:val="36"/>
        </w:trPr>
        <w:tc>
          <w:tcPr>
            <w:tcW w:w="6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57"/>
        </w:trPr>
        <w:tc>
          <w:tcPr>
            <w:tcW w:w="60" w:type="dxa"/>
            <w:vAlign w:val="bottom"/>
          </w:tcPr>
          <w:p>
            <w:pPr>
              <w:spacing w:after="0"/>
              <w:rPr>
                <w:sz w:val="22"/>
                <w:szCs w:val="22"/>
                <w:color w:val="auto"/>
              </w:rPr>
            </w:pPr>
          </w:p>
        </w:tc>
        <w:tc>
          <w:tcPr>
            <w:tcW w:w="38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Retinopathy of prematurity ("ROP")</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22"/>
                <w:szCs w:val="22"/>
                <w:color w:val="auto"/>
              </w:rPr>
            </w:pPr>
          </w:p>
        </w:tc>
      </w:tr>
      <w:tr>
        <w:trPr>
          <w:trHeight w:val="175"/>
        </w:trPr>
        <w:tc>
          <w:tcPr>
            <w:tcW w:w="60" w:type="dxa"/>
            <w:vAlign w:val="bottom"/>
          </w:tcPr>
          <w:p>
            <w:pPr>
              <w:spacing w:after="0"/>
              <w:rPr>
                <w:sz w:val="15"/>
                <w:szCs w:val="15"/>
                <w:color w:val="auto"/>
              </w:rPr>
            </w:pPr>
          </w:p>
        </w:tc>
        <w:tc>
          <w:tcPr>
            <w:tcW w:w="3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Dupixent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(dupilumab) Injection</w:t>
            </w:r>
            <w:r>
              <w:rPr>
                <w:rFonts w:ascii="Times New Roman" w:cs="Times New Roman" w:eastAsia="Times New Roman" w:hAnsi="Times New Roman"/>
                <w:sz w:val="20"/>
                <w:szCs w:val="20"/>
                <w:color w:val="auto"/>
                <w:vertAlign w:val="superscript"/>
              </w:rPr>
              <w:t>(b)</w:t>
            </w:r>
          </w:p>
        </w:tc>
        <w:tc>
          <w:tcPr>
            <w:tcW w:w="12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Atopic dermatitis (in adults, adolescents, and</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1100" w:type="dxa"/>
            <w:vAlign w:val="bottom"/>
            <w:gridSpan w:val="2"/>
            <w:shd w:val="clear" w:color="auto" w:fill="CCEEFF"/>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jc w:val="center"/>
              <w:spacing w:after="0" w:line="175" w:lineRule="exact"/>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5"/>
                <w:szCs w:val="15"/>
                <w:color w:val="auto"/>
              </w:rPr>
            </w:pPr>
          </w:p>
        </w:tc>
      </w:tr>
      <w:tr>
        <w:trPr>
          <w:trHeight w:val="239"/>
        </w:trPr>
        <w:tc>
          <w:tcPr>
            <w:tcW w:w="6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pediatrics aged 6 months and older)</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7"/>
        </w:trPr>
        <w:tc>
          <w:tcPr>
            <w:tcW w:w="6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Asthma (in adults and adolescents)</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736"/>
        </w:trPr>
        <w:tc>
          <w:tcPr>
            <w:tcW w:w="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020" w:type="dxa"/>
            <w:vAlign w:val="bottom"/>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80" w:type="dxa"/>
            <w:vAlign w:val="bottom"/>
            <w:tcBorders>
              <w:bottom w:val="single" w:sz="8" w:color="auto"/>
            </w:tcBorders>
          </w:tcPr>
          <w:p>
            <w:pPr>
              <w:spacing w:after="0"/>
              <w:rPr>
                <w:sz w:val="20"/>
                <w:szCs w:val="20"/>
                <w:color w:val="auto"/>
              </w:rPr>
            </w:pPr>
          </w:p>
        </w:tc>
      </w:tr>
      <w:tr>
        <w:trPr>
          <w:trHeight w:val="250"/>
        </w:trPr>
        <w:tc>
          <w:tcPr>
            <w:tcW w:w="38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20" w:type="dxa"/>
            <w:vAlign w:val="bottom"/>
            <w:tcBorders>
              <w:bottom w:val="single" w:sz="8" w:color="CCEEFF"/>
            </w:tcBorders>
          </w:tcPr>
          <w:p>
            <w:pPr>
              <w:spacing w:after="0"/>
              <w:rPr>
                <w:sz w:val="21"/>
                <w:szCs w:val="21"/>
                <w:color w:val="auto"/>
              </w:rPr>
            </w:pPr>
          </w:p>
        </w:tc>
        <w:tc>
          <w:tcPr>
            <w:tcW w:w="39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223"/>
        </w:trPr>
        <w:tc>
          <w:tcPr>
            <w:tcW w:w="38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Dupixent (dupilumab) Injection</w:t>
            </w:r>
            <w:r>
              <w:rPr>
                <w:rFonts w:ascii="Times New Roman" w:cs="Times New Roman" w:eastAsia="Times New Roman" w:hAnsi="Times New Roman"/>
                <w:sz w:val="23"/>
                <w:szCs w:val="23"/>
                <w:color w:val="auto"/>
                <w:vertAlign w:val="superscript"/>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(continued)</w:t>
            </w: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Asthma (in pediatrics 6–11 years of age)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178"/>
        </w:trPr>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Chronic rhinosinusitis with nasal polyposis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88"/>
              </w:rPr>
              <w:t>a</w:t>
            </w:r>
          </w:p>
        </w:tc>
      </w:tr>
      <w:tr>
        <w:trPr>
          <w:trHeight w:val="234"/>
        </w:trPr>
        <w:tc>
          <w:tcPr>
            <w:tcW w:w="3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("CRSwNP")</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r>
        <w:trPr>
          <w:trHeight w:val="178"/>
        </w:trPr>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Chronic obstructive pulmonary disease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5"/>
                <w:szCs w:val="15"/>
                <w:color w:val="auto"/>
              </w:rPr>
            </w:pPr>
          </w:p>
        </w:tc>
      </w:tr>
      <w:tr>
        <w:trPr>
          <w:trHeight w:val="234"/>
        </w:trPr>
        <w:tc>
          <w:tcPr>
            <w:tcW w:w="3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("COPD")</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r>
        <w:trPr>
          <w:trHeight w:val="178"/>
        </w:trPr>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Eosinophilic esophagitis ("EoE") (in adults and</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5"/>
                <w:szCs w:val="15"/>
                <w:color w:val="auto"/>
              </w:rPr>
            </w:pPr>
          </w:p>
        </w:tc>
      </w:tr>
      <w:tr>
        <w:trPr>
          <w:trHeight w:val="234"/>
        </w:trPr>
        <w:tc>
          <w:tcPr>
            <w:tcW w:w="3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adolescents)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r>
        <w:trPr>
          <w:trHeight w:val="223"/>
        </w:trPr>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EoE (in pediatrics 1–11 years of age)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23"/>
        </w:trPr>
        <w:tc>
          <w:tcPr>
            <w:tcW w:w="3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Prurigo nodularis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Chronic spontaneous urticaria ("CSU") (in adults and</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229"/>
        </w:trPr>
        <w:tc>
          <w:tcPr>
            <w:tcW w:w="3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adolescents)</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09"/>
        </w:trPr>
        <w:tc>
          <w:tcPr>
            <w:tcW w:w="384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(cemiplimab) Injection</w:t>
            </w:r>
          </w:p>
        </w:tc>
        <w:tc>
          <w:tcPr>
            <w:tcW w:w="1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locally advanced first-line non-small</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8"/>
                <w:szCs w:val="18"/>
                <w:color w:val="auto"/>
              </w:rPr>
            </w:pPr>
          </w:p>
        </w:tc>
      </w:tr>
      <w:tr>
        <w:trPr>
          <w:trHeight w:val="230"/>
        </w:trPr>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cell lung cancer ("NSCLC")</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09"/>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locally advanced first-line NSCLC (in</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8"/>
                <w:szCs w:val="18"/>
                <w:color w:val="auto"/>
              </w:rPr>
            </w:pPr>
          </w:p>
        </w:tc>
      </w:tr>
      <w:tr>
        <w:trPr>
          <w:trHeight w:val="230"/>
        </w:trPr>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combination with chemotherapy)</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09"/>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locally advanced basal cell carcinoma</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8"/>
                <w:szCs w:val="18"/>
                <w:color w:val="auto"/>
              </w:rPr>
            </w:pPr>
          </w:p>
        </w:tc>
      </w:tr>
      <w:tr>
        <w:trPr>
          <w:trHeight w:val="229"/>
        </w:trPr>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("BCC")</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78"/>
        </w:trPr>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Metastatic or locally advanced cutaneous squamous</w:t>
            </w:r>
          </w:p>
        </w:tc>
        <w:tc>
          <w:tcPr>
            <w:tcW w:w="100" w:type="dxa"/>
            <w:vAlign w:val="bottom"/>
          </w:tcPr>
          <w:p>
            <w:pPr>
              <w:spacing w:after="0"/>
              <w:rPr>
                <w:sz w:val="15"/>
                <w:szCs w:val="15"/>
                <w:color w:val="auto"/>
              </w:rPr>
            </w:pPr>
          </w:p>
        </w:tc>
        <w:tc>
          <w:tcPr>
            <w:tcW w:w="1000" w:type="dxa"/>
            <w:vAlign w:val="bottom"/>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1100" w:type="dxa"/>
            <w:vAlign w:val="bottom"/>
            <w:gridSpan w:val="2"/>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5"/>
                <w:szCs w:val="15"/>
                <w:color w:val="auto"/>
              </w:rPr>
            </w:pPr>
          </w:p>
        </w:tc>
      </w:tr>
      <w:tr>
        <w:trPr>
          <w:trHeight w:val="234"/>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cell carcinoma ("CSCC")</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63"/>
        </w:trPr>
        <w:tc>
          <w:tcPr>
            <w:tcW w:w="38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Metastatic or recurrent second-line cervical cancer</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178"/>
        </w:trPr>
        <w:tc>
          <w:tcPr>
            <w:tcW w:w="38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Praluent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(alirocumab) Injection</w:t>
            </w:r>
            <w:r>
              <w:rPr>
                <w:rFonts w:ascii="Times New Roman" w:cs="Times New Roman" w:eastAsia="Times New Roman" w:hAnsi="Times New Roman"/>
                <w:sz w:val="20"/>
                <w:szCs w:val="20"/>
                <w:color w:val="auto"/>
                <w:vertAlign w:val="superscript"/>
              </w:rPr>
              <w:t>(c)</w:t>
            </w:r>
          </w:p>
        </w:tc>
        <w:tc>
          <w:tcPr>
            <w:tcW w:w="12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LDL-lowering in heterozygous familial</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5"/>
                <w:szCs w:val="15"/>
                <w:color w:val="auto"/>
              </w:rPr>
            </w:pPr>
          </w:p>
        </w:tc>
      </w:tr>
      <w:tr>
        <w:trPr>
          <w:trHeight w:val="180"/>
        </w:trPr>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hypercholesterolemia ("HeFH") or clinical</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0"/>
        </w:trPr>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atherosclerotic cardiovascular disease ("ASCVD")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09"/>
        </w:trPr>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HeFH in pediatrics and adolescents (8–17 years of</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8"/>
                <w:szCs w:val="18"/>
                <w:color w:val="auto"/>
              </w:rPr>
            </w:pPr>
          </w:p>
        </w:tc>
      </w:tr>
      <w:tr>
        <w:trPr>
          <w:trHeight w:val="230"/>
        </w:trPr>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178"/>
        </w:trPr>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Cardiovascular risk reduction in patients with</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5"/>
                <w:szCs w:val="15"/>
                <w:color w:val="auto"/>
              </w:rPr>
            </w:pPr>
          </w:p>
        </w:tc>
      </w:tr>
      <w:tr>
        <w:trPr>
          <w:trHeight w:val="234"/>
        </w:trPr>
        <w:tc>
          <w:tcPr>
            <w:tcW w:w="3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established cardiovascular disease</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r>
        <w:trPr>
          <w:trHeight w:val="178"/>
        </w:trPr>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Homozygous familial hypercholesterolemia</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4"/>
        </w:trPr>
        <w:tc>
          <w:tcPr>
            <w:tcW w:w="38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("HoFH")</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r>
        <w:trPr>
          <w:trHeight w:val="223"/>
        </w:trPr>
        <w:tc>
          <w:tcPr>
            <w:tcW w:w="38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Kevzara (sarilumab) Injection</w:t>
            </w:r>
            <w:r>
              <w:rPr>
                <w:rFonts w:ascii="Times New Roman" w:cs="Times New Roman" w:eastAsia="Times New Roman" w:hAnsi="Times New Roman"/>
                <w:sz w:val="23"/>
                <w:szCs w:val="23"/>
                <w:color w:val="auto"/>
                <w:vertAlign w:val="superscript"/>
              </w:rPr>
              <w:t>(b)</w:t>
            </w:r>
          </w:p>
        </w:tc>
        <w:tc>
          <w:tcPr>
            <w:tcW w:w="1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Rheumatoid arthritis ("RA")</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263"/>
        </w:trPr>
        <w:tc>
          <w:tcPr>
            <w:tcW w:w="3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Polymyalgia rheumatica ("PMR")</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r>
      <w:tr>
        <w:trPr>
          <w:trHeight w:val="223"/>
        </w:trPr>
        <w:tc>
          <w:tcPr>
            <w:tcW w:w="38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Polyarticular juvenile idiopathic arthritis ("pJIA")</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®(d)</w:t>
            </w:r>
          </w:p>
        </w:tc>
        <w:tc>
          <w:tcPr>
            <w:tcW w:w="120" w:type="dxa"/>
            <w:vAlign w:val="bottom"/>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COVID-19</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223"/>
        </w:trPr>
        <w:tc>
          <w:tcPr>
            <w:tcW w:w="38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(evinacumab) Injection</w:t>
            </w:r>
            <w:r>
              <w:rPr>
                <w:rFonts w:ascii="Times New Roman" w:cs="Times New Roman" w:eastAsia="Times New Roman" w:hAnsi="Times New Roman"/>
                <w:sz w:val="23"/>
                <w:szCs w:val="23"/>
                <w:color w:val="auto"/>
                <w:vertAlign w:val="superscript"/>
              </w:rPr>
              <w:t>(e)</w:t>
            </w:r>
          </w:p>
        </w:tc>
        <w:tc>
          <w:tcPr>
            <w:tcW w:w="1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HoFH (in adults, adolescents, and pediatrics)</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178"/>
        </w:trPr>
        <w:tc>
          <w:tcPr>
            <w:tcW w:w="3840" w:type="dxa"/>
            <w:vAlign w:val="bottom"/>
            <w:tcBorders>
              <w:top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Inmazeb</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(atoltivimab, maftivimab, and</w:t>
            </w:r>
          </w:p>
        </w:tc>
        <w:tc>
          <w:tcPr>
            <w:tcW w:w="120" w:type="dxa"/>
            <w:vAlign w:val="bottom"/>
            <w:tcBorders>
              <w:top w:val="single" w:sz="8" w:color="CCEEFF"/>
            </w:tcBorders>
            <w:shd w:val="clear" w:color="auto" w:fill="CCEEFF"/>
          </w:tcPr>
          <w:p>
            <w:pPr>
              <w:spacing w:after="0"/>
              <w:rPr>
                <w:sz w:val="15"/>
                <w:szCs w:val="15"/>
                <w:color w:val="auto"/>
              </w:rPr>
            </w:pPr>
          </w:p>
        </w:tc>
        <w:tc>
          <w:tcPr>
            <w:tcW w:w="390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 xml:space="preserve">Infection caused by </w:t>
            </w:r>
            <w:r>
              <w:rPr>
                <w:rFonts w:ascii="Times New Roman" w:cs="Times New Roman" w:eastAsia="Times New Roman" w:hAnsi="Times New Roman"/>
                <w:sz w:val="18"/>
                <w:szCs w:val="18"/>
                <w:i w:val="1"/>
                <w:iCs w:val="1"/>
                <w:color w:val="auto"/>
              </w:rPr>
              <w:t>Zaire ebolavirus</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234"/>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odesivimab) Injection</w:t>
            </w:r>
          </w:p>
        </w:tc>
        <w:tc>
          <w:tcPr>
            <w:tcW w:w="120" w:type="dxa"/>
            <w:vAlign w:val="bottom"/>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r>
        <w:trPr>
          <w:trHeight w:val="178"/>
        </w:trPr>
        <w:tc>
          <w:tcPr>
            <w:tcW w:w="384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Veopoz</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(pozelimab) Injection</w:t>
            </w:r>
          </w:p>
        </w:tc>
        <w:tc>
          <w:tcPr>
            <w:tcW w:w="120" w:type="dxa"/>
            <w:vAlign w:val="bottom"/>
          </w:tcPr>
          <w:p>
            <w:pPr>
              <w:spacing w:after="0"/>
              <w:rPr>
                <w:sz w:val="15"/>
                <w:szCs w:val="15"/>
                <w:color w:val="auto"/>
              </w:rPr>
            </w:pPr>
          </w:p>
        </w:tc>
        <w:tc>
          <w:tcPr>
            <w:tcW w:w="39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CD55-deficient protein-losing enteropathy</w:t>
            </w:r>
          </w:p>
        </w:tc>
        <w:tc>
          <w:tcPr>
            <w:tcW w:w="100" w:type="dxa"/>
            <w:vAlign w:val="bottom"/>
          </w:tcPr>
          <w:p>
            <w:pPr>
              <w:spacing w:after="0"/>
              <w:rPr>
                <w:sz w:val="15"/>
                <w:szCs w:val="15"/>
                <w:color w:val="auto"/>
              </w:rPr>
            </w:pPr>
          </w:p>
        </w:tc>
        <w:tc>
          <w:tcPr>
            <w:tcW w:w="1000" w:type="dxa"/>
            <w:vAlign w:val="bottom"/>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("CHAPLE") (in adults, adolescents, and pediatrics</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4"/>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aged 1 year and older)</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-2540</wp:posOffset>
            </wp:positionV>
            <wp:extent cx="7071995" cy="771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71995" cy="77152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p>
      <w:pPr>
        <w:ind w:left="80"/>
        <w:spacing w:after="0"/>
        <w:tabs>
          <w:tab w:leader="none" w:pos="4000" w:val="left"/>
        </w:tabs>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(rilonacept) Injection</w:t>
      </w:r>
      <w:r>
        <w:rPr>
          <w:rFonts w:ascii="Times New Roman" w:cs="Times New Roman" w:eastAsia="Times New Roman" w:hAnsi="Times New Roman"/>
          <w:sz w:val="23"/>
          <w:szCs w:val="23"/>
          <w:color w:val="auto"/>
          <w:vertAlign w:val="superscript"/>
        </w:rPr>
        <w:t>(f)</w:t>
      </w:r>
      <w:r>
        <w:rPr>
          <w:sz w:val="20"/>
          <w:szCs w:val="20"/>
          <w:color w:val="auto"/>
        </w:rPr>
        <w:tab/>
      </w:r>
      <w:r>
        <w:rPr>
          <w:rFonts w:ascii="Times New Roman" w:cs="Times New Roman" w:eastAsia="Times New Roman" w:hAnsi="Times New Roman"/>
          <w:sz w:val="18"/>
          <w:szCs w:val="18"/>
          <w:color w:val="auto"/>
        </w:rPr>
        <w:t>Cryopyrin-associated periodic syndromes ("CAPS"),</w:t>
      </w:r>
    </w:p>
    <w:p>
      <w:pPr>
        <w:ind w:left="4020"/>
        <w:spacing w:after="0" w:line="203" w:lineRule="auto"/>
        <w:rPr>
          <w:sz w:val="20"/>
          <w:szCs w:val="20"/>
          <w:color w:val="auto"/>
        </w:rPr>
      </w:pPr>
      <w:r>
        <w:rPr>
          <w:rFonts w:ascii="Times New Roman" w:cs="Times New Roman" w:eastAsia="Times New Roman" w:hAnsi="Times New Roman"/>
          <w:sz w:val="18"/>
          <w:szCs w:val="18"/>
          <w:color w:val="auto"/>
        </w:rPr>
        <w:t>including familial cold auto-inflammatory syndrome</w:t>
      </w:r>
    </w:p>
    <w:p>
      <w:pPr>
        <w:ind w:left="4020"/>
        <w:spacing w:after="0" w:line="204" w:lineRule="auto"/>
        <w:rPr>
          <w:sz w:val="20"/>
          <w:szCs w:val="20"/>
          <w:color w:val="auto"/>
        </w:rPr>
      </w:pPr>
      <w:r>
        <w:rPr>
          <w:rFonts w:ascii="Times New Roman" w:cs="Times New Roman" w:eastAsia="Times New Roman" w:hAnsi="Times New Roman"/>
          <w:sz w:val="18"/>
          <w:szCs w:val="18"/>
          <w:color w:val="auto"/>
        </w:rPr>
        <w:t>("FCAS") and Muckle-Wells syndrome ("MWS") (in</w:t>
      </w:r>
    </w:p>
    <w:p>
      <w:pPr>
        <w:ind w:left="4020"/>
        <w:spacing w:after="0"/>
        <w:rPr>
          <w:sz w:val="20"/>
          <w:szCs w:val="20"/>
          <w:color w:val="auto"/>
        </w:rPr>
      </w:pPr>
      <w:r>
        <w:rPr>
          <w:rFonts w:ascii="Times New Roman" w:cs="Times New Roman" w:eastAsia="Times New Roman" w:hAnsi="Times New Roman"/>
          <w:sz w:val="18"/>
          <w:szCs w:val="18"/>
          <w:color w:val="auto"/>
        </w:rPr>
        <w:t>adults and adolescents)</w:t>
      </w:r>
    </w:p>
    <w:p>
      <w:pPr>
        <w:spacing w:after="0" w:line="1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Deficiency of interleukin-1 receptor antagonist</w:t>
      </w:r>
    </w:p>
    <w:p>
      <w:pPr>
        <w:spacing w:after="0" w:line="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("DIRA") (in adults, adolescents, and pediatrics)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4445</wp:posOffset>
            </wp:positionV>
            <wp:extent cx="24771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Webdings" w:cs="Webdings" w:eastAsia="Webdings" w:hAnsi="Webdings"/>
          <w:sz w:val="18"/>
          <w:szCs w:val="18"/>
          <w:b w:val="1"/>
          <w:bCs w:val="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Webdings" w:cs="Webdings" w:eastAsia="Webdings" w:hAnsi="Webdings"/>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141605</wp:posOffset>
            </wp:positionV>
            <wp:extent cx="20142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415" w:lineRule="exact"/>
        <w:rPr>
          <w:sz w:val="20"/>
          <w:szCs w:val="20"/>
          <w:color w:val="auto"/>
        </w:rPr>
      </w:pPr>
    </w:p>
    <w:p>
      <w:pPr>
        <w:sectPr>
          <w:pgSz w:w="11900" w:h="16838" w:orient="portrait"/>
          <w:cols w:equalWidth="0" w:num="2">
            <w:col w:w="7860" w:space="560"/>
            <w:col w:w="2780"/>
          </w:cols>
          <w:pgMar w:left="320" w:top="369" w:right="379" w:bottom="1440" w:gutter="0" w:footer="0" w:header="0"/>
          <w:type w:val="continuous"/>
        </w:sect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80" w:type="dxa"/>
            <w:vAlign w:val="bottom"/>
            <w:tcBorders>
              <w:bottom w:val="single" w:sz="8" w:color="auto"/>
            </w:tcBorders>
          </w:tcPr>
          <w:p>
            <w:pPr>
              <w:spacing w:after="0"/>
              <w:rPr>
                <w:sz w:val="20"/>
                <w:szCs w:val="20"/>
                <w:color w:val="auto"/>
              </w:rPr>
            </w:pPr>
          </w:p>
        </w:tc>
      </w:tr>
      <w:tr>
        <w:trPr>
          <w:trHeight w:val="237"/>
        </w:trPr>
        <w:tc>
          <w:tcPr>
            <w:tcW w:w="38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20" w:type="dxa"/>
            <w:vAlign w:val="bottom"/>
            <w:tcBorders>
              <w:bottom w:val="single" w:sz="8" w:color="CCEEFF"/>
            </w:tcBorders>
          </w:tcPr>
          <w:p>
            <w:pPr>
              <w:spacing w:after="0"/>
              <w:rPr>
                <w:sz w:val="20"/>
                <w:szCs w:val="20"/>
                <w:color w:val="auto"/>
              </w:rPr>
            </w:pPr>
          </w:p>
        </w:tc>
        <w:tc>
          <w:tcPr>
            <w:tcW w:w="38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223"/>
        </w:trPr>
        <w:tc>
          <w:tcPr>
            <w:tcW w:w="386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ARCALYST (rilonacept) Injection</w:t>
            </w:r>
            <w:r>
              <w:rPr>
                <w:rFonts w:ascii="Times New Roman" w:cs="Times New Roman" w:eastAsia="Times New Roman" w:hAnsi="Times New Roman"/>
                <w:sz w:val="23"/>
                <w:szCs w:val="23"/>
                <w:color w:val="auto"/>
                <w:vertAlign w:val="superscript"/>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(continued)</w:t>
            </w:r>
          </w:p>
        </w:tc>
        <w:tc>
          <w:tcPr>
            <w:tcW w:w="120" w:type="dxa"/>
            <w:vAlign w:val="bottom"/>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Recurrent pericarditis (in adults and adolescents)</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174"/>
        </w:trPr>
        <w:tc>
          <w:tcPr>
            <w:tcW w:w="386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ZALTRAP</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(ziv-aflibercept) Injection for</w:t>
            </w:r>
          </w:p>
        </w:tc>
        <w:tc>
          <w:tcPr>
            <w:tcW w:w="120" w:type="dxa"/>
            <w:vAlign w:val="bottom"/>
          </w:tcPr>
          <w:p>
            <w:pPr>
              <w:spacing w:after="0"/>
              <w:rPr>
                <w:sz w:val="15"/>
                <w:szCs w:val="15"/>
                <w:color w:val="auto"/>
              </w:rPr>
            </w:pPr>
          </w:p>
        </w:tc>
        <w:tc>
          <w:tcPr>
            <w:tcW w:w="388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Metastatic colorectal cancer ("mCRC")</w:t>
            </w:r>
          </w:p>
        </w:tc>
        <w:tc>
          <w:tcPr>
            <w:tcW w:w="100" w:type="dxa"/>
            <w:vAlign w:val="bottom"/>
          </w:tcPr>
          <w:p>
            <w:pPr>
              <w:spacing w:after="0"/>
              <w:rPr>
                <w:sz w:val="15"/>
                <w:szCs w:val="15"/>
                <w:color w:val="auto"/>
              </w:rPr>
            </w:pPr>
          </w:p>
        </w:tc>
        <w:tc>
          <w:tcPr>
            <w:tcW w:w="1100" w:type="dxa"/>
            <w:vAlign w:val="bottom"/>
            <w:gridSpan w:val="2"/>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1100" w:type="dxa"/>
            <w:vAlign w:val="bottom"/>
            <w:gridSpan w:val="2"/>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jc w:val="center"/>
              <w:spacing w:after="0" w:line="175" w:lineRule="exact"/>
              <w:rPr>
                <w:sz w:val="20"/>
                <w:szCs w:val="20"/>
                <w:color w:val="auto"/>
              </w:rPr>
            </w:pPr>
            <w:r>
              <w:rPr>
                <w:rFonts w:ascii="Webdings" w:cs="Webdings" w:eastAsia="Webdings" w:hAnsi="Webdings"/>
                <w:sz w:val="18"/>
                <w:szCs w:val="18"/>
                <w:b w:val="1"/>
                <w:bCs w:val="1"/>
                <w:color w:val="auto"/>
                <w:w w:val="88"/>
              </w:rPr>
              <w:t>a</w:t>
            </w:r>
          </w:p>
        </w:tc>
      </w:tr>
      <w:tr>
        <w:trPr>
          <w:trHeight w:val="238"/>
        </w:trPr>
        <w:tc>
          <w:tcPr>
            <w:tcW w:w="3860" w:type="dxa"/>
            <w:vAlign w:val="bottom"/>
            <w:tcBorders>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Intravenous Infusion</w:t>
            </w:r>
            <w:r>
              <w:rPr>
                <w:rFonts w:ascii="Times New Roman" w:cs="Times New Roman" w:eastAsia="Times New Roman" w:hAnsi="Times New Roman"/>
                <w:sz w:val="23"/>
                <w:szCs w:val="23"/>
                <w:color w:val="auto"/>
                <w:vertAlign w:val="superscript"/>
              </w:rPr>
              <w:t>(g)</w:t>
            </w:r>
          </w:p>
        </w:tc>
        <w:tc>
          <w:tcPr>
            <w:tcW w:w="12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bl>
    <w:p>
      <w:pPr>
        <w:spacing w:after="0" w:line="81" w:lineRule="exact"/>
        <w:rPr>
          <w:sz w:val="20"/>
          <w:szCs w:val="20"/>
          <w:color w:val="auto"/>
        </w:rPr>
      </w:pPr>
    </w:p>
    <w:p>
      <w:pPr>
        <w:ind w:left="240" w:right="440"/>
        <w:spacing w:after="0" w:line="242" w:lineRule="auto"/>
        <w:rPr>
          <w:sz w:val="20"/>
          <w:szCs w:val="20"/>
          <w:color w:val="auto"/>
        </w:rPr>
      </w:pPr>
      <w:r>
        <w:rPr>
          <w:rFonts w:ascii="Times New Roman" w:cs="Times New Roman" w:eastAsia="Times New Roman" w:hAnsi="Times New Roman"/>
          <w:sz w:val="16"/>
          <w:szCs w:val="16"/>
          <w:color w:val="auto"/>
        </w:rPr>
        <w:t>Note: Refer to table below (net product sales of Regeneron-discovered products) for information regarding whether net product sales for a particular product are recorded by us or others. In addition, unless otherwise noted, products in the table above are generally approved for use in adults in the above-referenced diseases.</w:t>
      </w:r>
    </w:p>
    <w:p>
      <w:pPr>
        <w:ind w:left="400" w:hanging="165"/>
        <w:spacing w:after="0" w:line="206" w:lineRule="auto"/>
        <w:tabs>
          <w:tab w:leader="none" w:pos="4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 Aflibercept 8 mg is known as EYLEA HD in the United States and EYLEA 8 mg in other countries.</w:t>
      </w:r>
    </w:p>
    <w:p>
      <w:pPr>
        <w:spacing w:after="0" w:line="23"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24" w:lineRule="exact"/>
        <w:rPr>
          <w:rFonts w:ascii="Times New Roman" w:cs="Times New Roman" w:eastAsia="Times New Roman" w:hAnsi="Times New Roman"/>
          <w:sz w:val="22"/>
          <w:szCs w:val="22"/>
          <w:color w:val="auto"/>
          <w:vertAlign w:val="superscript"/>
        </w:rPr>
      </w:pPr>
    </w:p>
    <w:p>
      <w:pPr>
        <w:ind w:left="240" w:right="300" w:hanging="5"/>
        <w:spacing w:after="0" w:line="189" w:lineRule="auto"/>
        <w:tabs>
          <w:tab w:leader="none" w:pos="41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solely responsible for the development and commercialization of Praluent in the United States and Sanofi is responsible for the development and commercialization of Praluent outside the United States.</w:t>
      </w:r>
    </w:p>
    <w:p>
      <w:pPr>
        <w:spacing w:after="0" w:line="1" w:lineRule="exact"/>
        <w:rPr>
          <w:rFonts w:ascii="Times New Roman" w:cs="Times New Roman" w:eastAsia="Times New Roman" w:hAnsi="Times New Roman"/>
          <w:sz w:val="23"/>
          <w:szCs w:val="23"/>
          <w:color w:val="auto"/>
          <w:vertAlign w:val="superscript"/>
        </w:rPr>
      </w:pPr>
    </w:p>
    <w:p>
      <w:pPr>
        <w:ind w:left="420" w:hanging="185"/>
        <w:spacing w:after="0" w:line="217" w:lineRule="auto"/>
        <w:tabs>
          <w:tab w:leader="none" w:pos="4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collaboration with Roche. Product is known as REGEN-COV in the United States and Ronapreve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in other countries.</w:t>
      </w:r>
    </w:p>
    <w:p>
      <w:pPr>
        <w:ind w:left="240" w:right="260" w:hanging="5"/>
        <w:spacing w:after="0" w:line="189" w:lineRule="auto"/>
        <w:tabs>
          <w:tab w:leader="none" w:pos="41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solely responsible for the development and commercialization of Evkeeza in the United States and Ultragenyx is responsible for the development and commercialization of Evkeeza outside the United States.</w:t>
      </w:r>
    </w:p>
    <w:p>
      <w:pPr>
        <w:spacing w:after="0" w:line="1" w:lineRule="exact"/>
        <w:rPr>
          <w:rFonts w:ascii="Times New Roman" w:cs="Times New Roman" w:eastAsia="Times New Roman" w:hAnsi="Times New Roman"/>
          <w:sz w:val="23"/>
          <w:szCs w:val="23"/>
          <w:color w:val="auto"/>
          <w:vertAlign w:val="superscript"/>
        </w:rPr>
      </w:pPr>
    </w:p>
    <w:p>
      <w:pPr>
        <w:ind w:left="400" w:hanging="165"/>
        <w:spacing w:after="0" w:line="208" w:lineRule="auto"/>
        <w:tabs>
          <w:tab w:leader="none" w:pos="40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Kiniksa is solely responsible for the development and commercialization of ARCALYST.</w:t>
      </w:r>
    </w:p>
    <w:p>
      <w:pPr>
        <w:spacing w:after="0" w:line="23" w:lineRule="exact"/>
        <w:rPr>
          <w:rFonts w:ascii="Times New Roman" w:cs="Times New Roman" w:eastAsia="Times New Roman" w:hAnsi="Times New Roman"/>
          <w:sz w:val="23"/>
          <w:szCs w:val="23"/>
          <w:color w:val="auto"/>
          <w:vertAlign w:val="superscript"/>
        </w:rPr>
      </w:pPr>
    </w:p>
    <w:p>
      <w:pPr>
        <w:ind w:left="420" w:hanging="185"/>
        <w:spacing w:after="0" w:line="182" w:lineRule="auto"/>
        <w:tabs>
          <w:tab w:leader="none" w:pos="42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is solely responsible for the development and commercialization of ZALTRAP.</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below includes net product sales of Regeneron-discovered products. Such net product sales are recorded by us or others, as further described in the footnotes to the table. We believe the information in the table is useful to investors as it demonstrates our pipeline productivity and our ability to innovate, discover, and develop new products, and bring those products to market either alone or based on contractual arrangements with other parties, which has a direct impact on our results of operations and financial condition. The table also shows the degree to which we, a collaborator, and/or a licensee is currently commercializing the products discovered by Regeneron. In addition, this information allows management and investors to assess the commercial trends and developments impacting Regeneron-discovered products. In arrangements where our collaborator or licensee is currently commercializing such products and is recording net product sales as a result, the net product sales shown in the table also are an important metric for management's review and assessment of (i) the revenues we record for our share of profits and/or royalties from such sales and (ii) the impact of our obligation to supply commercial product to certain of these collaborators or licensees.</w:t>
      </w:r>
    </w:p>
    <w:p>
      <w:pPr>
        <w:spacing w:after="0" w:line="144"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10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27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980" w:type="dxa"/>
            <w:vAlign w:val="bottom"/>
            <w:gridSpan w:val="2"/>
          </w:tcPr>
          <w:p>
            <w:pPr>
              <w:jc w:val="center"/>
              <w:ind w:right="280"/>
              <w:spacing w:after="0" w:line="223" w:lineRule="exact"/>
              <w:rPr>
                <w:sz w:val="20"/>
                <w:szCs w:val="20"/>
                <w:color w:val="auto"/>
              </w:rPr>
            </w:pPr>
            <w:r>
              <w:rPr>
                <w:rFonts w:ascii="Times New Roman" w:cs="Times New Roman" w:eastAsia="Times New Roman" w:hAnsi="Times New Roman"/>
                <w:sz w:val="18"/>
                <w:szCs w:val="18"/>
                <w:b w:val="1"/>
                <w:bCs w:val="1"/>
                <w:color w:val="auto"/>
                <w:w w:val="92"/>
              </w:rPr>
              <w:t>ROW</w:t>
            </w:r>
            <w:r>
              <w:rPr>
                <w:rFonts w:ascii="Times New Roman" w:cs="Times New Roman" w:eastAsia="Times New Roman" w:hAnsi="Times New Roman"/>
                <w:sz w:val="23"/>
                <w:szCs w:val="23"/>
                <w:b w:val="1"/>
                <w:bCs w:val="1"/>
                <w:color w:val="auto"/>
                <w:w w:val="92"/>
                <w:vertAlign w:val="superscript"/>
              </w:rPr>
              <w:t>(g)</w:t>
            </w:r>
          </w:p>
        </w:tc>
        <w:tc>
          <w:tcPr>
            <w:tcW w:w="20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9"/>
                <w:szCs w:val="19"/>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2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Sales)</w:t>
            </w:r>
          </w:p>
        </w:tc>
      </w:tr>
      <w:tr>
        <w:trPr>
          <w:trHeight w:val="223"/>
        </w:trPr>
        <w:tc>
          <w:tcPr>
            <w:tcW w:w="27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 and EYLEA</w:t>
            </w:r>
            <w:r>
              <w:rPr>
                <w:rFonts w:ascii="Times New Roman" w:cs="Times New Roman" w:eastAsia="Times New Roman" w:hAnsi="Times New Roman"/>
                <w:sz w:val="23"/>
                <w:szCs w:val="23"/>
                <w:color w:val="auto"/>
                <w:vertAlign w:val="superscript"/>
              </w:rPr>
              <w:t>(a)</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2,386.4</w:t>
            </w:r>
          </w:p>
        </w:tc>
        <w:tc>
          <w:tcPr>
            <w:tcW w:w="2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2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2,789.4</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2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2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2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57"/>
        </w:trPr>
        <w:tc>
          <w:tcPr>
            <w:tcW w:w="270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20"/>
                <w:szCs w:val="20"/>
                <w:color w:val="auto"/>
              </w:rPr>
              <w:t>*</w:t>
            </w:r>
          </w:p>
        </w:tc>
      </w:tr>
      <w:tr>
        <w:trPr>
          <w:trHeight w:val="230"/>
        </w:trPr>
        <w:tc>
          <w:tcPr>
            <w:tcW w:w="2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4"/>
        </w:trPr>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8"/>
        </w:trPr>
        <w:tc>
          <w:tcPr>
            <w:tcW w:w="2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3"/>
        </w:trPr>
        <w:tc>
          <w:tcPr>
            <w:tcW w:w="2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20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9"/>
                <w:szCs w:val="19"/>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2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Sales)</w:t>
            </w:r>
          </w:p>
        </w:tc>
      </w:tr>
      <w:tr>
        <w:trPr>
          <w:trHeight w:val="223"/>
        </w:trPr>
        <w:tc>
          <w:tcPr>
            <w:tcW w:w="27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 and EYLEA</w:t>
            </w:r>
            <w:r>
              <w:rPr>
                <w:rFonts w:ascii="Times New Roman" w:cs="Times New Roman" w:eastAsia="Times New Roman" w:hAnsi="Times New Roman"/>
                <w:sz w:val="23"/>
                <w:szCs w:val="23"/>
                <w:color w:val="auto"/>
                <w:vertAlign w:val="superscript"/>
              </w:rPr>
              <w:t>(a)</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4,667.3</w:t>
            </w:r>
          </w:p>
        </w:tc>
        <w:tc>
          <w:tcPr>
            <w:tcW w:w="2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2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5,274.4</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2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2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2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2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2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bl>
    <w:p>
      <w:pPr>
        <w:spacing w:after="0" w:line="63" w:lineRule="exact"/>
        <w:rPr>
          <w:sz w:val="20"/>
          <w:szCs w:val="20"/>
          <w:color w:val="auto"/>
        </w:rPr>
      </w:pPr>
    </w:p>
    <w:p>
      <w:pPr>
        <w:ind w:left="360" w:hanging="91"/>
        <w:spacing w:after="0"/>
        <w:tabs>
          <w:tab w:leader="none" w:pos="36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not meaningful</w:t>
      </w:r>
    </w:p>
    <w:p>
      <w:pPr>
        <w:spacing w:after="0" w:line="10" w:lineRule="exact"/>
        <w:rPr>
          <w:sz w:val="20"/>
          <w:szCs w:val="20"/>
          <w:color w:val="auto"/>
        </w:rPr>
      </w:pPr>
    </w:p>
    <w:p>
      <w:pPr>
        <w:ind w:left="260" w:right="220" w:firstLine="9"/>
        <w:spacing w:after="0"/>
        <w:tabs>
          <w:tab w:leader="none" w:pos="43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We record net product sales of EYLEA HD and EYLEA in the United States, and Bayer records net product sales outside the United States. We record our share of profits in connection with sales outside the United States within Collaboration revenue; refer to "Results of Operations - Revenues - Bayer Collaboration Revenue" below for such amounts.</w:t>
      </w:r>
    </w:p>
    <w:p>
      <w:pPr>
        <w:spacing w:after="0" w:line="121" w:lineRule="exact"/>
        <w:rPr>
          <w:rFonts w:ascii="Times New Roman" w:cs="Times New Roman" w:eastAsia="Times New Roman" w:hAnsi="Times New Roman"/>
          <w:sz w:val="21"/>
          <w:szCs w:val="21"/>
          <w:color w:val="auto"/>
          <w:vertAlign w:val="superscript"/>
        </w:rPr>
      </w:pPr>
    </w:p>
    <w:p>
      <w:pPr>
        <w:ind w:left="260" w:right="720" w:firstLine="9"/>
        <w:spacing w:after="0" w:line="215" w:lineRule="auto"/>
        <w:tabs>
          <w:tab w:leader="none" w:pos="436"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Sanofi records global net product sales of Dupixent and Kevzara, and we record our share of profits in connection with global sales of such products within Collaboration revenue. Refer to "Results of Operations - Revenues - Sanofi Collaboration Revenue" below for such amounts.</w:t>
      </w:r>
    </w:p>
    <w:p>
      <w:pPr>
        <w:spacing w:after="0" w:line="7" w:lineRule="exact"/>
        <w:rPr>
          <w:rFonts w:ascii="Times New Roman" w:cs="Times New Roman" w:eastAsia="Times New Roman" w:hAnsi="Times New Roman"/>
          <w:sz w:val="21"/>
          <w:szCs w:val="21"/>
          <w:color w:val="auto"/>
          <w:vertAlign w:val="superscript"/>
        </w:rPr>
      </w:pPr>
    </w:p>
    <w:p>
      <w:pPr>
        <w:jc w:val="both"/>
        <w:ind w:left="260" w:right="200" w:firstLine="9"/>
        <w:spacing w:after="0" w:line="218" w:lineRule="auto"/>
        <w:tabs>
          <w:tab w:leader="none" w:pos="43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We record global net product sales of Libtayo and pay Sanofi a royalty on such sales. Prior to July 1, 2022, Sanofi recorded net product sales of Libtayo outside the United States. Included in this line item for the six months ended June 30, 2023 is approximately $6 million of first quarter 2023 net product sales recorded by Sanofi in connection with sales in certain markets outside the United States (Sanofi recorded net product sales in such markets during a transition period).</w:t>
      </w:r>
    </w:p>
    <w:p>
      <w:pPr>
        <w:spacing w:after="0" w:line="2" w:lineRule="exact"/>
        <w:rPr>
          <w:rFonts w:ascii="Times New Roman" w:cs="Times New Roman" w:eastAsia="Times New Roman" w:hAnsi="Times New Roman"/>
          <w:sz w:val="21"/>
          <w:szCs w:val="21"/>
          <w:color w:val="auto"/>
          <w:vertAlign w:val="superscript"/>
        </w:rPr>
      </w:pPr>
    </w:p>
    <w:p>
      <w:pPr>
        <w:ind w:left="260" w:right="400" w:firstLine="9"/>
        <w:spacing w:after="0" w:line="227" w:lineRule="auto"/>
        <w:tabs>
          <w:tab w:leader="none" w:pos="441"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We </w:t>
      </w:r>
      <w:r>
        <w:rPr>
          <w:rFonts w:ascii="Times New Roman" w:cs="Times New Roman" w:eastAsia="Times New Roman" w:hAnsi="Times New Roman"/>
          <w:sz w:val="15"/>
          <w:szCs w:val="15"/>
          <w:color w:val="auto"/>
        </w:rPr>
        <w:t>record net product sales of Praluent in the United States. Sanofi records net product sales of Praluent outside the United States and pays us a royalty on such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sales, which is recorded within Other revenue.</w:t>
      </w:r>
    </w:p>
    <w:p>
      <w:pPr>
        <w:spacing w:after="0" w:line="1" w:lineRule="exact"/>
        <w:rPr>
          <w:rFonts w:ascii="Times New Roman" w:cs="Times New Roman" w:eastAsia="Times New Roman" w:hAnsi="Times New Roman"/>
          <w:sz w:val="22"/>
          <w:szCs w:val="22"/>
          <w:color w:val="auto"/>
          <w:vertAlign w:val="superscript"/>
        </w:rPr>
      </w:pPr>
    </w:p>
    <w:p>
      <w:pPr>
        <w:ind w:left="260" w:right="360" w:firstLine="9"/>
        <w:spacing w:after="0" w:line="211" w:lineRule="auto"/>
        <w:tabs>
          <w:tab w:leader="none" w:pos="43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Roche records net product sales outside the United States and we record our share of gross profits from sales based on a pre-specified formula, which is recorded within Collaboration revenue. Refer to "Results of Operations - Revenues - Roche Collaboration Revenue" below for such amounts.</w:t>
      </w:r>
    </w:p>
    <w:p>
      <w:pPr>
        <w:spacing w:after="0" w:line="19" w:lineRule="exact"/>
        <w:rPr>
          <w:rFonts w:ascii="Times New Roman" w:cs="Times New Roman" w:eastAsia="Times New Roman" w:hAnsi="Times New Roman"/>
          <w:sz w:val="21"/>
          <w:szCs w:val="21"/>
          <w:color w:val="auto"/>
          <w:vertAlign w:val="superscript"/>
        </w:rPr>
      </w:pPr>
    </w:p>
    <w:p>
      <w:pPr>
        <w:jc w:val="both"/>
        <w:ind w:left="260" w:right="160" w:firstLine="9"/>
        <w:spacing w:after="0" w:line="211" w:lineRule="auto"/>
        <w:tabs>
          <w:tab w:leader="none" w:pos="422"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Included in this line item are products which are sold by us and others. Refer to "Results of Operations - Revenues" below for a complete listing of net product sales recorded by us. Not included in this line item are net product sales of ARCALYST, which are recorded by Kiniksa; net product sales of ARCALYST were $79 million for the first quarter of 2024.</w:t>
      </w:r>
    </w:p>
    <w:p>
      <w:pPr>
        <w:spacing w:after="0" w:line="1" w:lineRule="exact"/>
        <w:rPr>
          <w:rFonts w:ascii="Times New Roman" w:cs="Times New Roman" w:eastAsia="Times New Roman" w:hAnsi="Times New Roman"/>
          <w:sz w:val="22"/>
          <w:szCs w:val="22"/>
          <w:color w:val="auto"/>
          <w:vertAlign w:val="superscript"/>
        </w:rPr>
      </w:pPr>
    </w:p>
    <w:p>
      <w:pPr>
        <w:ind w:left="440" w:hanging="171"/>
        <w:spacing w:after="0" w:line="201" w:lineRule="auto"/>
        <w:tabs>
          <w:tab w:leader="none" w:pos="44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Rest of world ("ROW")</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 in Clinical Development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candidates in Phase 2 and Phase 3 clinical development, which are being developed by us and/or our collaborators, are summarized in the table below.</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Part II, Item 1A. "Risk Factors" for a description of risks and uncertainties that may affect our clinical programs. Any of such risks and uncertainties may, among other matters, negatively impact the development timelines set forth in the table below.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9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2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2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2024 Events to Date</w:t>
            </w: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1980" w:type="dxa"/>
            <w:vAlign w:val="bottom"/>
            <w:gridSpan w:val="2"/>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2000" w:type="dxa"/>
            <w:vAlign w:val="bottom"/>
            <w:gridSpan w:val="2"/>
            <w:vMerge w:val="continue"/>
          </w:tcPr>
          <w:p>
            <w:pPr>
              <w:spacing w:after="0"/>
              <w:rPr>
                <w:sz w:val="20"/>
                <w:szCs w:val="20"/>
                <w:color w:val="auto"/>
              </w:rPr>
            </w:pPr>
          </w:p>
        </w:tc>
        <w:tc>
          <w:tcPr>
            <w:tcW w:w="2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34"/>
        </w:trPr>
        <w:tc>
          <w:tcPr>
            <w:tcW w:w="19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6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20" w:type="dxa"/>
            <w:vAlign w:val="bottom"/>
            <w:shd w:val="clear" w:color="auto" w:fill="ACACAC"/>
          </w:tcPr>
          <w:p>
            <w:pPr>
              <w:spacing w:after="0"/>
              <w:rPr>
                <w:sz w:val="19"/>
                <w:szCs w:val="19"/>
                <w:color w:val="auto"/>
              </w:rPr>
            </w:pPr>
          </w:p>
        </w:tc>
        <w:tc>
          <w:tcPr>
            <w:tcW w:w="2180" w:type="dxa"/>
            <w:vAlign w:val="bottom"/>
            <w:gridSpan w:val="4"/>
            <w:shd w:val="clear" w:color="auto" w:fill="ACACAC"/>
          </w:tcPr>
          <w:p>
            <w:pPr>
              <w:ind w:left="100"/>
              <w:spacing w:after="0"/>
              <w:rPr>
                <w:sz w:val="20"/>
                <w:szCs w:val="20"/>
                <w:color w:val="auto"/>
              </w:rPr>
            </w:pPr>
            <w:r>
              <w:rPr>
                <w:rFonts w:ascii="Times New Roman" w:cs="Times New Roman" w:eastAsia="Times New Roman" w:hAnsi="Times New Roman"/>
                <w:sz w:val="18"/>
                <w:szCs w:val="18"/>
                <w:b w:val="1"/>
                <w:bCs w:val="1"/>
                <w:color w:val="auto"/>
              </w:rPr>
              <w:t>Ophthalmology</w:t>
            </w:r>
          </w:p>
        </w:tc>
        <w:tc>
          <w:tcPr>
            <w:tcW w:w="19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1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EYLEA HD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–RVO</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–Two-year data for</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by European</w:t>
            </w: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 Phase 3 study in</w:t>
            </w:r>
          </w:p>
        </w:tc>
        <w:tc>
          <w:tcPr>
            <w:tcW w:w="0" w:type="dxa"/>
            <w:vAlign w:val="bottom"/>
          </w:tcPr>
          <w:p>
            <w:pPr>
              <w:spacing w:after="0"/>
              <w:rPr>
                <w:sz w:val="1"/>
                <w:szCs w:val="1"/>
                <w:color w:val="auto"/>
              </w:rPr>
            </w:pPr>
          </w:p>
        </w:tc>
      </w:tr>
      <w:tr>
        <w:trPr>
          <w:trHeight w:val="176"/>
        </w:trPr>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(aflibercept) 8 mg</w:t>
            </w:r>
            <w:r>
              <w:rPr>
                <w:rFonts w:ascii="Times New Roman" w:cs="Times New Roman" w:eastAsia="Times New Roman" w:hAnsi="Times New Roman"/>
                <w:sz w:val="20"/>
                <w:szCs w:val="20"/>
                <w:b w:val="1"/>
                <w:bCs w:val="1"/>
                <w:color w:val="auto"/>
                <w:vertAlign w:val="superscript"/>
              </w:rPr>
              <w:t>(a)</w:t>
            </w: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wAMD and DME</w:t>
            </w: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Commission ("EC") and</w:t>
            </w: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RVO (second half 2024) to</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(U.S.)</w:t>
            </w:r>
          </w:p>
        </w:tc>
        <w:tc>
          <w:tcPr>
            <w:tcW w:w="20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Japan's Ministry of</w:t>
            </w:r>
          </w:p>
        </w:tc>
        <w:tc>
          <w:tcPr>
            <w:tcW w:w="2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enable U.S. Food and Drug</w:t>
            </w:r>
          </w:p>
        </w:tc>
        <w:tc>
          <w:tcPr>
            <w:tcW w:w="0" w:type="dxa"/>
            <w:vAlign w:val="bottom"/>
          </w:tcPr>
          <w:p>
            <w:pPr>
              <w:spacing w:after="0"/>
              <w:rPr>
                <w:sz w:val="1"/>
                <w:szCs w:val="1"/>
                <w:color w:val="auto"/>
              </w:rPr>
            </w:pPr>
          </w:p>
        </w:tc>
      </w:tr>
      <w:tr>
        <w:trPr>
          <w:trHeight w:val="164"/>
        </w:trPr>
        <w:tc>
          <w:tcPr>
            <w:tcW w:w="1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Health, Labour and</w:t>
            </w:r>
          </w:p>
        </w:tc>
        <w:tc>
          <w:tcPr>
            <w:tcW w:w="21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Administration ("FDA")</w:t>
            </w: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Welfare ("MHLW") for</w:t>
            </w:r>
          </w:p>
        </w:tc>
        <w:tc>
          <w:tcPr>
            <w:tcW w:w="2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submission</w:t>
            </w:r>
          </w:p>
        </w:tc>
        <w:tc>
          <w:tcPr>
            <w:tcW w:w="0" w:type="dxa"/>
            <w:vAlign w:val="bottom"/>
          </w:tcPr>
          <w:p>
            <w:pPr>
              <w:spacing w:after="0"/>
              <w:rPr>
                <w:sz w:val="1"/>
                <w:szCs w:val="1"/>
                <w:color w:val="auto"/>
              </w:rPr>
            </w:pPr>
          </w:p>
        </w:tc>
      </w:tr>
      <w:tr>
        <w:trPr>
          <w:trHeight w:val="234"/>
        </w:trPr>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wAMD and DME</w:t>
            </w:r>
          </w:p>
        </w:tc>
        <w:tc>
          <w:tcPr>
            <w:tcW w:w="2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 decision on</w:t>
            </w: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supplemental Biologics</w:t>
            </w:r>
          </w:p>
        </w:tc>
        <w:tc>
          <w:tcPr>
            <w:tcW w:w="0" w:type="dxa"/>
            <w:vAlign w:val="bottom"/>
          </w:tcPr>
          <w:p>
            <w:pPr>
              <w:spacing w:after="0"/>
              <w:rPr>
                <w:sz w:val="1"/>
                <w:szCs w:val="1"/>
                <w:color w:val="auto"/>
              </w:rPr>
            </w:pPr>
          </w:p>
        </w:tc>
      </w:tr>
      <w:tr>
        <w:trPr>
          <w:trHeight w:val="180"/>
        </w:trPr>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License Application</w:t>
            </w:r>
          </w:p>
        </w:tc>
        <w:tc>
          <w:tcPr>
            <w:tcW w:w="0" w:type="dxa"/>
            <w:vAlign w:val="bottom"/>
          </w:tcPr>
          <w:p>
            <w:pPr>
              <w:spacing w:after="0"/>
              <w:rPr>
                <w:sz w:val="1"/>
                <w:szCs w:val="1"/>
                <w:color w:val="auto"/>
              </w:rPr>
            </w:pPr>
          </w:p>
        </w:tc>
      </w:tr>
      <w:tr>
        <w:trPr>
          <w:trHeight w:val="175"/>
        </w:trPr>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("sBLA") with two-year</w:t>
            </w: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data for wAMD and DME</w:t>
            </w:r>
          </w:p>
        </w:tc>
        <w:tc>
          <w:tcPr>
            <w:tcW w:w="0" w:type="dxa"/>
            <w:vAlign w:val="bottom"/>
          </w:tcPr>
          <w:p>
            <w:pPr>
              <w:spacing w:after="0"/>
              <w:rPr>
                <w:sz w:val="1"/>
                <w:szCs w:val="1"/>
                <w:color w:val="auto"/>
              </w:rPr>
            </w:pPr>
          </w:p>
        </w:tc>
      </w:tr>
      <w:tr>
        <w:trPr>
          <w:trHeight w:val="234"/>
        </w:trPr>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half 2025)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369" w:right="359" w:bottom="1440" w:gutter="0" w:footer="0" w:header="0"/>
        </w:sectPr>
      </w:pPr>
    </w:p>
    <w:p>
      <w:pPr>
        <w:ind w:left="60"/>
        <w:spacing w:after="0" w:line="185" w:lineRule="auto"/>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p>
    <w:p>
      <w:pPr>
        <w:ind w:left="60"/>
        <w:spacing w:after="0" w:line="203" w:lineRule="auto"/>
        <w:rPr>
          <w:sz w:val="20"/>
          <w:szCs w:val="20"/>
          <w:color w:val="auto"/>
        </w:rPr>
      </w:pPr>
      <w:r>
        <w:rPr>
          <w:rFonts w:ascii="Times New Roman" w:cs="Times New Roman" w:eastAsia="Times New Roman" w:hAnsi="Times New Roman"/>
          <w:sz w:val="18"/>
          <w:szCs w:val="18"/>
          <w:b w:val="1"/>
          <w:bCs w:val="1"/>
          <w:color w:val="auto"/>
        </w:rPr>
        <w:t>(REGN3918)</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Antibody to C5</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–Initiate Phase 3 study in</w:t>
      </w:r>
    </w:p>
    <w:p>
      <w:pPr>
        <w:ind w:left="4640"/>
        <w:spacing w:after="0" w:line="219" w:lineRule="auto"/>
        <w:rPr>
          <w:sz w:val="20"/>
          <w:szCs w:val="20"/>
          <w:color w:val="auto"/>
        </w:rPr>
      </w:pPr>
      <w:r>
        <w:rPr>
          <w:rFonts w:ascii="Times New Roman" w:cs="Times New Roman" w:eastAsia="Times New Roman" w:hAnsi="Times New Roman"/>
          <w:sz w:val="18"/>
          <w:szCs w:val="18"/>
          <w:color w:val="auto"/>
        </w:rPr>
        <w:t>combination with</w:t>
      </w:r>
    </w:p>
    <w:p>
      <w:pPr>
        <w:ind w:left="4640"/>
        <w:spacing w:after="0" w:line="203" w:lineRule="auto"/>
        <w:rPr>
          <w:sz w:val="20"/>
          <w:szCs w:val="20"/>
          <w:color w:val="auto"/>
        </w:rPr>
      </w:pPr>
      <w:r>
        <w:rPr>
          <w:rFonts w:ascii="Times New Roman" w:cs="Times New Roman" w:eastAsia="Times New Roman" w:hAnsi="Times New Roman"/>
          <w:sz w:val="18"/>
          <w:szCs w:val="18"/>
          <w:color w:val="auto"/>
        </w:rPr>
        <w:t>cemdisiran in geographic</w:t>
      </w:r>
    </w:p>
    <w:p>
      <w:pPr>
        <w:spacing w:after="0" w:line="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atrophy (second half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Immunology &amp;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-2821940</wp:posOffset>
            </wp:positionH>
            <wp:positionV relativeFrom="paragraph">
              <wp:posOffset>-125095</wp:posOffset>
            </wp:positionV>
            <wp:extent cx="709803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3760" w:space="720"/>
            <w:col w:w="6740"/>
          </w:cols>
          <w:pgMar w:left="320" w:top="369" w:right="35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b w:val="1"/>
          <w:bCs w:val="1"/>
          <w:color w:val="auto"/>
        </w:rPr>
        <w:t>Dupixent (dupilumab)</w:t>
      </w:r>
      <w:r>
        <w:rPr>
          <w:rFonts w:ascii="Times New Roman" w:cs="Times New Roman" w:eastAsia="Times New Roman" w:hAnsi="Times New Roman"/>
          <w:sz w:val="22"/>
          <w:szCs w:val="22"/>
          <w:b w:val="1"/>
          <w:bCs w:val="1"/>
          <w:color w:val="auto"/>
          <w:vertAlign w:val="superscript"/>
        </w:rPr>
        <w:t>(b)</w:t>
      </w:r>
    </w:p>
    <w:p>
      <w:pPr>
        <w:ind w:left="60" w:right="120"/>
        <w:spacing w:after="0" w:line="226" w:lineRule="auto"/>
        <w:rPr>
          <w:sz w:val="20"/>
          <w:szCs w:val="20"/>
          <w:color w:val="auto"/>
        </w:rPr>
      </w:pPr>
      <w:r>
        <w:rPr>
          <w:rFonts w:ascii="Times New Roman" w:cs="Times New Roman" w:eastAsia="Times New Roman" w:hAnsi="Times New Roman"/>
          <w:sz w:val="18"/>
          <w:szCs w:val="18"/>
          <w:i w:val="1"/>
          <w:iCs w:val="1"/>
          <w:color w:val="auto"/>
        </w:rPr>
        <w:t>Antibody to IL-4R alpha subunit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1680" w:hanging="1673"/>
        <w:spacing w:after="0" w:line="265" w:lineRule="auto"/>
        <w:tabs>
          <w:tab w:leader="none" w:pos="1660" w:val="left"/>
        </w:tabs>
        <w:rPr>
          <w:sz w:val="20"/>
          <w:szCs w:val="20"/>
          <w:color w:val="auto"/>
        </w:rPr>
      </w:pPr>
      <w:r>
        <w:rPr>
          <w:rFonts w:ascii="Times New Roman" w:cs="Times New Roman" w:eastAsia="Times New Roman" w:hAnsi="Times New Roman"/>
          <w:sz w:val="18"/>
          <w:szCs w:val="18"/>
          <w:color w:val="auto"/>
        </w:rPr>
        <w:t>–Ulcerative colitis</w:t>
      </w:r>
      <w:r>
        <w:rPr>
          <w:sz w:val="20"/>
          <w:szCs w:val="20"/>
          <w:color w:val="auto"/>
        </w:rPr>
        <w:tab/>
      </w:r>
      <w:r>
        <w:rPr>
          <w:rFonts w:ascii="Times New Roman" w:cs="Times New Roman" w:eastAsia="Times New Roman" w:hAnsi="Times New Roman"/>
          <w:sz w:val="17"/>
          <w:szCs w:val="17"/>
          <w:color w:val="auto"/>
        </w:rPr>
        <w:t>–Asthma in pediatrics (2–5 years of age)</w:t>
      </w:r>
    </w:p>
    <w:p>
      <w:pPr>
        <w:spacing w:after="0" w:line="227" w:lineRule="auto"/>
        <w:rPr>
          <w:sz w:val="20"/>
          <w:szCs w:val="20"/>
          <w:color w:val="auto"/>
        </w:rPr>
      </w:pPr>
      <w:r>
        <w:rPr>
          <w:rFonts w:ascii="Times New Roman" w:cs="Times New Roman" w:eastAsia="Times New Roman" w:hAnsi="Times New Roman"/>
          <w:sz w:val="18"/>
          <w:szCs w:val="18"/>
          <w:color w:val="auto"/>
        </w:rPr>
        <w:t>–Eosinophilic</w:t>
      </w:r>
    </w:p>
    <w:p>
      <w:pPr>
        <w:spacing w:after="0" w:line="203" w:lineRule="auto"/>
        <w:rPr>
          <w:sz w:val="20"/>
          <w:szCs w:val="20"/>
          <w:color w:val="auto"/>
        </w:rPr>
      </w:pPr>
      <w:r>
        <w:rPr>
          <w:rFonts w:ascii="Times New Roman" w:cs="Times New Roman" w:eastAsia="Times New Roman" w:hAnsi="Times New Roman"/>
          <w:sz w:val="18"/>
          <w:szCs w:val="18"/>
          <w:color w:val="auto"/>
        </w:rPr>
        <w:t>gastroenteritis (Phase  –Bullous</w:t>
      </w:r>
    </w:p>
    <w:p>
      <w:pPr>
        <w:spacing w:after="0"/>
        <w:tabs>
          <w:tab w:leader="none" w:pos="16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pemphigoid</w:t>
      </w:r>
      <w:r>
        <w:rPr>
          <w:rFonts w:ascii="Times New Roman" w:cs="Times New Roman" w:eastAsia="Times New Roman" w:hAnsi="Times New Roman"/>
          <w:sz w:val="23"/>
          <w:szCs w:val="23"/>
          <w:color w:val="auto"/>
          <w:vertAlign w:val="superscript"/>
        </w:rPr>
        <w:t>(c)</w:t>
      </w:r>
    </w:p>
    <w:p>
      <w:pPr>
        <w:spacing w:after="0" w:line="14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–CSU</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–Chronic pruritus of</w:t>
      </w:r>
    </w:p>
    <w:p>
      <w:pPr>
        <w:ind w:left="1680"/>
        <w:spacing w:after="0"/>
        <w:rPr>
          <w:sz w:val="20"/>
          <w:szCs w:val="20"/>
          <w:color w:val="auto"/>
        </w:rPr>
      </w:pPr>
      <w:r>
        <w:rPr>
          <w:rFonts w:ascii="Times New Roman" w:cs="Times New Roman" w:eastAsia="Times New Roman" w:hAnsi="Times New Roman"/>
          <w:sz w:val="18"/>
          <w:szCs w:val="18"/>
          <w:color w:val="auto"/>
        </w:rPr>
        <w:t>unknown origin</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–EoE in pediatrics</w:t>
            </w: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–Approved by FDA for</w:t>
            </w:r>
          </w:p>
        </w:tc>
        <w:tc>
          <w:tcPr>
            <w:tcW w:w="0" w:type="dxa"/>
            <w:vAlign w:val="bottom"/>
          </w:tcPr>
          <w:p>
            <w:pPr>
              <w:spacing w:after="0"/>
              <w:rPr>
                <w:sz w:val="1"/>
                <w:szCs w:val="1"/>
                <w:color w:val="auto"/>
              </w:rPr>
            </w:pPr>
          </w:p>
        </w:tc>
      </w:tr>
      <w:tr>
        <w:trPr>
          <w:trHeight w:val="180"/>
        </w:trPr>
        <w:tc>
          <w:tcPr>
            <w:tcW w:w="15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(1–11 years of age)</w:t>
            </w:r>
          </w:p>
        </w:tc>
        <w:tc>
          <w:tcPr>
            <w:tcW w:w="19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EoE in pediatrics (1–11</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(EU)</w:t>
            </w: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years of age)</w:t>
            </w:r>
          </w:p>
        </w:tc>
        <w:tc>
          <w:tcPr>
            <w:tcW w:w="0" w:type="dxa"/>
            <w:vAlign w:val="bottom"/>
          </w:tcPr>
          <w:p>
            <w:pPr>
              <w:spacing w:after="0"/>
              <w:rPr>
                <w:sz w:val="1"/>
                <w:szCs w:val="1"/>
                <w:color w:val="auto"/>
              </w:rPr>
            </w:pPr>
          </w:p>
        </w:tc>
      </w:tr>
      <w:tr>
        <w:trPr>
          <w:trHeight w:val="36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–CRSwNP in</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–Results from Phase 3</w:t>
            </w:r>
          </w:p>
        </w:tc>
        <w:tc>
          <w:tcPr>
            <w:tcW w:w="0" w:type="dxa"/>
            <w:vAlign w:val="bottom"/>
          </w:tcPr>
          <w:p>
            <w:pPr>
              <w:spacing w:after="0"/>
              <w:rPr>
                <w:sz w:val="1"/>
                <w:szCs w:val="1"/>
                <w:color w:val="auto"/>
              </w:rPr>
            </w:pPr>
          </w:p>
        </w:tc>
      </w:tr>
      <w:tr>
        <w:trPr>
          <w:trHeight w:val="180"/>
        </w:trPr>
        <w:tc>
          <w:tcPr>
            <w:tcW w:w="15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adolescents</w:t>
            </w:r>
          </w:p>
        </w:tc>
        <w:tc>
          <w:tcPr>
            <w:tcW w:w="19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trial in pediatrics (1–11</w:t>
            </w:r>
          </w:p>
        </w:tc>
        <w:tc>
          <w:tcPr>
            <w:tcW w:w="0" w:type="dxa"/>
            <w:vAlign w:val="bottom"/>
          </w:tcPr>
          <w:p>
            <w:pPr>
              <w:spacing w:after="0"/>
              <w:rPr>
                <w:sz w:val="1"/>
                <w:szCs w:val="1"/>
                <w:color w:val="auto"/>
              </w:rPr>
            </w:pPr>
          </w:p>
        </w:tc>
      </w:tr>
      <w:tr>
        <w:trPr>
          <w:trHeight w:val="176"/>
        </w:trPr>
        <w:tc>
          <w:tcPr>
            <w:tcW w:w="15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(U.S.)</w:t>
            </w:r>
          </w:p>
        </w:tc>
        <w:tc>
          <w:tcPr>
            <w:tcW w:w="19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years of age) with EoE</w:t>
            </w:r>
          </w:p>
        </w:tc>
        <w:tc>
          <w:tcPr>
            <w:tcW w:w="0" w:type="dxa"/>
            <w:vAlign w:val="bottom"/>
          </w:tcPr>
          <w:p>
            <w:pPr>
              <w:spacing w:after="0"/>
              <w:rPr>
                <w:sz w:val="1"/>
                <w:szCs w:val="1"/>
                <w:color w:val="auto"/>
              </w:rPr>
            </w:pPr>
          </w:p>
        </w:tc>
      </w:tr>
      <w:tr>
        <w:trPr>
          <w:trHeight w:val="182"/>
        </w:trPr>
        <w:tc>
          <w:tcPr>
            <w:tcW w:w="1560" w:type="dxa"/>
            <w:vAlign w:val="bottom"/>
          </w:tcPr>
          <w:p>
            <w:pPr>
              <w:spacing w:after="0"/>
              <w:rPr>
                <w:sz w:val="15"/>
                <w:szCs w:val="15"/>
                <w:color w:val="auto"/>
              </w:rPr>
            </w:pPr>
          </w:p>
        </w:tc>
        <w:tc>
          <w:tcPr>
            <w:tcW w:w="190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 xml:space="preserve">published in </w:t>
            </w:r>
            <w:r>
              <w:rPr>
                <w:rFonts w:ascii="Times New Roman" w:cs="Times New Roman" w:eastAsia="Times New Roman" w:hAnsi="Times New Roman"/>
                <w:sz w:val="18"/>
                <w:szCs w:val="18"/>
                <w:i w:val="1"/>
                <w:iCs w:val="1"/>
                <w:color w:val="auto"/>
              </w:rPr>
              <w:t>New</w:t>
            </w:r>
          </w:p>
        </w:tc>
        <w:tc>
          <w:tcPr>
            <w:tcW w:w="0" w:type="dxa"/>
            <w:vAlign w:val="bottom"/>
          </w:tcPr>
          <w:p>
            <w:pPr>
              <w:spacing w:after="0"/>
              <w:rPr>
                <w:sz w:val="1"/>
                <w:szCs w:val="1"/>
                <w:color w:val="auto"/>
              </w:rPr>
            </w:pPr>
          </w:p>
        </w:tc>
      </w:tr>
      <w:tr>
        <w:trPr>
          <w:trHeight w:val="23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–COPD with type 2</w:t>
            </w: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England Journal of</w:t>
            </w:r>
          </w:p>
        </w:tc>
        <w:tc>
          <w:tcPr>
            <w:tcW w:w="0" w:type="dxa"/>
            <w:vAlign w:val="bottom"/>
          </w:tcPr>
          <w:p>
            <w:pPr>
              <w:spacing w:after="0"/>
              <w:rPr>
                <w:sz w:val="1"/>
                <w:szCs w:val="1"/>
                <w:color w:val="auto"/>
              </w:rPr>
            </w:pPr>
          </w:p>
        </w:tc>
      </w:tr>
      <w:tr>
        <w:trPr>
          <w:trHeight w:val="189"/>
        </w:trPr>
        <w:tc>
          <w:tcPr>
            <w:tcW w:w="1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inflammatory</w:t>
            </w:r>
          </w:p>
        </w:tc>
        <w:tc>
          <w:tcPr>
            <w:tcW w:w="19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Medicine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NEJM</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5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phenotype (U.S. and</w:t>
            </w:r>
          </w:p>
        </w:tc>
        <w:tc>
          <w:tcPr>
            <w:tcW w:w="19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–Approved by MHLW</w:t>
            </w:r>
          </w:p>
        </w:tc>
        <w:tc>
          <w:tcPr>
            <w:tcW w:w="0" w:type="dxa"/>
            <w:vAlign w:val="bottom"/>
          </w:tcPr>
          <w:p>
            <w:pPr>
              <w:spacing w:after="0"/>
              <w:rPr>
                <w:sz w:val="1"/>
                <w:szCs w:val="1"/>
                <w:color w:val="auto"/>
              </w:rPr>
            </w:pPr>
          </w:p>
        </w:tc>
      </w:tr>
      <w:tr>
        <w:trPr>
          <w:trHeight w:val="184"/>
        </w:trPr>
        <w:tc>
          <w:tcPr>
            <w:tcW w:w="15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Japan)</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19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for CSU in adults and</w:t>
            </w: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–CSU in adults and</w:t>
            </w: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adolescents</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adolescents (EU)</w:t>
            </w:r>
          </w:p>
        </w:tc>
        <w:tc>
          <w:tcPr>
            <w:tcW w:w="19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–Approved by EC for</w:t>
            </w:r>
          </w:p>
        </w:tc>
        <w:tc>
          <w:tcPr>
            <w:tcW w:w="0" w:type="dxa"/>
            <w:vAlign w:val="bottom"/>
          </w:tcPr>
          <w:p>
            <w:pPr>
              <w:spacing w:after="0"/>
              <w:rPr>
                <w:sz w:val="1"/>
                <w:szCs w:val="1"/>
                <w:color w:val="auto"/>
              </w:rPr>
            </w:pPr>
          </w:p>
        </w:tc>
      </w:tr>
      <w:tr>
        <w:trPr>
          <w:trHeight w:val="125"/>
        </w:trPr>
        <w:tc>
          <w:tcPr>
            <w:tcW w:w="156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19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uncontrolled COPD</w:t>
            </w: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19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characterized by raised</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blood eosinophils</w:t>
            </w:r>
          </w:p>
        </w:tc>
        <w:tc>
          <w:tcPr>
            <w:tcW w:w="0" w:type="dxa"/>
            <w:vAlign w:val="bottom"/>
          </w:tcPr>
          <w:p>
            <w:pPr>
              <w:spacing w:after="0"/>
              <w:rPr>
                <w:sz w:val="1"/>
                <w:szCs w:val="1"/>
                <w:color w:val="auto"/>
              </w:rPr>
            </w:pPr>
          </w:p>
        </w:tc>
      </w:tr>
      <w:tr>
        <w:trPr>
          <w:trHeight w:val="373"/>
        </w:trPr>
        <w:tc>
          <w:tcPr>
            <w:tcW w:w="1560" w:type="dxa"/>
            <w:vAlign w:val="bottom"/>
          </w:tcPr>
          <w:p>
            <w:pPr>
              <w:spacing w:after="0"/>
              <w:rPr>
                <w:sz w:val="24"/>
                <w:szCs w:val="24"/>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–Reported that Phase 3</w:t>
            </w: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19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NOTUS trial in COPD</w:t>
            </w: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6"/>
                <w:szCs w:val="16"/>
                <w:color w:val="auto"/>
              </w:rPr>
            </w:pPr>
          </w:p>
        </w:tc>
        <w:tc>
          <w:tcPr>
            <w:tcW w:w="19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with evidence of type 2</w:t>
            </w: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19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inflammation met its</w:t>
            </w: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19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primary and key</w:t>
            </w: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6"/>
                <w:szCs w:val="16"/>
                <w:color w:val="auto"/>
              </w:rPr>
            </w:pPr>
          </w:p>
        </w:tc>
        <w:tc>
          <w:tcPr>
            <w:tcW w:w="19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secondary endpoints;</w:t>
            </w: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19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w w:val="99"/>
              </w:rPr>
              <w:t>results presented at 2024</w:t>
            </w:r>
          </w:p>
        </w:tc>
        <w:tc>
          <w:tcPr>
            <w:tcW w:w="0" w:type="dxa"/>
            <w:vAlign w:val="bottom"/>
          </w:tcPr>
          <w:p>
            <w:pPr>
              <w:spacing w:after="0"/>
              <w:rPr>
                <w:sz w:val="1"/>
                <w:szCs w:val="1"/>
                <w:color w:val="auto"/>
              </w:rPr>
            </w:pPr>
          </w:p>
        </w:tc>
      </w:tr>
      <w:tr>
        <w:trPr>
          <w:trHeight w:val="175"/>
        </w:trPr>
        <w:tc>
          <w:tcPr>
            <w:tcW w:w="1560" w:type="dxa"/>
            <w:vAlign w:val="bottom"/>
          </w:tcPr>
          <w:p>
            <w:pPr>
              <w:spacing w:after="0"/>
              <w:rPr>
                <w:sz w:val="15"/>
                <w:szCs w:val="15"/>
                <w:color w:val="auto"/>
              </w:rPr>
            </w:pPr>
          </w:p>
        </w:tc>
        <w:tc>
          <w:tcPr>
            <w:tcW w:w="19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American Thoracic</w:t>
            </w: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6"/>
                <w:szCs w:val="16"/>
                <w:color w:val="auto"/>
              </w:rPr>
            </w:pPr>
          </w:p>
        </w:tc>
        <w:tc>
          <w:tcPr>
            <w:tcW w:w="19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Society International</w:t>
            </w: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19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Conference and</w:t>
            </w:r>
          </w:p>
        </w:tc>
        <w:tc>
          <w:tcPr>
            <w:tcW w:w="0" w:type="dxa"/>
            <w:vAlign w:val="bottom"/>
          </w:tcPr>
          <w:p>
            <w:pPr>
              <w:spacing w:after="0"/>
              <w:rPr>
                <w:sz w:val="1"/>
                <w:szCs w:val="1"/>
                <w:color w:val="auto"/>
              </w:rPr>
            </w:pPr>
          </w:p>
        </w:tc>
      </w:tr>
      <w:tr>
        <w:trPr>
          <w:trHeight w:val="236"/>
        </w:trPr>
        <w:tc>
          <w:tcPr>
            <w:tcW w:w="1560" w:type="dxa"/>
            <w:vAlign w:val="bottom"/>
          </w:tcPr>
          <w:p>
            <w:pPr>
              <w:spacing w:after="0"/>
              <w:rPr>
                <w:sz w:val="20"/>
                <w:szCs w:val="20"/>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published in </w:t>
            </w:r>
            <w:r>
              <w:rPr>
                <w:rFonts w:ascii="Times New Roman" w:cs="Times New Roman" w:eastAsia="Times New Roman" w:hAnsi="Times New Roman"/>
                <w:sz w:val="18"/>
                <w:szCs w:val="18"/>
                <w:i w:val="1"/>
                <w:iCs w:val="1"/>
                <w:color w:val="auto"/>
              </w:rPr>
              <w:t>NEJM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-3741420</wp:posOffset>
            </wp:positionV>
            <wp:extent cx="7098030" cy="3780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3780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 decision on regulatory</w:t>
      </w:r>
    </w:p>
    <w:p>
      <w:pPr>
        <w:spacing w:after="0" w:line="2" w:lineRule="exact"/>
        <w:rPr>
          <w:sz w:val="20"/>
          <w:szCs w:val="20"/>
          <w:color w:val="auto"/>
        </w:rPr>
      </w:pPr>
    </w:p>
    <w:p>
      <w:pPr>
        <w:jc w:val="both"/>
        <w:ind w:right="480"/>
        <w:spacing w:after="0" w:line="218" w:lineRule="auto"/>
        <w:rPr>
          <w:sz w:val="20"/>
          <w:szCs w:val="20"/>
          <w:color w:val="auto"/>
        </w:rPr>
      </w:pPr>
      <w:r>
        <w:rPr>
          <w:rFonts w:ascii="Times New Roman" w:cs="Times New Roman" w:eastAsia="Times New Roman" w:hAnsi="Times New Roman"/>
          <w:sz w:val="18"/>
          <w:szCs w:val="18"/>
          <w:color w:val="auto"/>
        </w:rPr>
        <w:t>submission for EoE in pediatrics (second half 2024)</w:t>
      </w:r>
    </w:p>
    <w:p>
      <w:pPr>
        <w:spacing w:after="0" w:line="199"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17"/>
          <w:szCs w:val="17"/>
          <w:color w:val="auto"/>
        </w:rPr>
        <w:t>–FDA decision on sBLA for CRSwNP in adolescents (target action</w:t>
      </w:r>
    </w:p>
    <w:p>
      <w:pPr>
        <w:spacing w:after="0"/>
        <w:rPr>
          <w:sz w:val="20"/>
          <w:szCs w:val="20"/>
          <w:color w:val="auto"/>
        </w:rPr>
      </w:pPr>
      <w:r>
        <w:rPr>
          <w:rFonts w:ascii="Times New Roman" w:cs="Times New Roman" w:eastAsia="Times New Roman" w:hAnsi="Times New Roman"/>
          <w:sz w:val="17"/>
          <w:szCs w:val="17"/>
          <w:color w:val="auto"/>
        </w:rPr>
        <w:t>date of September 15, 2024)</w:t>
      </w:r>
    </w:p>
    <w:p>
      <w:pPr>
        <w:spacing w:after="0" w:line="203"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–FDA decision on sBLA for COPD with type 2</w:t>
      </w:r>
    </w:p>
    <w:p>
      <w:pPr>
        <w:spacing w:after="0" w:line="2" w:lineRule="exact"/>
        <w:rPr>
          <w:sz w:val="20"/>
          <w:szCs w:val="20"/>
          <w:color w:val="auto"/>
        </w:rPr>
      </w:pPr>
    </w:p>
    <w:p>
      <w:pPr>
        <w:ind w:right="340"/>
        <w:spacing w:after="0" w:line="231" w:lineRule="auto"/>
        <w:rPr>
          <w:sz w:val="20"/>
          <w:szCs w:val="20"/>
          <w:color w:val="auto"/>
        </w:rPr>
      </w:pPr>
      <w:r>
        <w:rPr>
          <w:rFonts w:ascii="Times New Roman" w:cs="Times New Roman" w:eastAsia="Times New Roman" w:hAnsi="Times New Roman"/>
          <w:sz w:val="17"/>
          <w:szCs w:val="17"/>
          <w:color w:val="auto"/>
        </w:rPr>
        <w:t>inflammatory phenotype (target action date of September 27, 2024)</w:t>
      </w:r>
    </w:p>
    <w:p>
      <w:pPr>
        <w:spacing w:after="0" w:line="199"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7"/>
          <w:szCs w:val="17"/>
          <w:color w:val="auto"/>
        </w:rPr>
        <w:t>–EC decision on regulatory submission for CSU in adults and adolescents (first</w:t>
      </w:r>
    </w:p>
    <w:p>
      <w:pPr>
        <w:spacing w:after="0"/>
        <w:rPr>
          <w:sz w:val="20"/>
          <w:szCs w:val="20"/>
          <w:color w:val="auto"/>
        </w:rPr>
      </w:pPr>
      <w:r>
        <w:rPr>
          <w:rFonts w:ascii="Times New Roman" w:cs="Times New Roman" w:eastAsia="Times New Roman" w:hAnsi="Times New Roman"/>
          <w:sz w:val="18"/>
          <w:szCs w:val="18"/>
          <w:color w:val="auto"/>
        </w:rPr>
        <w:t>half 2025)</w:t>
      </w:r>
    </w:p>
    <w:p>
      <w:pPr>
        <w:spacing w:after="0" w:line="192" w:lineRule="exact"/>
        <w:rPr>
          <w:sz w:val="20"/>
          <w:szCs w:val="20"/>
          <w:color w:val="auto"/>
        </w:rPr>
      </w:pPr>
    </w:p>
    <w:p>
      <w:pPr>
        <w:jc w:val="both"/>
        <w:ind w:right="400"/>
        <w:spacing w:after="0" w:line="236" w:lineRule="auto"/>
        <w:rPr>
          <w:sz w:val="20"/>
          <w:szCs w:val="20"/>
          <w:color w:val="auto"/>
        </w:rPr>
      </w:pPr>
      <w:r>
        <w:rPr>
          <w:rFonts w:ascii="Times New Roman" w:cs="Times New Roman" w:eastAsia="Times New Roman" w:hAnsi="Times New Roman"/>
          <w:sz w:val="17"/>
          <w:szCs w:val="17"/>
          <w:color w:val="auto"/>
        </w:rPr>
        <w:t>–Report results from ongoing Phase 3 trial in</w:t>
      </w:r>
    </w:p>
    <w:p>
      <w:pPr>
        <w:jc w:val="both"/>
        <w:ind w:right="380"/>
        <w:spacing w:after="0" w:line="218" w:lineRule="auto"/>
        <w:rPr>
          <w:sz w:val="20"/>
          <w:szCs w:val="20"/>
          <w:color w:val="auto"/>
        </w:rPr>
      </w:pPr>
      <w:r>
        <w:rPr>
          <w:rFonts w:ascii="Times New Roman" w:cs="Times New Roman" w:eastAsia="Times New Roman" w:hAnsi="Times New Roman"/>
          <w:sz w:val="18"/>
          <w:szCs w:val="18"/>
          <w:color w:val="auto"/>
        </w:rPr>
        <w:t>CSU (in biologic-naïve patients) (fourth quarter 2024)</w:t>
      </w:r>
    </w:p>
    <w:p>
      <w:pPr>
        <w:spacing w:after="0" w:line="199" w:lineRule="exact"/>
        <w:rPr>
          <w:sz w:val="20"/>
          <w:szCs w:val="20"/>
          <w:color w:val="auto"/>
        </w:rPr>
      </w:pPr>
    </w:p>
    <w:p>
      <w:pPr>
        <w:ind w:right="160"/>
        <w:spacing w:after="0" w:line="216" w:lineRule="auto"/>
        <w:rPr>
          <w:sz w:val="20"/>
          <w:szCs w:val="20"/>
          <w:color w:val="auto"/>
        </w:rPr>
      </w:pPr>
      <w:r>
        <w:rPr>
          <w:rFonts w:ascii="Times New Roman" w:cs="Times New Roman" w:eastAsia="Times New Roman" w:hAnsi="Times New Roman"/>
          <w:sz w:val="18"/>
          <w:szCs w:val="18"/>
          <w:color w:val="auto"/>
        </w:rPr>
        <w:t>–Report results from Phase 3 trial in bullous pemphigoid (second half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p>
      <w:pPr>
        <w:sectPr>
          <w:pgSz w:w="11900" w:h="16838" w:orient="portrait"/>
          <w:cols w:equalWidth="0" w:num="4">
            <w:col w:w="1920" w:space="120"/>
            <w:col w:w="3260" w:space="160"/>
            <w:col w:w="3460" w:space="200"/>
            <w:col w:w="2100"/>
          </w:cols>
          <w:pgMar w:left="320" w:top="369" w:right="359" w:bottom="1440" w:gutter="0" w:footer="0" w:header="0"/>
          <w:type w:val="continuous"/>
        </w:sect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20"/>
          </w:cols>
          <w:pgMar w:left="320" w:top="3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0" w:type="dxa"/>
            <w:vAlign w:val="bottom"/>
          </w:tcPr>
          <w:p>
            <w:pPr>
              <w:spacing w:after="0"/>
              <w:rPr>
                <w:sz w:val="1"/>
                <w:szCs w:val="1"/>
                <w:color w:val="auto"/>
              </w:rPr>
            </w:pPr>
          </w:p>
        </w:tc>
      </w:tr>
      <w:tr>
        <w:trPr>
          <w:trHeight w:val="240"/>
        </w:trPr>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1660" w:type="dxa"/>
            <w:vAlign w:val="bottom"/>
            <w:gridSpan w:val="2"/>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580" w:type="dxa"/>
            <w:vAlign w:val="bottom"/>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0" w:type="dxa"/>
            <w:vAlign w:val="bottom"/>
          </w:tcPr>
          <w:p>
            <w:pPr>
              <w:spacing w:after="0"/>
              <w:rPr>
                <w:sz w:val="1"/>
                <w:szCs w:val="1"/>
                <w:color w:val="auto"/>
              </w:rPr>
            </w:pPr>
          </w:p>
        </w:tc>
      </w:tr>
      <w:tr>
        <w:trPr>
          <w:trHeight w:val="176"/>
        </w:trPr>
        <w:tc>
          <w:tcPr>
            <w:tcW w:w="19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Dupixent (dupilumab)</w:t>
            </w:r>
            <w:r>
              <w:rPr>
                <w:rFonts w:ascii="Times New Roman" w:cs="Times New Roman" w:eastAsia="Times New Roman" w:hAnsi="Times New Roman"/>
                <w:sz w:val="20"/>
                <w:szCs w:val="20"/>
                <w:b w:val="1"/>
                <w:bCs w:val="1"/>
                <w:color w:val="auto"/>
                <w:vertAlign w:val="superscript"/>
              </w:rPr>
              <w:t>(b)</w:t>
            </w:r>
          </w:p>
        </w:tc>
        <w:tc>
          <w:tcPr>
            <w:tcW w:w="8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-273685</wp:posOffset>
            </wp:positionV>
            <wp:extent cx="7098030" cy="7543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9803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264"/>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Kevzara (sarilumab)</w:t>
            </w:r>
            <w:r>
              <w:rPr>
                <w:rFonts w:ascii="Times New Roman" w:cs="Times New Roman" w:eastAsia="Times New Roman" w:hAnsi="Times New Roman"/>
                <w:sz w:val="23"/>
                <w:szCs w:val="23"/>
                <w:b w:val="1"/>
                <w:bCs w:val="1"/>
                <w:color w:val="auto"/>
                <w:vertAlign w:val="superscript"/>
              </w:rPr>
              <w:t>(b)</w:t>
            </w:r>
          </w:p>
        </w:tc>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–Systemic juvenile</w:t>
            </w:r>
          </w:p>
        </w:tc>
        <w:tc>
          <w:tcPr>
            <w:tcW w:w="18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5"/>
              </w:rPr>
              <w:t>–PMR (EU)</w:t>
            </w:r>
          </w:p>
        </w:tc>
        <w:tc>
          <w:tcPr>
            <w:tcW w:w="0" w:type="dxa"/>
            <w:vAlign w:val="bottom"/>
          </w:tcPr>
          <w:p>
            <w:pPr>
              <w:spacing w:after="0"/>
              <w:rPr>
                <w:sz w:val="1"/>
                <w:szCs w:val="1"/>
                <w:color w:val="auto"/>
              </w:rPr>
            </w:pPr>
          </w:p>
        </w:tc>
      </w:tr>
      <w:tr>
        <w:trPr>
          <w:trHeight w:val="176"/>
        </w:trPr>
        <w:tc>
          <w:tcPr>
            <w:tcW w:w="1860" w:type="dxa"/>
            <w:vAlign w:val="bottom"/>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IL-6R</w:t>
            </w:r>
          </w:p>
        </w:tc>
        <w:tc>
          <w:tcPr>
            <w:tcW w:w="25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idiopathic arthritis</w:t>
            </w: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25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("sJIA") (pivotal</w:t>
            </w:r>
          </w:p>
        </w:tc>
        <w:tc>
          <w:tcPr>
            <w:tcW w:w="188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color w:val="auto"/>
                <w:w w:val="99"/>
              </w:rPr>
              <w:t>–pJIA (EU)</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5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study)</w:t>
            </w: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1860" w:type="dxa"/>
            <w:vAlign w:val="bottom"/>
          </w:tcPr>
          <w:p>
            <w:pPr>
              <w:spacing w:after="0"/>
              <w:rPr>
                <w:sz w:val="6"/>
                <w:szCs w:val="6"/>
                <w:color w:val="auto"/>
              </w:rPr>
            </w:pPr>
          </w:p>
        </w:tc>
        <w:tc>
          <w:tcPr>
            <w:tcW w:w="2520" w:type="dxa"/>
            <w:vAlign w:val="bottom"/>
            <w:vMerge w:val="continue"/>
          </w:tcPr>
          <w:p>
            <w:pPr>
              <w:spacing w:after="0"/>
              <w:rPr>
                <w:sz w:val="6"/>
                <w:szCs w:val="6"/>
                <w:color w:val="auto"/>
              </w:rPr>
            </w:pP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2024 Events to Date</w:t>
      </w:r>
    </w:p>
    <w:p>
      <w:pPr>
        <w:spacing w:after="0" w:line="8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–FDA extended by three months target action date</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of its priority review of sBLA for COPD with type 2 inflammatory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phenotype</w:t>
      </w:r>
    </w:p>
    <w:p>
      <w:pPr>
        <w:spacing w:after="0" w:line="43"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–Approved by FDA for pJIA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 Upcoming</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–EC decision on regulatory</w:t>
      </w:r>
    </w:p>
    <w:p>
      <w:pPr>
        <w:spacing w:after="0" w:line="14" w:lineRule="exact"/>
        <w:rPr>
          <w:sz w:val="20"/>
          <w:szCs w:val="20"/>
          <w:color w:val="auto"/>
        </w:rPr>
      </w:pPr>
    </w:p>
    <w:p>
      <w:pPr>
        <w:ind w:right="620"/>
        <w:spacing w:after="0" w:line="239" w:lineRule="auto"/>
        <w:rPr>
          <w:sz w:val="20"/>
          <w:szCs w:val="20"/>
          <w:color w:val="auto"/>
        </w:rPr>
      </w:pPr>
      <w:r>
        <w:rPr>
          <w:rFonts w:ascii="Times New Roman" w:cs="Times New Roman" w:eastAsia="Times New Roman" w:hAnsi="Times New Roman"/>
          <w:sz w:val="17"/>
          <w:szCs w:val="17"/>
          <w:color w:val="auto"/>
        </w:rPr>
        <w:t>submission for PMR (second half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–EC decision on regulatory</w:t>
      </w:r>
    </w:p>
    <w:p>
      <w:pPr>
        <w:spacing w:after="0" w:line="14" w:lineRule="exact"/>
        <w:rPr>
          <w:sz w:val="20"/>
          <w:szCs w:val="20"/>
          <w:color w:val="auto"/>
        </w:rPr>
      </w:pPr>
    </w:p>
    <w:p>
      <w:pPr>
        <w:ind w:right="260"/>
        <w:spacing w:after="0" w:line="224" w:lineRule="auto"/>
        <w:rPr>
          <w:sz w:val="20"/>
          <w:szCs w:val="20"/>
          <w:color w:val="auto"/>
        </w:rPr>
      </w:pPr>
      <w:r>
        <w:rPr>
          <w:rFonts w:ascii="Times New Roman" w:cs="Times New Roman" w:eastAsia="Times New Roman" w:hAnsi="Times New Roman"/>
          <w:sz w:val="18"/>
          <w:szCs w:val="18"/>
          <w:color w:val="auto"/>
        </w:rPr>
        <w:t>submission for pJIA (first half 2025)</w:t>
      </w:r>
    </w:p>
    <w:p>
      <w:pPr>
        <w:spacing w:after="0" w:line="1" w:lineRule="exact"/>
        <w:rPr>
          <w:sz w:val="20"/>
          <w:szCs w:val="20"/>
          <w:color w:val="auto"/>
        </w:rPr>
      </w:pPr>
    </w:p>
    <w:p>
      <w:pPr>
        <w:sectPr>
          <w:pgSz w:w="11900" w:h="16838" w:orient="portrait"/>
          <w:cols w:equalWidth="0" w:num="3">
            <w:col w:w="7020" w:space="100"/>
            <w:col w:w="1820" w:space="180"/>
            <w:col w:w="2100"/>
          </w:cols>
          <w:pgMar w:left="320" w:top="369" w:right="359" w:bottom="1440" w:gutter="0" w:footer="0" w:header="0"/>
          <w:type w:val="continuous"/>
        </w:sectPr>
      </w:pPr>
    </w:p>
    <w:tbl>
      <w:tblPr>
        <w:tblLayout w:type="fixed"/>
        <w:tblInd w:w="40" w:type="dxa"/>
        <w:tblCellMar>
          <w:top w:w="0" w:type="dxa"/>
          <w:left w:w="0" w:type="dxa"/>
          <w:bottom w:w="0" w:type="dxa"/>
          <w:right w:w="0" w:type="dxa"/>
        </w:tblCellMar>
      </w:tblPr>
      <w:tr>
        <w:trPr>
          <w:trHeight w:val="219"/>
        </w:trPr>
        <w:tc>
          <w:tcPr>
            <w:tcW w:w="19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8"/>
                <w:szCs w:val="18"/>
                <w:b w:val="1"/>
                <w:bCs w:val="1"/>
                <w:color w:val="auto"/>
              </w:rPr>
              <w:t>Itepekimab</w:t>
            </w:r>
            <w:r>
              <w:rPr>
                <w:rFonts w:ascii="Times New Roman" w:cs="Times New Roman" w:eastAsia="Times New Roman" w:hAnsi="Times New Roman"/>
                <w:sz w:val="23"/>
                <w:szCs w:val="23"/>
                <w:b w:val="1"/>
                <w:bCs w:val="1"/>
                <w:color w:val="auto"/>
                <w:vertAlign w:val="superscript"/>
              </w:rPr>
              <w:t>(b)</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–Non-cystic fibrosis</w:t>
            </w:r>
          </w:p>
        </w:tc>
        <w:tc>
          <w:tcPr>
            <w:tcW w:w="4160" w:type="dxa"/>
            <w:vAlign w:val="bottom"/>
            <w:shd w:val="clear" w:color="auto" w:fill="CCEEFF"/>
          </w:tcPr>
          <w:p>
            <w:pPr>
              <w:ind w:left="80"/>
              <w:spacing w:after="0" w:line="220" w:lineRule="exact"/>
              <w:rPr>
                <w:sz w:val="20"/>
                <w:szCs w:val="20"/>
                <w:color w:val="auto"/>
              </w:rPr>
            </w:pPr>
            <w:r>
              <w:rPr>
                <w:rFonts w:ascii="Times New Roman" w:cs="Times New Roman" w:eastAsia="Times New Roman" w:hAnsi="Times New Roman"/>
                <w:sz w:val="18"/>
                <w:szCs w:val="18"/>
                <w:color w:val="auto"/>
              </w:rPr>
              <w:t>–COPD</w:t>
            </w:r>
            <w:r>
              <w:rPr>
                <w:rFonts w:ascii="Times New Roman" w:cs="Times New Roman" w:eastAsia="Times New Roman" w:hAnsi="Times New Roman"/>
                <w:sz w:val="23"/>
                <w:szCs w:val="23"/>
                <w:color w:val="auto"/>
                <w:vertAlign w:val="superscript"/>
              </w:rPr>
              <w:t>(e)</w:t>
            </w:r>
          </w:p>
        </w:tc>
        <w:tc>
          <w:tcPr>
            <w:tcW w:w="34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(REGN3500)</w:t>
            </w:r>
          </w:p>
        </w:tc>
        <w:tc>
          <w:tcPr>
            <w:tcW w:w="16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bronchiectasis</w:t>
            </w:r>
          </w:p>
        </w:tc>
        <w:tc>
          <w:tcPr>
            <w:tcW w:w="4160" w:type="dxa"/>
            <w:vAlign w:val="bottom"/>
            <w:shd w:val="clear" w:color="auto" w:fill="CCEEFF"/>
          </w:tcPr>
          <w:p>
            <w:pPr>
              <w:spacing w:after="0"/>
              <w:rPr>
                <w:sz w:val="15"/>
                <w:szCs w:val="15"/>
                <w:color w:val="auto"/>
              </w:rPr>
            </w:pPr>
          </w:p>
        </w:tc>
        <w:tc>
          <w:tcPr>
            <w:tcW w:w="3420" w:type="dxa"/>
            <w:vAlign w:val="bottom"/>
            <w:shd w:val="clear" w:color="auto" w:fill="CCEEFF"/>
          </w:tcPr>
          <w:p>
            <w:pPr>
              <w:ind w:left="1320"/>
              <w:spacing w:after="0" w:line="176" w:lineRule="exact"/>
              <w:rPr>
                <w:sz w:val="20"/>
                <w:szCs w:val="20"/>
                <w:color w:val="auto"/>
              </w:rPr>
            </w:pPr>
            <w:r>
              <w:rPr>
                <w:rFonts w:ascii="Times New Roman" w:cs="Times New Roman" w:eastAsia="Times New Roman" w:hAnsi="Times New Roman"/>
                <w:sz w:val="18"/>
                <w:szCs w:val="18"/>
                <w:color w:val="auto"/>
              </w:rPr>
              <w:t>3 study in COPD (second</w:t>
            </w: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IL-33</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("NCFB")</w:t>
            </w:r>
          </w:p>
        </w:tc>
        <w:tc>
          <w:tcPr>
            <w:tcW w:w="4160" w:type="dxa"/>
            <w:vAlign w:val="bottom"/>
            <w:shd w:val="clear" w:color="auto" w:fill="CCEEFF"/>
          </w:tcPr>
          <w:p>
            <w:pPr>
              <w:spacing w:after="0"/>
              <w:rPr>
                <w:sz w:val="21"/>
                <w:szCs w:val="21"/>
                <w:color w:val="auto"/>
              </w:rPr>
            </w:pPr>
          </w:p>
        </w:tc>
        <w:tc>
          <w:tcPr>
            <w:tcW w:w="34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half 2025)</w:t>
            </w:r>
          </w:p>
        </w:tc>
        <w:tc>
          <w:tcPr>
            <w:tcW w:w="0" w:type="dxa"/>
            <w:vAlign w:val="bottom"/>
          </w:tcPr>
          <w:p>
            <w:pPr>
              <w:spacing w:after="0"/>
              <w:rPr>
                <w:sz w:val="1"/>
                <w:szCs w:val="1"/>
                <w:color w:val="auto"/>
              </w:rPr>
            </w:pPr>
          </w:p>
        </w:tc>
      </w:tr>
      <w:tr>
        <w:trPr>
          <w:trHeight w:val="182"/>
        </w:trPr>
        <w:tc>
          <w:tcPr>
            <w:tcW w:w="19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REGN5713-5714-5715</w:t>
            </w:r>
          </w:p>
        </w:tc>
        <w:tc>
          <w:tcPr>
            <w:tcW w:w="1660" w:type="dxa"/>
            <w:vAlign w:val="bottom"/>
          </w:tcPr>
          <w:p>
            <w:pPr>
              <w:spacing w:after="0"/>
              <w:rPr>
                <w:sz w:val="15"/>
                <w:szCs w:val="15"/>
                <w:color w:val="auto"/>
              </w:rPr>
            </w:pPr>
          </w:p>
        </w:tc>
        <w:tc>
          <w:tcPr>
            <w:tcW w:w="416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–Birch allergy</w:t>
            </w: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Multi-antibody therapy to</w:t>
            </w:r>
          </w:p>
        </w:tc>
        <w:tc>
          <w:tcPr>
            <w:tcW w:w="16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Bet v 1</w:t>
            </w:r>
          </w:p>
        </w:tc>
        <w:tc>
          <w:tcPr>
            <w:tcW w:w="16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9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1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940" w:type="dxa"/>
            <w:vAlign w:val="bottom"/>
            <w:shd w:val="clear" w:color="auto" w:fill="ACACAC"/>
          </w:tcPr>
          <w:p>
            <w:pPr>
              <w:spacing w:after="0"/>
              <w:rPr>
                <w:sz w:val="19"/>
                <w:szCs w:val="19"/>
                <w:color w:val="auto"/>
              </w:rPr>
            </w:pPr>
          </w:p>
        </w:tc>
        <w:tc>
          <w:tcPr>
            <w:tcW w:w="1660" w:type="dxa"/>
            <w:vAlign w:val="bottom"/>
            <w:shd w:val="clear" w:color="auto" w:fill="ACACAC"/>
          </w:tcPr>
          <w:p>
            <w:pPr>
              <w:spacing w:after="0"/>
              <w:rPr>
                <w:sz w:val="19"/>
                <w:szCs w:val="19"/>
                <w:color w:val="auto"/>
              </w:rPr>
            </w:pPr>
          </w:p>
        </w:tc>
        <w:tc>
          <w:tcPr>
            <w:tcW w:w="4160" w:type="dxa"/>
            <w:vAlign w:val="bottom"/>
            <w:shd w:val="clear" w:color="auto" w:fill="ACACAC"/>
          </w:tcPr>
          <w:p>
            <w:pPr>
              <w:ind w:left="1120"/>
              <w:spacing w:after="0"/>
              <w:rPr>
                <w:sz w:val="20"/>
                <w:szCs w:val="20"/>
                <w:color w:val="auto"/>
              </w:rPr>
            </w:pPr>
            <w:r>
              <w:rPr>
                <w:rFonts w:ascii="Times New Roman" w:cs="Times New Roman" w:eastAsia="Times New Roman" w:hAnsi="Times New Roman"/>
                <w:sz w:val="18"/>
                <w:szCs w:val="18"/>
                <w:b w:val="1"/>
                <w:bCs w:val="1"/>
                <w:color w:val="auto"/>
              </w:rPr>
              <w:t>Solid Organ Oncology</w:t>
            </w:r>
          </w:p>
        </w:tc>
        <w:tc>
          <w:tcPr>
            <w:tcW w:w="34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1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Libtayo (cemiplimab)</w:t>
            </w:r>
            <w:r>
              <w:rPr>
                <w:rFonts w:ascii="Times New Roman" w:cs="Times New Roman" w:eastAsia="Times New Roman" w:hAnsi="Times New Roman"/>
                <w:sz w:val="23"/>
                <w:szCs w:val="23"/>
                <w:b w:val="1"/>
                <w:bCs w:val="1"/>
                <w:color w:val="auto"/>
                <w:vertAlign w:val="superscript"/>
              </w:rPr>
              <w:t>(g)</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–Neoadjuvant CSCC</w:t>
            </w:r>
          </w:p>
        </w:tc>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–Adjuvant CSCC</w:t>
            </w:r>
          </w:p>
        </w:tc>
        <w:tc>
          <w:tcPr>
            <w:tcW w:w="34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–Conduct interim analysis</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i w:val="1"/>
                <w:iCs w:val="1"/>
                <w:color w:val="auto"/>
              </w:rPr>
              <w:t>Antibody to PD-1</w:t>
            </w:r>
          </w:p>
        </w:tc>
        <w:tc>
          <w:tcPr>
            <w:tcW w:w="166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3420" w:type="dxa"/>
            <w:vAlign w:val="bottom"/>
            <w:shd w:val="clear" w:color="auto" w:fill="CCEEFF"/>
          </w:tcPr>
          <w:p>
            <w:pPr>
              <w:ind w:left="1320"/>
              <w:spacing w:after="0" w:line="149" w:lineRule="exact"/>
              <w:rPr>
                <w:sz w:val="20"/>
                <w:szCs w:val="20"/>
                <w:color w:val="auto"/>
              </w:rPr>
            </w:pPr>
            <w:r>
              <w:rPr>
                <w:rFonts w:ascii="Times New Roman" w:cs="Times New Roman" w:eastAsia="Times New Roman" w:hAnsi="Times New Roman"/>
                <w:sz w:val="17"/>
                <w:szCs w:val="17"/>
                <w:color w:val="auto"/>
              </w:rPr>
              <w:t>from Phase 3 study in</w:t>
            </w: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spacing w:after="0"/>
              <w:rPr>
                <w:sz w:val="21"/>
                <w:szCs w:val="21"/>
                <w:color w:val="auto"/>
              </w:rPr>
            </w:pP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–First-line NSCLC,</w:t>
            </w:r>
          </w:p>
        </w:tc>
        <w:tc>
          <w:tcPr>
            <w:tcW w:w="4160" w:type="dxa"/>
            <w:vAlign w:val="bottom"/>
            <w:shd w:val="clear" w:color="auto" w:fill="CCEEFF"/>
          </w:tcPr>
          <w:p>
            <w:pPr>
              <w:spacing w:after="0"/>
              <w:rPr>
                <w:sz w:val="21"/>
                <w:szCs w:val="21"/>
                <w:color w:val="auto"/>
              </w:rPr>
            </w:pPr>
          </w:p>
        </w:tc>
        <w:tc>
          <w:tcPr>
            <w:tcW w:w="34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adjuvant CSCC (second half</w:t>
            </w: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spacing w:after="0"/>
              <w:rPr>
                <w:sz w:val="15"/>
                <w:szCs w:val="15"/>
                <w:color w:val="auto"/>
              </w:rPr>
            </w:pPr>
          </w:p>
        </w:tc>
        <w:tc>
          <w:tcPr>
            <w:tcW w:w="16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6"/>
                <w:szCs w:val="16"/>
                <w:color w:val="auto"/>
              </w:rPr>
              <w:t>BNT116</w:t>
            </w:r>
            <w:r>
              <w:rPr>
                <w:rFonts w:ascii="Times New Roman" w:cs="Times New Roman" w:eastAsia="Times New Roman" w:hAnsi="Times New Roman"/>
                <w:sz w:val="20"/>
                <w:szCs w:val="20"/>
                <w:color w:val="auto"/>
                <w:vertAlign w:val="superscript"/>
              </w:rPr>
              <w:t>(i)</w:t>
            </w:r>
          </w:p>
        </w:tc>
        <w:tc>
          <w:tcPr>
            <w:tcW w:w="4160" w:type="dxa"/>
            <w:vAlign w:val="bottom"/>
            <w:shd w:val="clear" w:color="auto" w:fill="CCEEFF"/>
          </w:tcPr>
          <w:p>
            <w:pPr>
              <w:spacing w:after="0"/>
              <w:rPr>
                <w:sz w:val="15"/>
                <w:szCs w:val="15"/>
                <w:color w:val="auto"/>
              </w:rPr>
            </w:pPr>
          </w:p>
        </w:tc>
        <w:tc>
          <w:tcPr>
            <w:tcW w:w="3420" w:type="dxa"/>
            <w:vAlign w:val="bottom"/>
            <w:shd w:val="clear" w:color="auto" w:fill="CCEEFF"/>
          </w:tcPr>
          <w:p>
            <w:pPr>
              <w:ind w:left="1320"/>
              <w:spacing w:after="0" w:line="176"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combination</w:t>
            </w:r>
          </w:p>
        </w:tc>
        <w:tc>
          <w:tcPr>
            <w:tcW w:w="4160" w:type="dxa"/>
            <w:vAlign w:val="bottom"/>
            <w:shd w:val="clear" w:color="auto" w:fill="CCEEFF"/>
          </w:tcPr>
          <w:p>
            <w:pPr>
              <w:spacing w:after="0"/>
              <w:rPr>
                <w:sz w:val="20"/>
                <w:szCs w:val="20"/>
                <w:color w:val="auto"/>
              </w:rPr>
            </w:pPr>
          </w:p>
        </w:tc>
        <w:tc>
          <w:tcPr>
            <w:tcW w:w="3420" w:type="dxa"/>
            <w:vAlign w:val="bottom"/>
            <w:vMerge w:val="restart"/>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–Submit regulatory</w:t>
            </w:r>
          </w:p>
        </w:tc>
        <w:tc>
          <w:tcPr>
            <w:tcW w:w="0" w:type="dxa"/>
            <w:vAlign w:val="bottom"/>
          </w:tcPr>
          <w:p>
            <w:pPr>
              <w:spacing w:after="0"/>
              <w:rPr>
                <w:sz w:val="1"/>
                <w:szCs w:val="1"/>
                <w:color w:val="auto"/>
              </w:rPr>
            </w:pPr>
          </w:p>
        </w:tc>
      </w:tr>
      <w:tr>
        <w:trPr>
          <w:trHeight w:val="130"/>
        </w:trPr>
        <w:tc>
          <w:tcPr>
            <w:tcW w:w="19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4160" w:type="dxa"/>
            <w:vAlign w:val="bottom"/>
            <w:shd w:val="clear" w:color="auto" w:fill="CCEEFF"/>
          </w:tcPr>
          <w:p>
            <w:pPr>
              <w:spacing w:after="0"/>
              <w:rPr>
                <w:sz w:val="11"/>
                <w:szCs w:val="11"/>
                <w:color w:val="auto"/>
              </w:rPr>
            </w:pPr>
          </w:p>
        </w:tc>
        <w:tc>
          <w:tcPr>
            <w:tcW w:w="3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–Neoadjuvant</w:t>
            </w:r>
          </w:p>
        </w:tc>
        <w:tc>
          <w:tcPr>
            <w:tcW w:w="4160" w:type="dxa"/>
            <w:vAlign w:val="bottom"/>
            <w:shd w:val="clear" w:color="auto" w:fill="CCEEFF"/>
          </w:tcPr>
          <w:p>
            <w:pPr>
              <w:spacing w:after="0"/>
              <w:rPr>
                <w:sz w:val="15"/>
                <w:szCs w:val="15"/>
                <w:color w:val="auto"/>
              </w:rPr>
            </w:pPr>
          </w:p>
        </w:tc>
        <w:tc>
          <w:tcPr>
            <w:tcW w:w="3420" w:type="dxa"/>
            <w:vAlign w:val="bottom"/>
            <w:shd w:val="clear" w:color="auto" w:fill="CCEEFF"/>
          </w:tcPr>
          <w:p>
            <w:pPr>
              <w:ind w:left="1320"/>
              <w:spacing w:after="0" w:line="176" w:lineRule="exact"/>
              <w:rPr>
                <w:sz w:val="20"/>
                <w:szCs w:val="20"/>
                <w:color w:val="auto"/>
              </w:rPr>
            </w:pPr>
            <w:r>
              <w:rPr>
                <w:rFonts w:ascii="Times New Roman" w:cs="Times New Roman" w:eastAsia="Times New Roman" w:hAnsi="Times New Roman"/>
                <w:sz w:val="18"/>
                <w:szCs w:val="18"/>
                <w:color w:val="auto"/>
              </w:rPr>
              <w:t>application in Japan for</w:t>
            </w:r>
          </w:p>
        </w:tc>
        <w:tc>
          <w:tcPr>
            <w:tcW w:w="0" w:type="dxa"/>
            <w:vAlign w:val="bottom"/>
          </w:tcPr>
          <w:p>
            <w:pPr>
              <w:spacing w:after="0"/>
              <w:rPr>
                <w:sz w:val="1"/>
                <w:szCs w:val="1"/>
                <w:color w:val="auto"/>
              </w:rPr>
            </w:pPr>
          </w:p>
        </w:tc>
      </w:tr>
      <w:tr>
        <w:trPr>
          <w:trHeight w:val="68"/>
        </w:trPr>
        <w:tc>
          <w:tcPr>
            <w:tcW w:w="194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4160" w:type="dxa"/>
            <w:vAlign w:val="bottom"/>
            <w:shd w:val="clear" w:color="auto" w:fill="CCEEFF"/>
          </w:tcPr>
          <w:p>
            <w:pPr>
              <w:spacing w:after="0"/>
              <w:rPr>
                <w:sz w:val="5"/>
                <w:szCs w:val="5"/>
                <w:color w:val="auto"/>
              </w:rPr>
            </w:pPr>
          </w:p>
        </w:tc>
        <w:tc>
          <w:tcPr>
            <w:tcW w:w="3420" w:type="dxa"/>
            <w:vAlign w:val="bottom"/>
            <w:vMerge w:val="restart"/>
            <w:shd w:val="clear" w:color="auto" w:fill="CCEEFF"/>
          </w:tcPr>
          <w:p>
            <w:pPr>
              <w:ind w:left="1320"/>
              <w:spacing w:after="0" w:line="184" w:lineRule="exact"/>
              <w:rPr>
                <w:sz w:val="20"/>
                <w:szCs w:val="20"/>
                <w:color w:val="auto"/>
              </w:rPr>
            </w:pPr>
            <w:r>
              <w:rPr>
                <w:rFonts w:ascii="Times New Roman" w:cs="Times New Roman" w:eastAsia="Times New Roman" w:hAnsi="Times New Roman"/>
                <w:sz w:val="18"/>
                <w:szCs w:val="18"/>
                <w:color w:val="auto"/>
              </w:rPr>
              <w:t>NSCLC, monotherapy and</w:t>
            </w:r>
          </w:p>
        </w:tc>
        <w:tc>
          <w:tcPr>
            <w:tcW w:w="0" w:type="dxa"/>
            <w:vAlign w:val="bottom"/>
          </w:tcPr>
          <w:p>
            <w:pPr>
              <w:spacing w:after="0"/>
              <w:rPr>
                <w:sz w:val="1"/>
                <w:szCs w:val="1"/>
                <w:color w:val="auto"/>
              </w:rPr>
            </w:pPr>
          </w:p>
        </w:tc>
      </w:tr>
      <w:tr>
        <w:trPr>
          <w:trHeight w:val="117"/>
        </w:trPr>
        <w:tc>
          <w:tcPr>
            <w:tcW w:w="1940" w:type="dxa"/>
            <w:vAlign w:val="bottom"/>
            <w:shd w:val="clear" w:color="auto" w:fill="CCEEFF"/>
          </w:tcPr>
          <w:p>
            <w:pPr>
              <w:spacing w:after="0"/>
              <w:rPr>
                <w:sz w:val="10"/>
                <w:szCs w:val="10"/>
                <w:color w:val="auto"/>
              </w:rPr>
            </w:pPr>
          </w:p>
        </w:tc>
        <w:tc>
          <w:tcPr>
            <w:tcW w:w="1660" w:type="dxa"/>
            <w:vAlign w:val="bottom"/>
            <w:vMerge w:val="restart"/>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hepatocellular</w:t>
            </w:r>
          </w:p>
        </w:tc>
        <w:tc>
          <w:tcPr>
            <w:tcW w:w="4160" w:type="dxa"/>
            <w:vAlign w:val="bottom"/>
            <w:shd w:val="clear" w:color="auto" w:fill="CCEEFF"/>
          </w:tcPr>
          <w:p>
            <w:pPr>
              <w:spacing w:after="0"/>
              <w:rPr>
                <w:sz w:val="10"/>
                <w:szCs w:val="10"/>
                <w:color w:val="auto"/>
              </w:rPr>
            </w:pPr>
          </w:p>
        </w:tc>
        <w:tc>
          <w:tcPr>
            <w:tcW w:w="34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94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4160" w:type="dxa"/>
            <w:vAlign w:val="bottom"/>
            <w:shd w:val="clear" w:color="auto" w:fill="CCEEFF"/>
          </w:tcPr>
          <w:p>
            <w:pPr>
              <w:spacing w:after="0"/>
              <w:rPr>
                <w:sz w:val="5"/>
                <w:szCs w:val="5"/>
                <w:color w:val="auto"/>
              </w:rPr>
            </w:pPr>
          </w:p>
        </w:tc>
        <w:tc>
          <w:tcPr>
            <w:tcW w:w="3420" w:type="dxa"/>
            <w:vAlign w:val="bottom"/>
            <w:vMerge w:val="restart"/>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chemotherapy combination</w:t>
            </w: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spacing w:after="0"/>
              <w:rPr>
                <w:sz w:val="15"/>
                <w:szCs w:val="15"/>
                <w:color w:val="auto"/>
              </w:rPr>
            </w:pPr>
          </w:p>
        </w:tc>
        <w:tc>
          <w:tcPr>
            <w:tcW w:w="16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carcinoma ("HCC")</w:t>
            </w:r>
          </w:p>
        </w:tc>
        <w:tc>
          <w:tcPr>
            <w:tcW w:w="4160" w:type="dxa"/>
            <w:vAlign w:val="bottom"/>
            <w:shd w:val="clear" w:color="auto" w:fill="CCEEFF"/>
          </w:tcPr>
          <w:p>
            <w:pPr>
              <w:spacing w:after="0"/>
              <w:rPr>
                <w:sz w:val="15"/>
                <w:szCs w:val="15"/>
                <w:color w:val="auto"/>
              </w:rPr>
            </w:pPr>
          </w:p>
        </w:tc>
        <w:tc>
          <w:tcPr>
            <w:tcW w:w="34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4160" w:type="dxa"/>
            <w:vAlign w:val="bottom"/>
            <w:shd w:val="clear" w:color="auto" w:fill="CCEEFF"/>
          </w:tcPr>
          <w:p>
            <w:pPr>
              <w:spacing w:after="0"/>
              <w:rPr>
                <w:sz w:val="15"/>
                <w:szCs w:val="15"/>
                <w:color w:val="auto"/>
              </w:rPr>
            </w:pPr>
          </w:p>
        </w:tc>
        <w:tc>
          <w:tcPr>
            <w:tcW w:w="3420" w:type="dxa"/>
            <w:vAlign w:val="bottom"/>
            <w:shd w:val="clear" w:color="auto" w:fill="CCEEFF"/>
          </w:tcPr>
          <w:p>
            <w:pPr>
              <w:ind w:left="1320"/>
              <w:spacing w:after="0" w:line="176" w:lineRule="exact"/>
              <w:rPr>
                <w:sz w:val="20"/>
                <w:szCs w:val="20"/>
                <w:color w:val="auto"/>
              </w:rPr>
            </w:pPr>
            <w:r>
              <w:rPr>
                <w:rFonts w:ascii="Times New Roman" w:cs="Times New Roman" w:eastAsia="Times New Roman" w:hAnsi="Times New Roman"/>
                <w:sz w:val="18"/>
                <w:szCs w:val="18"/>
                <w:color w:val="auto"/>
              </w:rPr>
              <w:t>(second half 2024)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369" w:right="359" w:bottom="1440" w:gutter="0" w:footer="0" w:header="0"/>
          <w:type w:val="continuous"/>
        </w:sectPr>
      </w:pPr>
    </w:p>
    <w:tbl>
      <w:tblPr>
        <w:tblLayout w:type="fixed"/>
        <w:tblInd w:w="60" w:type="dxa"/>
        <w:tblCellMar>
          <w:top w:w="0" w:type="dxa"/>
          <w:left w:w="0" w:type="dxa"/>
          <w:bottom w:w="0" w:type="dxa"/>
          <w:right w:w="0" w:type="dxa"/>
        </w:tblCellMar>
      </w:tblPr>
      <w:tr>
        <w:trPr>
          <w:trHeight w:val="180"/>
        </w:trPr>
        <w:tc>
          <w:tcPr>
            <w:tcW w:w="168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Fianlimab</w:t>
            </w:r>
            <w:r>
              <w:rPr>
                <w:rFonts w:ascii="Times New Roman" w:cs="Times New Roman" w:eastAsia="Times New Roman" w:hAnsi="Times New Roman"/>
                <w:sz w:val="20"/>
                <w:szCs w:val="20"/>
                <w:b w:val="1"/>
                <w:bCs w:val="1"/>
                <w:color w:val="auto"/>
                <w:vertAlign w:val="superscript"/>
              </w:rPr>
              <w:t>(f)</w:t>
            </w:r>
          </w:p>
        </w:tc>
        <w:tc>
          <w:tcPr>
            <w:tcW w:w="1880" w:type="dxa"/>
            <w:vAlign w:val="bottom"/>
          </w:tcPr>
          <w:p>
            <w:pPr>
              <w:ind w:left="320"/>
              <w:spacing w:after="0" w:line="180" w:lineRule="exact"/>
              <w:rPr>
                <w:sz w:val="20"/>
                <w:szCs w:val="20"/>
                <w:color w:val="auto"/>
              </w:rPr>
            </w:pPr>
            <w:r>
              <w:rPr>
                <w:rFonts w:ascii="Times New Roman" w:cs="Times New Roman" w:eastAsia="Times New Roman" w:hAnsi="Times New Roman"/>
                <w:sz w:val="18"/>
                <w:szCs w:val="18"/>
                <w:color w:val="auto"/>
              </w:rPr>
              <w:t>–First-line advanced</w:t>
            </w:r>
          </w:p>
        </w:tc>
        <w:tc>
          <w:tcPr>
            <w:tcW w:w="1620" w:type="dxa"/>
            <w:vAlign w:val="bottom"/>
          </w:tcPr>
          <w:p>
            <w:pPr>
              <w:ind w:left="100"/>
              <w:spacing w:after="0" w:line="180" w:lineRule="exact"/>
              <w:rPr>
                <w:sz w:val="20"/>
                <w:szCs w:val="20"/>
                <w:color w:val="auto"/>
              </w:rPr>
            </w:pPr>
            <w:r>
              <w:rPr>
                <w:rFonts w:ascii="Times New Roman" w:cs="Times New Roman" w:eastAsia="Times New Roman" w:hAnsi="Times New Roman"/>
                <w:sz w:val="18"/>
                <w:szCs w:val="18"/>
                <w:color w:val="auto"/>
                <w:w w:val="98"/>
              </w:rPr>
              <w:t>–First-line metastatic</w:t>
            </w:r>
          </w:p>
        </w:tc>
      </w:tr>
      <w:tr>
        <w:trPr>
          <w:trHeight w:val="184"/>
        </w:trPr>
        <w:tc>
          <w:tcPr>
            <w:tcW w:w="16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(REGN3767)</w:t>
            </w:r>
          </w:p>
        </w:tc>
        <w:tc>
          <w:tcPr>
            <w:tcW w:w="188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NSCLC (Phase 2/3)</w:t>
            </w:r>
          </w:p>
        </w:tc>
        <w:tc>
          <w:tcPr>
            <w:tcW w:w="1620" w:type="dxa"/>
            <w:vAlign w:val="bottom"/>
          </w:tcPr>
          <w:p>
            <w:pPr>
              <w:ind w:left="100"/>
              <w:spacing w:after="0" w:line="185" w:lineRule="exact"/>
              <w:rPr>
                <w:sz w:val="20"/>
                <w:szCs w:val="20"/>
                <w:color w:val="auto"/>
              </w:rPr>
            </w:pPr>
            <w:r>
              <w:rPr>
                <w:rFonts w:ascii="Times New Roman" w:cs="Times New Roman" w:eastAsia="Times New Roman" w:hAnsi="Times New Roman"/>
                <w:sz w:val="17"/>
                <w:szCs w:val="17"/>
                <w:color w:val="auto"/>
              </w:rPr>
              <w:t>melanoma</w:t>
            </w:r>
            <w:r>
              <w:rPr>
                <w:rFonts w:ascii="Times New Roman" w:cs="Times New Roman" w:eastAsia="Times New Roman" w:hAnsi="Times New Roman"/>
                <w:sz w:val="21"/>
                <w:szCs w:val="21"/>
                <w:color w:val="auto"/>
                <w:vertAlign w:val="superscript"/>
              </w:rPr>
              <w:t>(e)</w:t>
            </w:r>
          </w:p>
        </w:tc>
      </w:tr>
      <w:tr>
        <w:trPr>
          <w:trHeight w:val="236"/>
        </w:trPr>
        <w:tc>
          <w:tcPr>
            <w:tcW w:w="1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Antibody to LAG-3</w:t>
            </w:r>
          </w:p>
        </w:tc>
        <w:tc>
          <w:tcPr>
            <w:tcW w:w="18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182"/>
        </w:trPr>
        <w:tc>
          <w:tcPr>
            <w:tcW w:w="1680" w:type="dxa"/>
            <w:vAlign w:val="bottom"/>
          </w:tcPr>
          <w:p>
            <w:pPr>
              <w:spacing w:after="0"/>
              <w:rPr>
                <w:sz w:val="15"/>
                <w:szCs w:val="15"/>
                <w:color w:val="auto"/>
              </w:rPr>
            </w:pPr>
          </w:p>
        </w:tc>
        <w:tc>
          <w:tcPr>
            <w:tcW w:w="1880" w:type="dxa"/>
            <w:vAlign w:val="bottom"/>
          </w:tcPr>
          <w:p>
            <w:pPr>
              <w:ind w:left="320"/>
              <w:spacing w:after="0" w:line="182" w:lineRule="exact"/>
              <w:rPr>
                <w:sz w:val="20"/>
                <w:szCs w:val="20"/>
                <w:color w:val="auto"/>
              </w:rPr>
            </w:pPr>
            <w:r>
              <w:rPr>
                <w:rFonts w:ascii="Times New Roman" w:cs="Times New Roman" w:eastAsia="Times New Roman" w:hAnsi="Times New Roman"/>
                <w:sz w:val="18"/>
                <w:szCs w:val="18"/>
                <w:color w:val="auto"/>
              </w:rPr>
              <w:t>–Perioperative</w:t>
            </w:r>
          </w:p>
        </w:tc>
        <w:tc>
          <w:tcPr>
            <w:tcW w:w="162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–First-line adjuvant</w:t>
            </w:r>
          </w:p>
        </w:tc>
      </w:tr>
      <w:tr>
        <w:trPr>
          <w:trHeight w:val="234"/>
        </w:trPr>
        <w:tc>
          <w:tcPr>
            <w:tcW w:w="1680" w:type="dxa"/>
            <w:vAlign w:val="bottom"/>
          </w:tcPr>
          <w:p>
            <w:pPr>
              <w:spacing w:after="0"/>
              <w:rPr>
                <w:sz w:val="20"/>
                <w:szCs w:val="20"/>
                <w:color w:val="auto"/>
              </w:rPr>
            </w:pPr>
          </w:p>
        </w:tc>
        <w:tc>
          <w:tcPr>
            <w:tcW w:w="1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NSCLC</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melanoma</w:t>
            </w:r>
          </w:p>
        </w:tc>
      </w:tr>
      <w:tr>
        <w:trPr>
          <w:trHeight w:val="373"/>
        </w:trPr>
        <w:tc>
          <w:tcPr>
            <w:tcW w:w="1680" w:type="dxa"/>
            <w:vAlign w:val="bottom"/>
          </w:tcPr>
          <w:p>
            <w:pPr>
              <w:spacing w:after="0"/>
              <w:rPr>
                <w:sz w:val="24"/>
                <w:szCs w:val="24"/>
                <w:color w:val="auto"/>
              </w:rPr>
            </w:pPr>
          </w:p>
        </w:tc>
        <w:tc>
          <w:tcPr>
            <w:tcW w:w="1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–Perioperative</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–First-line metastatic</w:t>
            </w:r>
          </w:p>
        </w:tc>
      </w:tr>
      <w:tr>
        <w:trPr>
          <w:trHeight w:val="175"/>
        </w:trPr>
        <w:tc>
          <w:tcPr>
            <w:tcW w:w="1680" w:type="dxa"/>
            <w:vAlign w:val="bottom"/>
          </w:tcPr>
          <w:p>
            <w:pPr>
              <w:spacing w:after="0"/>
              <w:rPr>
                <w:sz w:val="15"/>
                <w:szCs w:val="15"/>
                <w:color w:val="auto"/>
              </w:rPr>
            </w:pPr>
          </w:p>
        </w:tc>
        <w:tc>
          <w:tcPr>
            <w:tcW w:w="188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melanoma (Phase</w:t>
            </w:r>
          </w:p>
        </w:tc>
        <w:tc>
          <w:tcPr>
            <w:tcW w:w="162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w w:val="98"/>
              </w:rPr>
              <w:t>melanoma versus the</w:t>
            </w:r>
          </w:p>
        </w:tc>
      </w:tr>
      <w:tr>
        <w:trPr>
          <w:trHeight w:val="184"/>
        </w:trPr>
        <w:tc>
          <w:tcPr>
            <w:tcW w:w="1680" w:type="dxa"/>
            <w:vAlign w:val="bottom"/>
          </w:tcPr>
          <w:p>
            <w:pPr>
              <w:spacing w:after="0"/>
              <w:rPr>
                <w:sz w:val="16"/>
                <w:szCs w:val="16"/>
                <w:color w:val="auto"/>
              </w:rPr>
            </w:pPr>
          </w:p>
        </w:tc>
        <w:tc>
          <w:tcPr>
            <w:tcW w:w="188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2/3)</w:t>
            </w:r>
          </w:p>
        </w:tc>
        <w:tc>
          <w:tcPr>
            <w:tcW w:w="162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combination of</w:t>
            </w:r>
          </w:p>
        </w:tc>
      </w:tr>
      <w:tr>
        <w:trPr>
          <w:trHeight w:val="180"/>
        </w:trPr>
        <w:tc>
          <w:tcPr>
            <w:tcW w:w="16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relatlimab and</w:t>
            </w:r>
          </w:p>
        </w:tc>
      </w:tr>
      <w:tr>
        <w:trPr>
          <w:trHeight w:val="234"/>
        </w:trPr>
        <w:tc>
          <w:tcPr>
            <w:tcW w:w="16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nivolumab</w:t>
            </w:r>
          </w:p>
        </w:tc>
      </w:tr>
    </w:tbl>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Times New Roman" w:cs="Times New Roman" w:eastAsia="Times New Roman" w:hAnsi="Times New Roman"/>
          <w:sz w:val="18"/>
          <w:szCs w:val="18"/>
          <w:color w:val="auto"/>
        </w:rPr>
        <w:t>–Initiate Phase 2 study (in</w:t>
      </w:r>
    </w:p>
    <w:p>
      <w:pPr>
        <w:spacing w:after="0" w:line="204" w:lineRule="auto"/>
        <w:rPr>
          <w:sz w:val="20"/>
          <w:szCs w:val="20"/>
          <w:color w:val="auto"/>
        </w:rPr>
      </w:pPr>
      <w:r>
        <w:rPr>
          <w:rFonts w:ascii="Times New Roman" w:cs="Times New Roman" w:eastAsia="Times New Roman" w:hAnsi="Times New Roman"/>
          <w:sz w:val="18"/>
          <w:szCs w:val="18"/>
          <w:color w:val="auto"/>
        </w:rPr>
        <w:t>combination with Libtayo)</w:t>
      </w:r>
    </w:p>
    <w:p>
      <w:pPr>
        <w:spacing w:after="0" w:line="203" w:lineRule="auto"/>
        <w:rPr>
          <w:sz w:val="20"/>
          <w:szCs w:val="20"/>
          <w:color w:val="auto"/>
        </w:rPr>
      </w:pPr>
      <w:r>
        <w:rPr>
          <w:rFonts w:ascii="Times New Roman" w:cs="Times New Roman" w:eastAsia="Times New Roman" w:hAnsi="Times New Roman"/>
          <w:sz w:val="18"/>
          <w:szCs w:val="18"/>
          <w:color w:val="auto"/>
        </w:rPr>
        <w:t>in perioperative head and</w:t>
      </w:r>
    </w:p>
    <w:p>
      <w:pPr>
        <w:spacing w:after="0" w:line="219" w:lineRule="auto"/>
        <w:rPr>
          <w:sz w:val="20"/>
          <w:szCs w:val="20"/>
          <w:color w:val="auto"/>
        </w:rPr>
      </w:pPr>
      <w:r>
        <w:rPr>
          <w:rFonts w:ascii="Times New Roman" w:cs="Times New Roman" w:eastAsia="Times New Roman" w:hAnsi="Times New Roman"/>
          <w:sz w:val="18"/>
          <w:szCs w:val="18"/>
          <w:color w:val="auto"/>
        </w:rPr>
        <w:t>neck squamous cell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carcinoma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results from Phase</w:t>
      </w:r>
    </w:p>
    <w:p>
      <w:pPr>
        <w:spacing w:after="0" w:line="219" w:lineRule="auto"/>
        <w:rPr>
          <w:sz w:val="20"/>
          <w:szCs w:val="20"/>
          <w:color w:val="auto"/>
        </w:rPr>
      </w:pPr>
      <w:r>
        <w:rPr>
          <w:rFonts w:ascii="Times New Roman" w:cs="Times New Roman" w:eastAsia="Times New Roman" w:hAnsi="Times New Roman"/>
          <w:sz w:val="18"/>
          <w:szCs w:val="18"/>
          <w:color w:val="auto"/>
        </w:rPr>
        <w:t>3 study in first-line</w:t>
      </w:r>
    </w:p>
    <w:p>
      <w:pPr>
        <w:spacing w:after="0"/>
        <w:rPr>
          <w:sz w:val="20"/>
          <w:szCs w:val="20"/>
          <w:color w:val="auto"/>
        </w:rPr>
      </w:pPr>
      <w:r>
        <w:rPr>
          <w:rFonts w:ascii="Times New Roman" w:cs="Times New Roman" w:eastAsia="Times New Roman" w:hAnsi="Times New Roman"/>
          <w:sz w:val="17"/>
          <w:szCs w:val="17"/>
          <w:color w:val="auto"/>
        </w:rPr>
        <w:t>metastatic melanoma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initial data from</w:t>
      </w:r>
    </w:p>
    <w:p>
      <w:pPr>
        <w:spacing w:after="0" w:line="219" w:lineRule="auto"/>
        <w:rPr>
          <w:sz w:val="20"/>
          <w:szCs w:val="20"/>
          <w:color w:val="auto"/>
        </w:rPr>
      </w:pPr>
      <w:r>
        <w:rPr>
          <w:rFonts w:ascii="Times New Roman" w:cs="Times New Roman" w:eastAsia="Times New Roman" w:hAnsi="Times New Roman"/>
          <w:sz w:val="18"/>
          <w:szCs w:val="18"/>
          <w:color w:val="auto"/>
        </w:rPr>
        <w:t>Phase 2/3 study in first-line</w:t>
      </w:r>
    </w:p>
    <w:p>
      <w:pPr>
        <w:spacing w:after="0" w:line="203" w:lineRule="auto"/>
        <w:rPr>
          <w:sz w:val="20"/>
          <w:szCs w:val="20"/>
          <w:color w:val="auto"/>
        </w:rPr>
      </w:pPr>
      <w:r>
        <w:rPr>
          <w:rFonts w:ascii="Times New Roman" w:cs="Times New Roman" w:eastAsia="Times New Roman" w:hAnsi="Times New Roman"/>
          <w:sz w:val="18"/>
          <w:szCs w:val="18"/>
          <w:color w:val="auto"/>
        </w:rPr>
        <w:t>advanced NSCLC (fourth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2024)</w:t>
      </w:r>
    </w:p>
    <w:p>
      <w:pPr>
        <w:spacing w:after="0" w:line="200" w:lineRule="exact"/>
        <w:rPr>
          <w:sz w:val="20"/>
          <w:szCs w:val="20"/>
          <w:color w:val="auto"/>
        </w:rPr>
      </w:pPr>
    </w:p>
    <w:p>
      <w:pPr>
        <w:sectPr>
          <w:pgSz w:w="11900" w:h="16838" w:orient="portrait"/>
          <w:cols w:equalWidth="0" w:num="2">
            <w:col w:w="8400" w:space="720"/>
            <w:col w:w="2100"/>
          </w:cols>
          <w:pgMar w:left="320" w:top="369" w:right="359" w:bottom="1440" w:gutter="0" w:footer="0" w:header="0"/>
          <w:type w:val="continuous"/>
        </w:sect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100"/>
          </w:cols>
          <w:pgMar w:left="320" w:top="36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9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0" w:type="dxa"/>
            <w:vAlign w:val="bottom"/>
          </w:tcPr>
          <w:p>
            <w:pPr>
              <w:spacing w:after="0"/>
              <w:rPr>
                <w:sz w:val="1"/>
                <w:szCs w:val="1"/>
                <w:color w:val="auto"/>
              </w:rPr>
            </w:pPr>
          </w:p>
        </w:tc>
      </w:tr>
      <w:tr>
        <w:trPr>
          <w:trHeight w:val="240"/>
        </w:trPr>
        <w:tc>
          <w:tcPr>
            <w:tcW w:w="19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640" w:type="dxa"/>
            <w:vAlign w:val="bottom"/>
            <w:gridSpan w:val="2"/>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620" w:type="dxa"/>
            <w:vAlign w:val="bottom"/>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0" w:type="dxa"/>
            <w:vAlign w:val="bottom"/>
          </w:tcPr>
          <w:p>
            <w:pPr>
              <w:spacing w:after="0"/>
              <w:rPr>
                <w:sz w:val="1"/>
                <w:szCs w:val="1"/>
                <w:color w:val="auto"/>
              </w:rPr>
            </w:pPr>
          </w:p>
        </w:tc>
      </w:tr>
      <w:tr>
        <w:trPr>
          <w:trHeight w:val="176"/>
        </w:trPr>
        <w:tc>
          <w:tcPr>
            <w:tcW w:w="1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Vidutolimod</w:t>
            </w:r>
          </w:p>
        </w:tc>
        <w:tc>
          <w:tcPr>
            <w:tcW w:w="8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Immune activator</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TLR9</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9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Ubamatamab</w:t>
            </w:r>
            <w:r>
              <w:rPr>
                <w:rFonts w:ascii="Times New Roman" w:cs="Times New Roman" w:eastAsia="Times New Roman" w:hAnsi="Times New Roman"/>
                <w:sz w:val="21"/>
                <w:szCs w:val="21"/>
                <w:b w:val="1"/>
                <w:bCs w:val="1"/>
                <w:color w:val="auto"/>
                <w:vertAlign w:val="superscript"/>
              </w:rPr>
              <w:t>(f)</w:t>
            </w:r>
          </w:p>
        </w:tc>
        <w:tc>
          <w:tcPr>
            <w:tcW w:w="16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–Platinum-resistant</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(REGN4018)</w:t>
            </w:r>
          </w:p>
        </w:tc>
        <w:tc>
          <w:tcPr>
            <w:tcW w:w="1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ovarian cancer</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targeting MUC16 and</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CD3</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9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Nezastomig</w:t>
            </w:r>
          </w:p>
        </w:tc>
        <w:tc>
          <w:tcPr>
            <w:tcW w:w="16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–Prostate cancer</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(REGN5678)</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targeting PSMA and</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9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REGN7075</w:t>
            </w:r>
          </w:p>
        </w:tc>
        <w:tc>
          <w:tcPr>
            <w:tcW w:w="16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–Solid tumors</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9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EGFR and</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-1101090</wp:posOffset>
            </wp:positionV>
            <wp:extent cx="7098030" cy="6083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60833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-2095500</wp:posOffset>
            </wp:positionV>
            <wp:extent cx="7098030" cy="386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38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Hematology</w:t>
            </w:r>
          </w:p>
        </w:tc>
        <w:tc>
          <w:tcPr>
            <w:tcW w:w="0" w:type="dxa"/>
            <w:vAlign w:val="bottom"/>
          </w:tcPr>
          <w:p>
            <w:pPr>
              <w:spacing w:after="0"/>
              <w:rPr>
                <w:sz w:val="1"/>
                <w:szCs w:val="1"/>
                <w:color w:val="auto"/>
              </w:rPr>
            </w:pPr>
          </w:p>
        </w:tc>
      </w:tr>
      <w:tr>
        <w:trPr>
          <w:trHeight w:val="234"/>
        </w:trPr>
        <w:tc>
          <w:tcPr>
            <w:tcW w:w="1900" w:type="dxa"/>
            <w:vAlign w:val="bottom"/>
          </w:tcPr>
          <w:p>
            <w:pPr>
              <w:spacing w:after="0" w:line="234" w:lineRule="exact"/>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p>
        </w:tc>
        <w:tc>
          <w:tcPr>
            <w:tcW w:w="1640" w:type="dxa"/>
            <w:vAlign w:val="bottom"/>
          </w:tcPr>
          <w:p>
            <w:pPr>
              <w:spacing w:after="0"/>
              <w:rPr>
                <w:sz w:val="20"/>
                <w:szCs w:val="20"/>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–Myasthenia gravis,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90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(REGN3918)</w:t>
            </w:r>
          </w:p>
        </w:tc>
        <w:tc>
          <w:tcPr>
            <w:tcW w:w="1640" w:type="dxa"/>
            <w:vAlign w:val="bottom"/>
          </w:tcPr>
          <w:p>
            <w:pPr>
              <w:spacing w:after="0"/>
              <w:rPr>
                <w:sz w:val="16"/>
                <w:szCs w:val="16"/>
                <w:color w:val="auto"/>
              </w:rPr>
            </w:pPr>
          </w:p>
        </w:tc>
        <w:tc>
          <w:tcPr>
            <w:tcW w:w="17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cemdisiran</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1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Antibody to C5</w:t>
            </w:r>
          </w:p>
        </w:tc>
        <w:tc>
          <w:tcPr>
            <w:tcW w:w="164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(c)(l)</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–Paroxysmal</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nocturnal</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hemoglobinuria</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("PNH"), cemdisiran</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Odronextamab</w:t>
            </w:r>
            <w:r>
              <w:rPr>
                <w:rFonts w:ascii="Times New Roman" w:cs="Times New Roman" w:eastAsia="Times New Roman" w:hAnsi="Times New Roman"/>
                <w:sz w:val="23"/>
                <w:szCs w:val="23"/>
                <w:b w:val="1"/>
                <w:bCs w:val="1"/>
                <w:color w:val="auto"/>
                <w:vertAlign w:val="superscript"/>
              </w:rPr>
              <w:t>(m)</w:t>
            </w:r>
          </w:p>
        </w:tc>
        <w:tc>
          <w:tcPr>
            <w:tcW w:w="1640" w:type="dxa"/>
            <w:vAlign w:val="bottom"/>
          </w:tcPr>
          <w:p>
            <w:pPr>
              <w:spacing w:after="0"/>
              <w:rPr>
                <w:sz w:val="20"/>
                <w:szCs w:val="20"/>
                <w:color w:val="auto"/>
              </w:rPr>
            </w:pPr>
          </w:p>
        </w:tc>
        <w:tc>
          <w:tcPr>
            <w:tcW w:w="1760" w:type="dxa"/>
            <w:vAlign w:val="bottom"/>
          </w:tcPr>
          <w:p>
            <w:pPr>
              <w:ind w:left="80"/>
              <w:spacing w:after="0" w:line="233" w:lineRule="exact"/>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(c)(l)</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900" w:type="dxa"/>
            <w:vAlign w:val="bottom"/>
            <w:vMerge w:val="continue"/>
          </w:tcPr>
          <w:p>
            <w:pPr>
              <w:spacing w:after="0"/>
              <w:rPr>
                <w:sz w:val="16"/>
                <w:szCs w:val="16"/>
                <w:color w:val="auto"/>
              </w:rPr>
            </w:pPr>
          </w:p>
        </w:tc>
        <w:tc>
          <w:tcPr>
            <w:tcW w:w="1640" w:type="dxa"/>
            <w:vAlign w:val="bottom"/>
          </w:tcPr>
          <w:p>
            <w:pPr>
              <w:ind w:left="80"/>
              <w:spacing w:after="0" w:line="185" w:lineRule="exact"/>
              <w:rPr>
                <w:sz w:val="20"/>
                <w:szCs w:val="20"/>
                <w:color w:val="auto"/>
              </w:rPr>
            </w:pPr>
            <w:r>
              <w:rPr>
                <w:rFonts w:ascii="Times New Roman" w:cs="Times New Roman" w:eastAsia="Times New Roman" w:hAnsi="Times New Roman"/>
                <w:sz w:val="18"/>
                <w:szCs w:val="18"/>
                <w:color w:val="auto"/>
              </w:rPr>
              <w:t>–B-cell non-</w:t>
            </w:r>
          </w:p>
        </w:tc>
        <w:tc>
          <w:tcPr>
            <w:tcW w:w="1760" w:type="dxa"/>
            <w:vAlign w:val="bottom"/>
          </w:tcPr>
          <w:p>
            <w:pPr>
              <w:ind w:left="80"/>
              <w:spacing w:after="0" w:line="185" w:lineRule="exact"/>
              <w:rPr>
                <w:sz w:val="20"/>
                <w:szCs w:val="20"/>
                <w:color w:val="auto"/>
              </w:rPr>
            </w:pPr>
            <w:r>
              <w:rPr>
                <w:rFonts w:ascii="Times New Roman" w:cs="Times New Roman" w:eastAsia="Times New Roman" w:hAnsi="Times New Roman"/>
                <w:sz w:val="18"/>
                <w:szCs w:val="18"/>
                <w:color w:val="auto"/>
              </w:rPr>
              <w:t>–Follicular lymphoma</w:t>
            </w:r>
          </w:p>
        </w:tc>
        <w:tc>
          <w:tcPr>
            <w:tcW w:w="162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color w:val="auto"/>
              </w:rPr>
              <w:t>–Relapsed/refractory</w:t>
            </w:r>
          </w:p>
        </w:tc>
        <w:tc>
          <w:tcPr>
            <w:tcW w:w="0" w:type="dxa"/>
            <w:vAlign w:val="bottom"/>
          </w:tcPr>
          <w:p>
            <w:pPr>
              <w:spacing w:after="0"/>
              <w:rPr>
                <w:sz w:val="1"/>
                <w:szCs w:val="1"/>
                <w:color w:val="auto"/>
              </w:rPr>
            </w:pPr>
          </w:p>
        </w:tc>
      </w:tr>
      <w:tr>
        <w:trPr>
          <w:trHeight w:val="184"/>
        </w:trPr>
        <w:tc>
          <w:tcPr>
            <w:tcW w:w="190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(REGN1979)</w:t>
            </w:r>
          </w:p>
        </w:tc>
        <w:tc>
          <w:tcPr>
            <w:tcW w:w="16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Hodgkin lymphoma</w:t>
            </w:r>
          </w:p>
        </w:tc>
        <w:tc>
          <w:tcPr>
            <w:tcW w:w="17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("FL")</w:t>
            </w:r>
          </w:p>
        </w:tc>
        <w:tc>
          <w:tcPr>
            <w:tcW w:w="162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w w:val="99"/>
              </w:rPr>
              <w:t>FL and DLBCL (EU)</w:t>
            </w:r>
          </w:p>
        </w:tc>
        <w:tc>
          <w:tcPr>
            <w:tcW w:w="0" w:type="dxa"/>
            <w:vAlign w:val="bottom"/>
          </w:tcPr>
          <w:p>
            <w:pPr>
              <w:spacing w:after="0"/>
              <w:rPr>
                <w:sz w:val="1"/>
                <w:szCs w:val="1"/>
                <w:color w:val="auto"/>
              </w:rPr>
            </w:pPr>
          </w:p>
        </w:tc>
      </w:tr>
      <w:tr>
        <w:trPr>
          <w:trHeight w:val="175"/>
        </w:trPr>
        <w:tc>
          <w:tcPr>
            <w:tcW w:w="1900" w:type="dxa"/>
            <w:vAlign w:val="bottom"/>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6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("B-NHL") (pivotal</w:t>
            </w: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targeting CD20 and CD3</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study)</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–Diffuse large B-cell</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60" w:type="dxa"/>
            <w:vAlign w:val="bottom"/>
          </w:tcPr>
          <w:p>
            <w:pPr>
              <w:ind w:left="80"/>
              <w:spacing w:after="0" w:line="204" w:lineRule="exact"/>
              <w:rPr>
                <w:sz w:val="20"/>
                <w:szCs w:val="20"/>
                <w:color w:val="auto"/>
              </w:rPr>
            </w:pPr>
            <w:r>
              <w:rPr>
                <w:rFonts w:ascii="Times New Roman" w:cs="Times New Roman" w:eastAsia="Times New Roman" w:hAnsi="Times New Roman"/>
                <w:sz w:val="18"/>
                <w:szCs w:val="18"/>
                <w:color w:val="auto"/>
              </w:rPr>
              <w:t>lymphoma</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-1911985</wp:posOffset>
            </wp:positionV>
            <wp:extent cx="7098030" cy="128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1285875"/>
                    </a:xfrm>
                    <a:prstGeom prst="rect">
                      <a:avLst/>
                    </a:prstGeom>
                    <a:noFill/>
                  </pic:spPr>
                </pic:pic>
              </a:graphicData>
            </a:graphic>
          </wp:anchor>
        </w:drawing>
      </w:r>
    </w:p>
    <w:p>
      <w:pPr>
        <w:ind w:left="3680"/>
        <w:spacing w:after="0"/>
        <w:rPr>
          <w:sz w:val="20"/>
          <w:szCs w:val="20"/>
          <w:color w:val="auto"/>
        </w:rPr>
      </w:pPr>
      <w:r>
        <w:rPr>
          <w:rFonts w:ascii="Times New Roman" w:cs="Times New Roman" w:eastAsia="Times New Roman" w:hAnsi="Times New Roman"/>
          <w:sz w:val="18"/>
          <w:szCs w:val="18"/>
          <w:color w:val="auto"/>
        </w:rPr>
        <w:t>("DLBCL")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2024 Events to Date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discontinued</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Phase 2 study due to drug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positive</w:t>
      </w:r>
    </w:p>
    <w:p>
      <w:pPr>
        <w:spacing w:after="0" w:line="2" w:lineRule="exact"/>
        <w:rPr>
          <w:sz w:val="20"/>
          <w:szCs w:val="20"/>
          <w:color w:val="auto"/>
        </w:rPr>
      </w:pPr>
    </w:p>
    <w:p>
      <w:pPr>
        <w:ind w:right="360"/>
        <w:spacing w:after="0" w:line="208" w:lineRule="auto"/>
        <w:rPr>
          <w:sz w:val="20"/>
          <w:szCs w:val="20"/>
          <w:color w:val="auto"/>
        </w:rPr>
      </w:pPr>
      <w:r>
        <w:rPr>
          <w:rFonts w:ascii="Times New Roman" w:cs="Times New Roman" w:eastAsia="Times New Roman" w:hAnsi="Times New Roman"/>
          <w:sz w:val="18"/>
          <w:szCs w:val="18"/>
          <w:color w:val="auto"/>
        </w:rPr>
        <w:t>results from dose escalation portion of Phase 1/2 trial (in</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combination with Libtayo) in advanced solid tumors at American</w:t>
      </w:r>
    </w:p>
    <w:p>
      <w:pPr>
        <w:spacing w:after="0" w:line="2" w:lineRule="exact"/>
        <w:rPr>
          <w:sz w:val="20"/>
          <w:szCs w:val="20"/>
          <w:color w:val="auto"/>
        </w:rPr>
      </w:pPr>
    </w:p>
    <w:p>
      <w:pPr>
        <w:ind w:right="260"/>
        <w:spacing w:after="0" w:line="231" w:lineRule="auto"/>
        <w:rPr>
          <w:sz w:val="20"/>
          <w:szCs w:val="20"/>
          <w:color w:val="auto"/>
        </w:rPr>
      </w:pPr>
      <w:r>
        <w:rPr>
          <w:rFonts w:ascii="Times New Roman" w:cs="Times New Roman" w:eastAsia="Times New Roman" w:hAnsi="Times New Roman"/>
          <w:sz w:val="17"/>
          <w:szCs w:val="17"/>
          <w:color w:val="auto"/>
        </w:rPr>
        <w:t>Society of Clinical Oncology ("ASCO") 2024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–FDA issued Complete</w:t>
      </w:r>
    </w:p>
    <w:p>
      <w:pPr>
        <w:spacing w:after="0" w:line="2"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7"/>
          <w:szCs w:val="17"/>
          <w:color w:val="auto"/>
        </w:rPr>
        <w:t>Response Letters ("CRLs") for BLA for relapsed/refractory FL</w:t>
      </w:r>
    </w:p>
    <w:p>
      <w:pPr>
        <w:spacing w:after="0" w:line="2" w:lineRule="exact"/>
        <w:rPr>
          <w:sz w:val="20"/>
          <w:szCs w:val="20"/>
          <w:color w:val="auto"/>
        </w:rPr>
      </w:pPr>
    </w:p>
    <w:p>
      <w:pPr>
        <w:ind w:right="300"/>
        <w:spacing w:after="0" w:line="220" w:lineRule="auto"/>
        <w:rPr>
          <w:sz w:val="20"/>
          <w:szCs w:val="20"/>
          <w:color w:val="auto"/>
        </w:rPr>
      </w:pPr>
      <w:r>
        <w:rPr>
          <w:rFonts w:ascii="Times New Roman" w:cs="Times New Roman" w:eastAsia="Times New Roman" w:hAnsi="Times New Roman"/>
          <w:sz w:val="17"/>
          <w:szCs w:val="17"/>
          <w:color w:val="auto"/>
        </w:rPr>
        <w:t>and DLBCL due to enrollment status of confirmatory Phase 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trials</w:t>
      </w:r>
    </w:p>
    <w:p>
      <w:pPr>
        <w:spacing w:after="0" w:line="192"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17"/>
          <w:szCs w:val="17"/>
          <w:color w:val="auto"/>
        </w:rPr>
        <w:t>–European Medicines Agency's ("EMA")</w:t>
      </w: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Committee for Medicinal Products for Human Use ("CHMP") adopted</w:t>
      </w:r>
    </w:p>
    <w:p>
      <w:pPr>
        <w:spacing w:after="0" w:line="2" w:lineRule="exact"/>
        <w:rPr>
          <w:sz w:val="20"/>
          <w:szCs w:val="20"/>
          <w:color w:val="auto"/>
        </w:rPr>
      </w:pPr>
    </w:p>
    <w:p>
      <w:pPr>
        <w:ind w:right="240"/>
        <w:spacing w:after="0" w:line="218" w:lineRule="auto"/>
        <w:rPr>
          <w:sz w:val="20"/>
          <w:szCs w:val="20"/>
          <w:color w:val="auto"/>
        </w:rPr>
      </w:pPr>
      <w:r>
        <w:rPr>
          <w:rFonts w:ascii="Times New Roman" w:cs="Times New Roman" w:eastAsia="Times New Roman" w:hAnsi="Times New Roman"/>
          <w:sz w:val="18"/>
          <w:szCs w:val="18"/>
          <w:color w:val="auto"/>
        </w:rPr>
        <w:t>positive opinion for relapsed/refractory FL and DLBCL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 Upcoming</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–EC decision on Marketing Authorization Application</w:t>
      </w:r>
    </w:p>
    <w:p>
      <w:pPr>
        <w:spacing w:after="0" w:line="203" w:lineRule="auto"/>
        <w:rPr>
          <w:sz w:val="20"/>
          <w:szCs w:val="20"/>
          <w:color w:val="auto"/>
        </w:rPr>
      </w:pPr>
      <w:r>
        <w:rPr>
          <w:rFonts w:ascii="Times New Roman" w:cs="Times New Roman" w:eastAsia="Times New Roman" w:hAnsi="Times New Roman"/>
          <w:sz w:val="18"/>
          <w:szCs w:val="18"/>
          <w:color w:val="auto"/>
        </w:rPr>
        <w:t>("MAA") for</w:t>
      </w:r>
    </w:p>
    <w:p>
      <w:pPr>
        <w:spacing w:after="0" w:line="204" w:lineRule="auto"/>
        <w:rPr>
          <w:sz w:val="20"/>
          <w:szCs w:val="20"/>
          <w:color w:val="auto"/>
        </w:rPr>
      </w:pPr>
      <w:r>
        <w:rPr>
          <w:rFonts w:ascii="Times New Roman" w:cs="Times New Roman" w:eastAsia="Times New Roman" w:hAnsi="Times New Roman"/>
          <w:sz w:val="18"/>
          <w:szCs w:val="18"/>
          <w:color w:val="auto"/>
        </w:rPr>
        <w:t>relapsed/refractory FL and</w:t>
      </w:r>
    </w:p>
    <w:p>
      <w:pPr>
        <w:spacing w:after="0"/>
        <w:rPr>
          <w:sz w:val="20"/>
          <w:szCs w:val="20"/>
          <w:color w:val="auto"/>
        </w:rPr>
      </w:pPr>
      <w:r>
        <w:rPr>
          <w:rFonts w:ascii="Times New Roman" w:cs="Times New Roman" w:eastAsia="Times New Roman" w:hAnsi="Times New Roman"/>
          <w:sz w:val="17"/>
          <w:szCs w:val="17"/>
          <w:color w:val="auto"/>
        </w:rPr>
        <w:t>DLBCL (second half 2024)</w:t>
      </w:r>
    </w:p>
    <w:p>
      <w:pPr>
        <w:sectPr>
          <w:pgSz w:w="11900" w:h="16838" w:orient="portrait"/>
          <w:cols w:equalWidth="0" w:num="3">
            <w:col w:w="7020" w:space="100"/>
            <w:col w:w="1840" w:space="160"/>
            <w:col w:w="1980"/>
          </w:cols>
          <w:pgMar w:left="320" w:top="369" w:right="47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9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6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2024 Events to Date</w:t>
            </w:r>
          </w:p>
        </w:tc>
        <w:tc>
          <w:tcPr>
            <w:tcW w:w="80" w:type="dxa"/>
            <w:vAlign w:val="bottom"/>
            <w:vMerge w:val="restart"/>
          </w:tcPr>
          <w:p>
            <w:pPr>
              <w:spacing w:after="0"/>
              <w:rPr>
                <w:sz w:val="17"/>
                <w:szCs w:val="17"/>
                <w:color w:val="auto"/>
              </w:rPr>
            </w:pPr>
          </w:p>
        </w:tc>
        <w:tc>
          <w:tcPr>
            <w:tcW w:w="21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9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0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8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1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9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Linvoseltamab</w:t>
            </w:r>
            <w:r>
              <w:rPr>
                <w:rFonts w:ascii="Times New Roman" w:cs="Times New Roman" w:eastAsia="Times New Roman" w:hAnsi="Times New Roman"/>
                <w:sz w:val="23"/>
                <w:szCs w:val="23"/>
                <w:b w:val="1"/>
                <w:bCs w:val="1"/>
                <w:color w:val="auto"/>
                <w:vertAlign w:val="superscript"/>
              </w:rPr>
              <w:t>(f)</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–Multiple myeloma</w:t>
            </w: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–Multiple myeloma</w:t>
            </w:r>
            <w:r>
              <w:rPr>
                <w:rFonts w:ascii="Times New Roman" w:cs="Times New Roman" w:eastAsia="Times New Roman" w:hAnsi="Times New Roman"/>
                <w:sz w:val="23"/>
                <w:szCs w:val="23"/>
                <w:color w:val="auto"/>
                <w:vertAlign w:val="superscript"/>
              </w:rPr>
              <w:t>(c)</w:t>
            </w: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–Relapsed/refractory</w:t>
            </w: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–Presented 14-month</w:t>
            </w: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 decision on BLA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(REGN5458)</w:t>
            </w:r>
          </w:p>
        </w:tc>
        <w:tc>
          <w:tcPr>
            <w:tcW w:w="1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(pivotal study)</w:t>
            </w:r>
            <w:r>
              <w:rPr>
                <w:rFonts w:ascii="Times New Roman" w:cs="Times New Roman" w:eastAsia="Times New Roman" w:hAnsi="Times New Roman"/>
                <w:sz w:val="20"/>
                <w:szCs w:val="20"/>
                <w:color w:val="auto"/>
                <w:vertAlign w:val="superscript"/>
              </w:rPr>
              <w:t>(c)(e)</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w:t>
            </w:r>
          </w:p>
        </w:tc>
        <w:tc>
          <w:tcPr>
            <w:tcW w:w="1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multiple myeloma</w:t>
            </w: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median follow-up data</w:t>
            </w: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(target action date of August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(U.S.</w:t>
            </w:r>
            <w:r>
              <w:rPr>
                <w:rFonts w:ascii="Times New Roman" w:cs="Times New Roman" w:eastAsia="Times New Roman" w:hAnsi="Times New Roman"/>
                <w:sz w:val="21"/>
                <w:szCs w:val="21"/>
                <w:color w:val="auto"/>
                <w:vertAlign w:val="superscript"/>
              </w:rPr>
              <w:t>(n)</w:t>
            </w:r>
            <w:r>
              <w:rPr>
                <w:rFonts w:ascii="Times New Roman" w:cs="Times New Roman" w:eastAsia="Times New Roman" w:hAnsi="Times New Roman"/>
                <w:sz w:val="17"/>
                <w:szCs w:val="17"/>
                <w:color w:val="auto"/>
              </w:rPr>
              <w:t xml:space="preserve"> and EU)</w:t>
            </w:r>
          </w:p>
        </w:tc>
        <w:tc>
          <w:tcPr>
            <w:tcW w:w="19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from pivotal Phase 1/2</w:t>
            </w:r>
          </w:p>
        </w:tc>
        <w:tc>
          <w:tcPr>
            <w:tcW w:w="2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22, 2024) and EC decision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9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targeting BCMA and</w:t>
            </w:r>
          </w:p>
        </w:tc>
        <w:tc>
          <w:tcPr>
            <w:tcW w:w="16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–Earlier (pre-</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trial in multiple myeloma</w:t>
            </w:r>
          </w:p>
        </w:tc>
        <w:tc>
          <w:tcPr>
            <w:tcW w:w="21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99"/>
              </w:rPr>
              <w:t>on MAA (first half 2025) for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CD3</w:t>
            </w:r>
          </w:p>
        </w:tc>
        <w:tc>
          <w:tcPr>
            <w:tcW w:w="1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malignant) multiple</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at European Hematology</w:t>
            </w: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relapsed/refractory multiple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myeloma</w:t>
            </w: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Association ("EHA")</w:t>
            </w:r>
          </w:p>
        </w:tc>
        <w:tc>
          <w:tcPr>
            <w:tcW w:w="2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myeloma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Congress 2024 and</w:t>
            </w:r>
          </w:p>
        </w:tc>
        <w:tc>
          <w:tcPr>
            <w:tcW w:w="2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–Monoclonal</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published these data in</w:t>
            </w: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80" w:type="dxa"/>
            <w:vAlign w:val="bottom"/>
            <w:gridSpan w:val="2"/>
            <w:vMerge w:val="continue"/>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980" w:type="dxa"/>
            <w:vAlign w:val="bottom"/>
            <w:gridSpan w:val="2"/>
            <w:vMerge w:val="restart"/>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Journal of Clinical</w:t>
            </w:r>
          </w:p>
        </w:tc>
        <w:tc>
          <w:tcPr>
            <w:tcW w:w="21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80" w:type="dxa"/>
            <w:vAlign w:val="bottom"/>
            <w:gridSpan w:val="2"/>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gammopathy of</w:t>
            </w:r>
          </w:p>
        </w:tc>
        <w:tc>
          <w:tcPr>
            <w:tcW w:w="1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980" w:type="dxa"/>
            <w:vAlign w:val="bottom"/>
            <w:gridSpan w:val="2"/>
            <w:vMerge w:val="continue"/>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80" w:type="dxa"/>
            <w:vAlign w:val="bottom"/>
            <w:gridSpan w:val="2"/>
            <w:vMerge w:val="continue"/>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Oncology</w:t>
            </w:r>
          </w:p>
        </w:tc>
        <w:tc>
          <w:tcPr>
            <w:tcW w:w="21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gridSpan w:val="2"/>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undetermined</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80" w:type="dxa"/>
            <w:vAlign w:val="bottom"/>
            <w:gridSpan w:val="2"/>
            <w:vMerge w:val="continue"/>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80" w:type="dxa"/>
            <w:vAlign w:val="bottom"/>
            <w:gridSpan w:val="2"/>
            <w:vMerge w:val="continue"/>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significance</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("MGUS")</w:t>
            </w: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0" w:type="dxa"/>
            <w:vAlign w:val="bottom"/>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 chain</w:t>
            </w:r>
          </w:p>
        </w:tc>
        <w:tc>
          <w:tcPr>
            <w:tcW w:w="1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amyloidosis ("ALA")</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9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NTLA-2001</w:t>
            </w:r>
            <w:r>
              <w:rPr>
                <w:rFonts w:ascii="Times New Roman" w:cs="Times New Roman" w:eastAsia="Times New Roman" w:hAnsi="Times New Roman"/>
                <w:sz w:val="23"/>
                <w:szCs w:val="23"/>
                <w:b w:val="1"/>
                <w:bCs w:val="1"/>
                <w:color w:val="auto"/>
                <w:vertAlign w:val="superscript"/>
              </w:rPr>
              <w:t>(j)</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–Transthyretin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TTR gene knockout using</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amyloidosis</w:t>
            </w:r>
            <w:r>
              <w:rPr>
                <w:rFonts w:ascii="Times New Roman" w:cs="Times New Roman" w:eastAsia="Times New Roman" w:hAnsi="Times New Roman"/>
                <w:sz w:val="20"/>
                <w:szCs w:val="20"/>
                <w:color w:val="auto"/>
                <w:vertAlign w:val="superscript"/>
              </w:rPr>
              <w:t>(c)</w:t>
            </w:r>
            <w:r>
              <w:rPr>
                <w:rFonts w:ascii="Times New Roman" w:cs="Times New Roman" w:eastAsia="Times New Roman" w:hAnsi="Times New Roman"/>
                <w:sz w:val="16"/>
                <w:szCs w:val="16"/>
                <w:color w:val="auto"/>
              </w:rPr>
              <w:t xml:space="preserve"> with</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CRISPR/Cas9</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cardiomyopathy</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("ATTR-CM")</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REGN9933</w:t>
            </w: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–Thrombosis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results from Phase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9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Antibody to Factor XI</w:t>
            </w: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 study in thrombosis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half 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9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REGN7508</w:t>
            </w:r>
          </w:p>
        </w:tc>
        <w:tc>
          <w:tcPr>
            <w:tcW w:w="16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–Thrombosis</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Factor XI</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9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REGN7257</w:t>
            </w:r>
          </w:p>
        </w:tc>
        <w:tc>
          <w:tcPr>
            <w:tcW w:w="16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–Aplastic anemia</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IL2Rg</w:t>
            </w: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6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9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6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3420" w:type="dxa"/>
            <w:vAlign w:val="bottom"/>
            <w:gridSpan w:val="4"/>
            <w:shd w:val="clear" w:color="auto" w:fill="ACACAC"/>
          </w:tcPr>
          <w:p>
            <w:pPr>
              <w:jc w:val="center"/>
              <w:ind w:left="337"/>
              <w:spacing w:after="0"/>
              <w:rPr>
                <w:sz w:val="20"/>
                <w:szCs w:val="20"/>
                <w:color w:val="auto"/>
              </w:rPr>
            </w:pPr>
            <w:r>
              <w:rPr>
                <w:rFonts w:ascii="Times New Roman" w:cs="Times New Roman" w:eastAsia="Times New Roman" w:hAnsi="Times New Roman"/>
                <w:sz w:val="18"/>
                <w:szCs w:val="18"/>
                <w:b w:val="1"/>
                <w:bCs w:val="1"/>
                <w:color w:val="auto"/>
                <w:w w:val="99"/>
              </w:rPr>
              <w:t>Internal Medicine/Genetic Medicines</w:t>
            </w:r>
          </w:p>
        </w:tc>
        <w:tc>
          <w:tcPr>
            <w:tcW w:w="19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120" w:type="dxa"/>
            <w:vAlign w:val="bottom"/>
            <w:shd w:val="clear" w:color="auto" w:fill="ACACA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980" w:type="dxa"/>
            <w:vAlign w:val="bottom"/>
            <w:gridSpan w:val="2"/>
          </w:tcPr>
          <w:p>
            <w:pPr>
              <w:ind w:left="20"/>
              <w:spacing w:after="0" w:line="234" w:lineRule="exact"/>
              <w:rPr>
                <w:sz w:val="20"/>
                <w:szCs w:val="20"/>
                <w:color w:val="auto"/>
              </w:rPr>
            </w:pPr>
            <w:r>
              <w:rPr>
                <w:rFonts w:ascii="Times New Roman" w:cs="Times New Roman" w:eastAsia="Times New Roman" w:hAnsi="Times New Roman"/>
                <w:sz w:val="18"/>
                <w:szCs w:val="18"/>
                <w:b w:val="1"/>
                <w:bCs w:val="1"/>
                <w:color w:val="auto"/>
              </w:rPr>
              <w:t>Garetosmab</w:t>
            </w:r>
            <w:r>
              <w:rPr>
                <w:rFonts w:ascii="Times New Roman" w:cs="Times New Roman" w:eastAsia="Times New Roman" w:hAnsi="Times New Roman"/>
                <w:sz w:val="23"/>
                <w:szCs w:val="23"/>
                <w:b w:val="1"/>
                <w:bCs w:val="1"/>
                <w:color w:val="auto"/>
                <w:vertAlign w:val="superscript"/>
              </w:rPr>
              <w:t>(f)</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–Fibrodysplasia</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9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(REGN2477)</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ossificans progressiva</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Activin A</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("FOP")</w:t>
            </w:r>
            <w:r>
              <w:rPr>
                <w:rFonts w:ascii="Times New Roman" w:cs="Times New Roman" w:eastAsia="Times New Roman" w:hAnsi="Times New Roman"/>
                <w:sz w:val="10"/>
                <w:szCs w:val="10"/>
                <w:color w:val="auto"/>
              </w:rPr>
              <w:t>(c)(d)(e)</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9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Trevogrumab</w:t>
            </w:r>
            <w:r>
              <w:rPr>
                <w:rFonts w:ascii="Times New Roman" w:cs="Times New Roman" w:eastAsia="Times New Roman" w:hAnsi="Times New Roman"/>
                <w:sz w:val="20"/>
                <w:szCs w:val="20"/>
                <w:b w:val="1"/>
                <w:bCs w:val="1"/>
                <w:color w:val="auto"/>
                <w:vertAlign w:val="superscript"/>
              </w:rPr>
              <w:t>(f)</w:t>
            </w:r>
          </w:p>
        </w:tc>
        <w:tc>
          <w:tcPr>
            <w:tcW w:w="16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–Obesity</w:t>
            </w:r>
            <w:r>
              <w:rPr>
                <w:rFonts w:ascii="Times New Roman" w:cs="Times New Roman" w:eastAsia="Times New Roman" w:hAnsi="Times New Roman"/>
                <w:sz w:val="20"/>
                <w:szCs w:val="20"/>
                <w:color w:val="auto"/>
                <w:vertAlign w:val="superscript"/>
              </w:rPr>
              <w:t>(o)</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9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(REGN1033)</w:t>
            </w: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myostatin</w:t>
            </w: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(GDF8)</w:t>
            </w: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Mibavademab</w:t>
            </w:r>
            <w:r>
              <w:rPr>
                <w:rFonts w:ascii="Times New Roman" w:cs="Times New Roman" w:eastAsia="Times New Roman" w:hAnsi="Times New Roman"/>
                <w:sz w:val="20"/>
                <w:szCs w:val="20"/>
                <w:b w:val="1"/>
                <w:bCs w:val="1"/>
                <w:color w:val="auto"/>
                <w:vertAlign w:val="superscript"/>
              </w:rPr>
              <w:t>(f)(p)</w:t>
            </w:r>
          </w:p>
        </w:tc>
        <w:tc>
          <w:tcPr>
            <w:tcW w:w="168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–Generalized</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9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(REGN4461)</w:t>
            </w:r>
          </w:p>
        </w:tc>
        <w:tc>
          <w:tcPr>
            <w:tcW w:w="168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lipodystrophy</w:t>
            </w:r>
            <w:r>
              <w:rPr>
                <w:rFonts w:ascii="Times New Roman" w:cs="Times New Roman" w:eastAsia="Times New Roman" w:hAnsi="Times New Roman"/>
                <w:sz w:val="21"/>
                <w:szCs w:val="21"/>
                <w:color w:val="auto"/>
                <w:vertAlign w:val="superscript"/>
              </w:rPr>
              <w:t>(d)(e)</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Agonist antibody to leptin</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receptor ("LEPR")</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9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REGN5381</w:t>
            </w:r>
          </w:p>
        </w:tc>
        <w:tc>
          <w:tcPr>
            <w:tcW w:w="16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–Heart failure</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9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Agonist antibody to</w:t>
            </w: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NPR1</w:t>
            </w: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98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Rapirosiran (ALN-</w:t>
            </w:r>
          </w:p>
        </w:tc>
        <w:tc>
          <w:tcPr>
            <w:tcW w:w="168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–Nonalcoholic</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98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HSD)</w:t>
            </w:r>
            <w:r>
              <w:rPr>
                <w:rFonts w:ascii="Times New Roman" w:cs="Times New Roman" w:eastAsia="Times New Roman" w:hAnsi="Times New Roman"/>
                <w:sz w:val="21"/>
                <w:szCs w:val="21"/>
                <w:b w:val="1"/>
                <w:bCs w:val="1"/>
                <w:color w:val="auto"/>
                <w:vertAlign w:val="superscript"/>
              </w:rPr>
              <w:t>(k)</w:t>
            </w:r>
          </w:p>
        </w:tc>
        <w:tc>
          <w:tcPr>
            <w:tcW w:w="168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steatohepatitis</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RNAi therapeutic</w:t>
            </w:r>
          </w:p>
        </w:tc>
        <w:tc>
          <w:tcPr>
            <w:tcW w:w="1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("NASH")</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HSD17B13</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9"/>
        </w:trPr>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jc w:val="right"/>
              <w:ind w:right="1231"/>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240" w:right="660"/>
        <w:spacing w:after="0"/>
        <w:rPr>
          <w:sz w:val="20"/>
          <w:szCs w:val="20"/>
          <w:color w:val="auto"/>
        </w:rPr>
      </w:pPr>
      <w:r>
        <w:rPr>
          <w:rFonts w:ascii="Times New Roman" w:cs="Times New Roman" w:eastAsia="Times New Roman" w:hAnsi="Times New Roman"/>
          <w:sz w:val="16"/>
          <w:szCs w:val="16"/>
          <w:color w:val="auto"/>
        </w:rPr>
        <w:t>Note: For purposes of the table above, a program is classified in Phase 2 or 3 clinical development after recruitment for the corresponding study or studies has commenced.</w:t>
      </w:r>
    </w:p>
    <w:p>
      <w:pPr>
        <w:ind w:left="400" w:hanging="165"/>
        <w:spacing w:after="0" w:line="209" w:lineRule="auto"/>
        <w:tabs>
          <w:tab w:leader="none" w:pos="4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Orphan Drug designation</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Breakthrough Therapy designation</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Fast Track designation</w:t>
      </w:r>
    </w:p>
    <w:p>
      <w:pPr>
        <w:spacing w:after="0" w:line="64" w:lineRule="exact"/>
        <w:rPr>
          <w:rFonts w:ascii="Times New Roman" w:cs="Times New Roman" w:eastAsia="Times New Roman" w:hAnsi="Times New Roman"/>
          <w:sz w:val="22"/>
          <w:szCs w:val="22"/>
          <w:color w:val="auto"/>
          <w:vertAlign w:val="superscript"/>
        </w:rPr>
      </w:pPr>
    </w:p>
    <w:p>
      <w:pPr>
        <w:ind w:left="240" w:right="260" w:hanging="5"/>
        <w:spacing w:after="0" w:line="189" w:lineRule="auto"/>
        <w:tabs>
          <w:tab w:leader="none" w:pos="397"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Sanofi did not opt-in to or elected not to continue to co-develop the product candidate. Under the terms of our agreement, Sanofi is entitled to receive royalties on sales of the product, if any.</w:t>
      </w:r>
    </w:p>
    <w:p>
      <w:pPr>
        <w:spacing w:after="0" w:line="6" w:lineRule="exact"/>
        <w:rPr>
          <w:rFonts w:ascii="Times New Roman" w:cs="Times New Roman" w:eastAsia="Times New Roman" w:hAnsi="Times New Roman"/>
          <w:sz w:val="23"/>
          <w:szCs w:val="23"/>
          <w:color w:val="auto"/>
          <w:vertAlign w:val="superscript"/>
        </w:rPr>
      </w:pPr>
    </w:p>
    <w:p>
      <w:pPr>
        <w:ind w:left="420" w:hanging="185"/>
        <w:spacing w:after="0"/>
        <w:tabs>
          <w:tab w:leader="none" w:pos="4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Studied as monotherapy and in combination with other antibodies and treatments</w:t>
      </w:r>
    </w:p>
    <w:p>
      <w:pPr>
        <w:spacing w:after="0" w:line="64" w:lineRule="exact"/>
        <w:rPr>
          <w:rFonts w:ascii="Times New Roman" w:cs="Times New Roman" w:eastAsia="Times New Roman" w:hAnsi="Times New Roman"/>
          <w:sz w:val="23"/>
          <w:szCs w:val="23"/>
          <w:color w:val="auto"/>
          <w:vertAlign w:val="superscript"/>
        </w:rPr>
      </w:pPr>
    </w:p>
    <w:p>
      <w:pPr>
        <w:ind w:left="420" w:hanging="185"/>
        <w:spacing w:after="0" w:line="182" w:lineRule="auto"/>
        <w:tabs>
          <w:tab w:leader="none" w:pos="42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Information in this column relates to U.S., EU, and Japan regulatory submissions only</w:t>
      </w:r>
    </w:p>
    <w:p>
      <w:pPr>
        <w:spacing w:after="0" w:line="6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BioNTech's BNT116 is an mRNA cancer vaccine.</w:t>
      </w:r>
    </w:p>
    <w:p>
      <w:pPr>
        <w:spacing w:after="0" w:line="2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Intellia</w:t>
      </w:r>
    </w:p>
    <w:p>
      <w:pPr>
        <w:spacing w:after="0" w:line="2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Alnylam elected to opt-out of the product candidate. Under the terms of our agreement, Alnylam is entitled to receive royalties on sales of the product, if any.</w:t>
      </w:r>
    </w:p>
    <w:p>
      <w:pPr>
        <w:spacing w:after="0" w:line="6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Under the terms of our license agreement for cemdisiran, Alnylam is entitled to receive royalties on sales (if any), as well as sales milestones.</w:t>
      </w:r>
    </w:p>
    <w:p>
      <w:pPr>
        <w:spacing w:after="0" w:line="24" w:lineRule="exact"/>
        <w:rPr>
          <w:rFonts w:ascii="Times New Roman" w:cs="Times New Roman" w:eastAsia="Times New Roman" w:hAnsi="Times New Roman"/>
          <w:sz w:val="22"/>
          <w:szCs w:val="22"/>
          <w:color w:val="auto"/>
          <w:vertAlign w:val="superscript"/>
        </w:rPr>
      </w:pPr>
    </w:p>
    <w:p>
      <w:pPr>
        <w:ind w:left="440" w:hanging="205"/>
        <w:spacing w:after="0" w:line="191" w:lineRule="auto"/>
        <w:tabs>
          <w:tab w:leader="none" w:pos="44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Fast Track designation for follicular lymphoma and diffuse large B-cell lymphoma</w:t>
      </w:r>
    </w:p>
    <w:p>
      <w:pPr>
        <w:spacing w:after="0" w:line="64" w:lineRule="exact"/>
        <w:rPr>
          <w:rFonts w:ascii="Times New Roman" w:cs="Times New Roman" w:eastAsia="Times New Roman" w:hAnsi="Times New Roman"/>
          <w:sz w:val="21"/>
          <w:szCs w:val="21"/>
          <w:color w:val="auto"/>
          <w:vertAlign w:val="superscript"/>
        </w:rPr>
      </w:pPr>
    </w:p>
    <w:p>
      <w:pPr>
        <w:ind w:left="420" w:hanging="185"/>
        <w:spacing w:after="0" w:line="182" w:lineRule="auto"/>
        <w:tabs>
          <w:tab w:leader="none" w:pos="42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Company is seeking accelerated approval in the United States</w:t>
      </w:r>
    </w:p>
    <w:p>
      <w:pPr>
        <w:spacing w:after="0" w:line="2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Studied in combination with semaglutide with and without garetosmab</w:t>
      </w:r>
    </w:p>
    <w:p>
      <w:pPr>
        <w:spacing w:after="0" w:line="24" w:lineRule="exact"/>
        <w:rPr>
          <w:rFonts w:ascii="Times New Roman" w:cs="Times New Roman" w:eastAsia="Times New Roman" w:hAnsi="Times New Roman"/>
          <w:sz w:val="22"/>
          <w:szCs w:val="22"/>
          <w:color w:val="auto"/>
          <w:vertAlign w:val="superscript"/>
        </w:rPr>
      </w:pPr>
    </w:p>
    <w:p>
      <w:pPr>
        <w:ind w:left="240" w:hanging="5"/>
        <w:spacing w:after="0" w:line="189" w:lineRule="auto"/>
        <w:tabs>
          <w:tab w:leader="none" w:pos="417"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 Phase 2 study, sponsored by Eli Lilly, is also ongoing and testing the combination of tirzepatide and mibavademab compared with tirzepatide alone in patients with obesity.</w:t>
      </w: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9"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 Clinical Development Programs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Dupixent (dupilumab)</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the FDA extended by three months the target action date of its priority review of the sBLA for Dupixent as an add-on maintenance treatment in certain adult patients with uncontrolled COPD. The FDA had requested additional analyses on the efficacy of Dupixent in the BOREAS and NOTUS pivotal trials. Based on the submission of these analyses, the agency determined that this additional information constituted a major amendment to the sBLA and extended the target action date accordingly. The revised target action date is September 27, 2024.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Linvoseltamab</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its review of the linvoseltamab BLA for relapsed/refractory multiple myeloma, the FDA informed us that the third-party fill/finish provider for linvoseltamab had unresolved findings from a pre-approval inspection for another company's product candidate, which is to be filled on the same manufacturing line as linvoseltamab. Although this third-party fill/finish provider communicated to us and the FDA that they believe these findings have been successfully remediated, the FDA has indicated that a re-inspection will be required before these issues are considered resolved and any new products filled on this line can be approved, including linvoseltamab. Therefore, we believe that any potential FDA approval of the linvoseltamab BLA will be delayed beyond the August 22, 2024 target action date. The FDA has not informed us of any approvability issues for linvoseltamab related to safety, efficacy, or the status of our confirmatory trial.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Early-Stage Clinical Development Updates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a Phase 1 study of linvoseltamab, in combination with dupilumab, in severe food allergy was initiated.</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Phase 1/2 study of DB-OTO, an AAV-based gene therapy, in children with profound genetic hearing loss due to mutations of the otoferlin gene is ongoing. In May 2024, the Company presented updated data from the Phase 1/2 trial at the American Society of Gene and Cell Therapy ("ASGCT") annual conference and announced that DB-OTO improved hearing to normal levels in one child and that initial hearing improvements were observed in a second child. Additionally, the FDA granted DB-OTO Regenerative Medicine Advanced Therapy ("RMAT") designation.</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a Phase 1 combination cohort of nezastomig and REGN4336 (bispecific antibody targeting PSMA and CD3) in metastatic castration-resistant prostate cancer was initiated.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collaborating with Sanofi on the global development and commercialization of Dupixent, Kevzara, and itepekimab (the "Antibody Collaboration"). Under the terms of the collaboration, Sanofi is generally responsible for funding 80% to 100% of agreed-upon development costs. We are obligated to reimburse Sanofi for 30% to 50% of worldwide development expenses that were funded by Sanofi based on our share of collaboration profits; however, we are only required to apply 20% of our share of profits from the collaboration each calendar quarter to reimburse Sanofi for these development expenses. As of June 30, 2024, the total amount of our contingent reimbursement obligation to Sanofi (i.e., "development balance") in connection with such development expenses was approximately $2.013 billion.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for commercialized products, and Regeneron has the right to co-commercialize such products on a country-by-country basis. We co-commercialize Dupixent in the United States and in certain countries outside the United States. We supply certain commercial bulk product to Sanofi. We and Sanofi equally share profits from sales within the United States, and share profits outside the United States on a sliding scale based on sales starting at 65% (Sanofi)/35% (us) and ending at 55% (Sanofi)/45% (us).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Bayer are parties to a license and collaboration agreement for the global development and commercialization of EYLEA 8 mg and EYLEA outside the United States. Agreed-upon development expenses incurred by the Company and Bayer are generally shared equally. Bayer is responsible for commercialization activities outside the United States, and the companies share equally in profits from such sales.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obligated to reimburse Bayer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at a faster rate.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and are entitled to all profits from such sales.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Alnylam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Alnylam Pharmaceuticals, Inc. are parties to a collaboration to discover, develop, and commercialize RNAi therapeutics for a broad range of diseases by addressing therapeutic disease targets expressed in the eye and central nervous system ("CNS"), in addition to a select number of targets expressed in the liver. During 2023, we paid a $100.0 million development milestone to Alnylam upon the achievement of specified proof-of-principle criteria for a CNS program (ALN-APP) and Alnylam is eligible to receive an additional $100.0 million clinical proof-of-principle milestone in connection with an eye program.</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entered into various license agreements with Alnylam, with us as the licensee, including for cemdisiran (a small interfering RNA ("siRNA") therapeutic targeting the C5 component of the human complement pathway) as a monotherapy and for a combination consisting of cemdisiran and pozelimab.</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we elected to no longer co-develop ALN-APP pursuant to a co-development/co-commercialization collaboration agreement; as a result, Alnylam retains the right to develop and commercialize such product and we will receive a royalty on sales (if 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and Intellia Therapeutics, Inc. are parties to a license and collaboration agreement to advance CRISPR/Cas9 gene-editing technology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development. NTLA-2001, which is in clinical development, is subject to a co-development and co-commercialization arrangement pursuant to which Intellia will lead development and commercialization activities and the parties share an agreed-upon percentage of development expenses and profits (if commercialized). In addition, we also have non-exclusive rights to independently develop and commercialize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edited products.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2023, we expanded the license and collaboration agreement to develop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CRISPR-based gene editing therapies focused on neurological and muscular diseases. Intellia will lead the design of the editing methodology, we will lead the design of the targeted viral vector delivery approach, and the parties share costs equally. Each company will have the opportunity to lead potential development and commercialization of product candidates for one target, and the company that is not leading development and commercialization will have the option to enter into a co-development and co-commercialization agreement for the target.</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in October 2023, we elected to extend the period for selecting targets under the license and collaboration agreement for an additional two years until April 2026; as a result, we made a $30.0 million extension payment to Intellia.</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2024, Intellia elected to opt-out of further development activities pursuant to the Factor IX co-development and co-commercialization agreement; as a result, we retain the right to develop and commercialize products directed to Factor IX, and Intellia will be entitled to receive milestone payments and royalties on sales (if 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Decibel</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2017, we entered into an agreement with Decibel Therapeutics, Inc. to discover and develop new potential therapeutics to protect, repair and restore hearing (including DB-OTO, which is currently in clinical development, and preclinical programs for GJB2-related and stereocilin-related hearing loss).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we acquired Decibel by paying $101.3 million in cash (or $4.00 per share of Decibel common stock). In addition, Decibel shareholders received one non-tradeable contingent value right ("CVR") per share of Decibel common stock, entitling them to receive up to an additional $3.50 per share in cash upon achievement of certain development milestones for DB-OTO within specified time periods.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a development milestone contemplated by the CVRs was achieved, and, as a result, we became obligated to pay $55.1 million to the holders of the CVRs. The holders of the CVRs may be entitled to receive an additional $42.0 million if an additional milestone contemplated by the CVRs is achieved.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2seventy bio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2018, we entered into a collaboration agreement with bluebird bio, Inc. (which subsequently spun out 2seventy bio, Inc. in 2021) to research, develop, and commercialize novel cell therapy approaches to address cancer.</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2024, we acquired full development and commercialization rights to 2seventy bio's oncology and autoimmune preclinical and clinical stage cell therapy pipeline. Under the terms of the agreement, we made a $5.0 million up-front payment, and have assumed ongoing program, infrastructure, and personnel costs related to the product candidates acquired. We are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obligated to pay 2seventy bio a regulatory milestone upon the first major market approval of the first approved product; and, with respect to any approved product, a low single-digit percent royalty on sales. In addition, we separately entered into sublease agreements for a portion of 2seventy bio's facilities.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generate profits and to generate positive cash flow from operations over the next several years depends significantly on the success in commercializing EYLEA HD, EYLEA, and Dupixent. We expect to continue to incur substantial expenses related to our research and development activities, and our research and development activities and related costs which are not reimbursed by collaborators are expected to expand and require additional resources. We also expect to incur substantial costs related to the commercialization of our marketed products. Our financial results may fluctuate from quarter to quarter and will depend on, among other factors, the net sales of our products; the scope and progress of our research and development efforts; the timing of certain expenses; the continuation of our collaborations, in particular with Sanofi and Bayer, including our share of collaboration profits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or through our Internet website (</w:t>
      </w:r>
      <w:r>
        <w:rPr>
          <w:rFonts w:ascii="Times New Roman" w:cs="Times New Roman" w:eastAsia="Times New Roman" w:hAnsi="Times New Roman"/>
          <w:sz w:val="18"/>
          <w:szCs w:val="18"/>
          <w:i w:val="1"/>
          <w:iCs w:val="1"/>
          <w:color w:val="auto"/>
        </w:rPr>
        <w:t>http://www.regeneron.com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and other interested parties should note that we use our media and investor relations website (</w:t>
      </w:r>
      <w:r>
        <w:rPr>
          <w:rFonts w:ascii="Times New Roman" w:cs="Times New Roman" w:eastAsia="Times New Roman" w:hAnsi="Times New Roman"/>
          <w:sz w:val="18"/>
          <w:szCs w:val="18"/>
          <w:i w:val="1"/>
          <w:iCs w:val="1"/>
          <w:color w:val="auto"/>
        </w:rPr>
        <w:t>http://investor.regeneron.com</w:t>
      </w:r>
      <w:r>
        <w:rPr>
          <w:rFonts w:ascii="Times New Roman" w:cs="Times New Roman" w:eastAsia="Times New Roman" w:hAnsi="Times New Roman"/>
          <w:sz w:val="18"/>
          <w:szCs w:val="18"/>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on our websites and social media channels is not included as a part of, or incorporated by reference into, this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34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260" w:type="dxa"/>
            <w:vAlign w:val="bottom"/>
          </w:tcPr>
          <w:p>
            <w:pPr>
              <w:spacing w:after="0"/>
              <w:rPr>
                <w:sz w:val="20"/>
                <w:szCs w:val="20"/>
                <w:color w:val="auto"/>
              </w:rPr>
            </w:pPr>
          </w:p>
        </w:tc>
      </w:tr>
      <w:tr>
        <w:trPr>
          <w:trHeight w:val="228"/>
        </w:trPr>
        <w:tc>
          <w:tcPr>
            <w:tcW w:w="1300" w:type="dxa"/>
            <w:vAlign w:val="bottom"/>
          </w:tcPr>
          <w:p>
            <w:pPr>
              <w:spacing w:after="0"/>
              <w:rPr>
                <w:sz w:val="19"/>
                <w:szCs w:val="19"/>
                <w:color w:val="auto"/>
              </w:rPr>
            </w:pPr>
          </w:p>
        </w:tc>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126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4,357.0</w:t>
            </w:r>
          </w:p>
        </w:tc>
        <w:tc>
          <w:tcPr>
            <w:tcW w:w="126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1,963.2</w:t>
            </w:r>
          </w:p>
        </w:tc>
        <w:tc>
          <w:tcPr>
            <w:tcW w:w="126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6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1,940.9</w:t>
            </w:r>
          </w:p>
        </w:tc>
        <w:tc>
          <w:tcPr>
            <w:tcW w:w="126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60" w:type="dxa"/>
            <w:vAlign w:val="bottom"/>
          </w:tcPr>
          <w:p>
            <w:pPr>
              <w:spacing w:after="0"/>
              <w:rPr>
                <w:sz w:val="19"/>
                <w:szCs w:val="19"/>
                <w:color w:val="auto"/>
              </w:rPr>
            </w:pPr>
          </w:p>
        </w:tc>
      </w:tr>
      <w:tr>
        <w:trPr>
          <w:trHeight w:val="248"/>
        </w:trPr>
        <w:tc>
          <w:tcPr>
            <w:tcW w:w="130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26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13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260" w:type="dxa"/>
            <w:vAlign w:val="bottom"/>
          </w:tcPr>
          <w:p>
            <w:pPr>
              <w:spacing w:after="0"/>
              <w:rPr>
                <w:sz w:val="19"/>
                <w:szCs w:val="19"/>
                <w:color w:val="auto"/>
              </w:rPr>
            </w:pPr>
          </w:p>
        </w:tc>
      </w:tr>
      <w:tr>
        <w:trPr>
          <w:trHeight w:val="796"/>
        </w:trPr>
        <w:tc>
          <w:tcPr>
            <w:tcW w:w="1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8"/>
        </w:trPr>
        <w:tc>
          <w:tcPr>
            <w:tcW w:w="13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655"/>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8"/>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8"/>
        </w:trPr>
        <w:tc>
          <w:tcPr>
            <w:tcW w:w="38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 Change</w:t>
            </w:r>
          </w:p>
        </w:tc>
      </w:tr>
      <w:tr>
        <w:trPr>
          <w:trHeight w:val="209"/>
        </w:trPr>
        <w:tc>
          <w:tcPr>
            <w:tcW w:w="380" w:type="dxa"/>
            <w:vAlign w:val="bottom"/>
          </w:tcPr>
          <w:p>
            <w:pPr>
              <w:spacing w:after="0"/>
              <w:rPr>
                <w:sz w:val="18"/>
                <w:szCs w:val="18"/>
                <w:color w:val="auto"/>
              </w:rPr>
            </w:pPr>
          </w:p>
        </w:tc>
        <w:tc>
          <w:tcPr>
            <w:tcW w:w="3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380" w:type="dxa"/>
            <w:vAlign w:val="bottom"/>
          </w:tcPr>
          <w:p>
            <w:pPr>
              <w:spacing w:after="0"/>
              <w:rPr>
                <w:sz w:val="19"/>
                <w:szCs w:val="19"/>
                <w:color w:val="auto"/>
              </w:rPr>
            </w:pPr>
          </w:p>
        </w:tc>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EYLEA HD - U.S.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r>
      <w:tr>
        <w:trPr>
          <w:trHeight w:val="230"/>
        </w:trPr>
        <w:tc>
          <w:tcPr>
            <w:tcW w:w="380" w:type="dxa"/>
            <w:vAlign w:val="bottom"/>
          </w:tcPr>
          <w:p>
            <w:pPr>
              <w:spacing w:after="0"/>
              <w:rPr>
                <w:sz w:val="19"/>
                <w:szCs w:val="19"/>
                <w:color w:val="auto"/>
              </w:rPr>
            </w:pPr>
          </w:p>
        </w:tc>
        <w:tc>
          <w:tcPr>
            <w:tcW w:w="3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EYLEA - U.S.</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w:t>
            </w:r>
          </w:p>
        </w:tc>
      </w:tr>
      <w:tr>
        <w:trPr>
          <w:trHeight w:val="223"/>
        </w:trPr>
        <w:tc>
          <w:tcPr>
            <w:tcW w:w="380" w:type="dxa"/>
            <w:vAlign w:val="bottom"/>
          </w:tcPr>
          <w:p>
            <w:pPr>
              <w:spacing w:after="0"/>
              <w:rPr>
                <w:sz w:val="19"/>
                <w:szCs w:val="19"/>
                <w:color w:val="auto"/>
              </w:rPr>
            </w:pPr>
          </w:p>
        </w:tc>
        <w:tc>
          <w:tcPr>
            <w:tcW w:w="3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EYLEA HD and EYLEA - U.S.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380" w:type="dxa"/>
            <w:vAlign w:val="bottom"/>
          </w:tcPr>
          <w:p>
            <w:pPr>
              <w:spacing w:after="0"/>
              <w:rPr>
                <w:sz w:val="19"/>
                <w:szCs w:val="19"/>
                <w:color w:val="auto"/>
              </w:rPr>
            </w:pPr>
          </w:p>
        </w:tc>
        <w:tc>
          <w:tcPr>
            <w:tcW w:w="3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Libtayo - U.S.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29"/>
        </w:trPr>
        <w:tc>
          <w:tcPr>
            <w:tcW w:w="380" w:type="dxa"/>
            <w:vAlign w:val="bottom"/>
          </w:tcPr>
          <w:p>
            <w:pPr>
              <w:spacing w:after="0"/>
              <w:rPr>
                <w:sz w:val="19"/>
                <w:szCs w:val="19"/>
                <w:color w:val="auto"/>
              </w:rPr>
            </w:pPr>
          </w:p>
        </w:tc>
        <w:tc>
          <w:tcPr>
            <w:tcW w:w="3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Libtayo - ROW</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23"/>
        </w:trPr>
        <w:tc>
          <w:tcPr>
            <w:tcW w:w="380" w:type="dxa"/>
            <w:vAlign w:val="bottom"/>
          </w:tcPr>
          <w:p>
            <w:pPr>
              <w:spacing w:after="0"/>
              <w:rPr>
                <w:sz w:val="19"/>
                <w:szCs w:val="19"/>
                <w:color w:val="auto"/>
              </w:rPr>
            </w:pPr>
          </w:p>
        </w:tc>
        <w:tc>
          <w:tcPr>
            <w:tcW w:w="3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Libtayo - Global</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29"/>
        </w:trPr>
        <w:tc>
          <w:tcPr>
            <w:tcW w:w="380" w:type="dxa"/>
            <w:vAlign w:val="bottom"/>
          </w:tcPr>
          <w:p>
            <w:pPr>
              <w:spacing w:after="0"/>
              <w:rPr>
                <w:sz w:val="19"/>
                <w:szCs w:val="19"/>
                <w:color w:val="auto"/>
              </w:rPr>
            </w:pPr>
          </w:p>
        </w:tc>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Praluent - U.S.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9"/>
        </w:trPr>
        <w:tc>
          <w:tcPr>
            <w:tcW w:w="380" w:type="dxa"/>
            <w:vAlign w:val="bottom"/>
          </w:tcPr>
          <w:p>
            <w:pPr>
              <w:spacing w:after="0"/>
              <w:rPr>
                <w:sz w:val="19"/>
                <w:szCs w:val="19"/>
                <w:color w:val="auto"/>
              </w:rPr>
            </w:pPr>
          </w:p>
        </w:tc>
        <w:tc>
          <w:tcPr>
            <w:tcW w:w="3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Evkeeza - U.S.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380" w:type="dxa"/>
            <w:vAlign w:val="bottom"/>
          </w:tcPr>
          <w:p>
            <w:pPr>
              <w:spacing w:after="0"/>
              <w:rPr>
                <w:sz w:val="19"/>
                <w:szCs w:val="19"/>
                <w:color w:val="auto"/>
              </w:rPr>
            </w:pPr>
          </w:p>
        </w:tc>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Inmazeb - Global</w:t>
            </w: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380" w:type="dxa"/>
            <w:vAlign w:val="bottom"/>
          </w:tcPr>
          <w:p>
            <w:pPr>
              <w:spacing w:after="0"/>
              <w:rPr>
                <w:sz w:val="19"/>
                <w:szCs w:val="19"/>
                <w:color w:val="auto"/>
              </w:rPr>
            </w:pPr>
          </w:p>
        </w:tc>
        <w:tc>
          <w:tcPr>
            <w:tcW w:w="3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product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r>
      <w:tr>
        <w:trPr>
          <w:trHeight w:val="108"/>
        </w:trPr>
        <w:tc>
          <w:tcPr>
            <w:tcW w:w="380" w:type="dxa"/>
            <w:vAlign w:val="bottom"/>
          </w:tcPr>
          <w:p>
            <w:pPr>
              <w:spacing w:after="0"/>
              <w:rPr>
                <w:sz w:val="9"/>
                <w:szCs w:val="9"/>
                <w:color w:val="auto"/>
              </w:rPr>
            </w:pPr>
          </w:p>
        </w:tc>
        <w:tc>
          <w:tcPr>
            <w:tcW w:w="38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9"/>
        </w:trPr>
        <w:tc>
          <w:tcPr>
            <w:tcW w:w="380" w:type="dxa"/>
            <w:vAlign w:val="bottom"/>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Sanofi</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r>
      <w:tr>
        <w:trPr>
          <w:trHeight w:val="229"/>
        </w:trPr>
        <w:tc>
          <w:tcPr>
            <w:tcW w:w="380" w:type="dxa"/>
            <w:vAlign w:val="bottom"/>
          </w:tcPr>
          <w:p>
            <w:pPr>
              <w:spacing w:after="0"/>
              <w:rPr>
                <w:sz w:val="19"/>
                <w:szCs w:val="19"/>
                <w:color w:val="auto"/>
              </w:rPr>
            </w:pPr>
          </w:p>
        </w:tc>
        <w:tc>
          <w:tcPr>
            <w:tcW w:w="3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Bayer</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380" w:type="dxa"/>
            <w:vAlign w:val="bottom"/>
          </w:tcPr>
          <w:p>
            <w:pPr>
              <w:spacing w:after="0"/>
              <w:rPr>
                <w:sz w:val="19"/>
                <w:szCs w:val="19"/>
                <w:color w:val="auto"/>
              </w:rPr>
            </w:pPr>
          </w:p>
        </w:tc>
        <w:tc>
          <w:tcPr>
            <w:tcW w:w="3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Roche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r>
      <w:tr>
        <w:trPr>
          <w:trHeight w:val="230"/>
        </w:trPr>
        <w:tc>
          <w:tcPr>
            <w:tcW w:w="380" w:type="dxa"/>
            <w:vAlign w:val="bottom"/>
          </w:tcPr>
          <w:p>
            <w:pPr>
              <w:spacing w:after="0"/>
              <w:rPr>
                <w:sz w:val="19"/>
                <w:szCs w:val="19"/>
                <w:color w:val="auto"/>
              </w:rPr>
            </w:pPr>
          </w:p>
        </w:tc>
        <w:tc>
          <w:tcPr>
            <w:tcW w:w="3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380" w:type="dxa"/>
            <w:vAlign w:val="bottom"/>
          </w:tcPr>
          <w:p>
            <w:pPr>
              <w:spacing w:after="0"/>
              <w:rPr>
                <w:sz w:val="19"/>
                <w:szCs w:val="19"/>
                <w:color w:val="auto"/>
              </w:rPr>
            </w:pPr>
          </w:p>
        </w:tc>
        <w:tc>
          <w:tcPr>
            <w:tcW w:w="3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48"/>
        </w:trPr>
        <w:tc>
          <w:tcPr>
            <w:tcW w:w="380" w:type="dxa"/>
            <w:vAlign w:val="bottom"/>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r>
              <w:rPr>
                <w:rFonts w:ascii="Times New Roman" w:cs="Times New Roman" w:eastAsia="Times New Roman" w:hAnsi="Times New Roman"/>
                <w:sz w:val="18"/>
                <w:szCs w:val="18"/>
                <w:u w:val="single" w:color="auto"/>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r>
              <w:rPr>
                <w:rFonts w:ascii="Times New Roman" w:cs="Times New Roman" w:eastAsia="Times New Roman" w:hAnsi="Times New Roman"/>
                <w:sz w:val="18"/>
                <w:szCs w:val="18"/>
                <w:u w:val="single" w:color="auto"/>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r>
              <w:rPr>
                <w:rFonts w:ascii="Times New Roman" w:cs="Times New Roman" w:eastAsia="Times New Roman" w:hAnsi="Times New Roman"/>
                <w:sz w:val="18"/>
                <w:szCs w:val="18"/>
                <w:u w:val="single" w:color="auto"/>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r>
              <w:rPr>
                <w:rFonts w:ascii="Times New Roman" w:cs="Times New Roman" w:eastAsia="Times New Roman" w:hAnsi="Times New Roman"/>
                <w:sz w:val="18"/>
                <w:szCs w:val="18"/>
                <w:u w:val="single" w:color="auto"/>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r>
      <w:tr>
        <w:trPr>
          <w:trHeight w:val="20"/>
        </w:trPr>
        <w:tc>
          <w:tcPr>
            <w:tcW w:w="380" w:type="dxa"/>
            <w:vAlign w:val="bottom"/>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EYLEA HD and EYLEA net product sales in the U.S. increased for the three and six months ended June 30, 2024, compared to the same periods in 2023. EYLEA HD was approved by the FDA in August 2023 and EYLEA HD net product sales for the three and six months ended June 30, 2024 were driven by the transition of patients from other anti-VEGF products, including EYLEA, to EYLEA HD, as well as new patients naïve to anti-VEGF therapy. Net product sales of EYLEA in the United States decreased for the three and six months ended June 30, 2024, compared to the same periods in 2023, primarily due to (i) the aforementioned approval and transition of certain patients to EYLEA HD, and (ii) other market dynamics that resulted in lower volumes and a lower net selling price.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10"/>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71"/>
        </w:trPr>
        <w:tc>
          <w:tcPr>
            <w:tcW w:w="4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19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28"/>
        </w:trPr>
        <w:tc>
          <w:tcPr>
            <w:tcW w:w="440" w:type="dxa"/>
            <w:vAlign w:val="bottom"/>
          </w:tcPr>
          <w:p>
            <w:pPr>
              <w:spacing w:after="0"/>
              <w:rPr>
                <w:sz w:val="19"/>
                <w:szCs w:val="19"/>
                <w:color w:val="auto"/>
              </w:rPr>
            </w:pPr>
          </w:p>
        </w:tc>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4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1,387.6</w:t>
            </w:r>
          </w:p>
        </w:tc>
      </w:tr>
      <w:tr>
        <w:trPr>
          <w:trHeight w:val="230"/>
        </w:trPr>
        <w:tc>
          <w:tcPr>
            <w:tcW w:w="440" w:type="dxa"/>
            <w:vAlign w:val="bottom"/>
          </w:tcPr>
          <w:p>
            <w:pPr>
              <w:spacing w:after="0"/>
              <w:rPr>
                <w:sz w:val="19"/>
                <w:szCs w:val="19"/>
                <w:color w:val="auto"/>
              </w:rPr>
            </w:pPr>
          </w:p>
        </w:tc>
        <w:tc>
          <w:tcPr>
            <w:tcW w:w="58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w:t>
            </w:r>
          </w:p>
        </w:tc>
      </w:tr>
      <w:tr>
        <w:trPr>
          <w:trHeight w:val="248"/>
        </w:trPr>
        <w:tc>
          <w:tcPr>
            <w:tcW w:w="440" w:type="dxa"/>
            <w:vAlign w:val="bottom"/>
          </w:tcPr>
          <w:p>
            <w:pPr>
              <w:spacing w:after="0"/>
              <w:rPr>
                <w:sz w:val="21"/>
                <w:szCs w:val="21"/>
                <w:color w:val="auto"/>
              </w:rPr>
            </w:pPr>
          </w:p>
        </w:tc>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1,742.1</w:t>
            </w:r>
          </w:p>
        </w:tc>
      </w:tr>
      <w:tr>
        <w:trPr>
          <w:trHeight w:val="20"/>
        </w:trPr>
        <w:tc>
          <w:tcPr>
            <w:tcW w:w="440" w:type="dxa"/>
            <w:vAlign w:val="bottom"/>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800" w:hanging="180"/>
        <w:spacing w:after="0"/>
        <w:tabs>
          <w:tab w:leader="none" w:pos="80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Corresponding costs incurred by the Company in connection with such production is recorded within Cost of collaboration and contract manufacturing.</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net product sales of Dupixent and Kevzara are recorded by Sanofi, and we and Sanofi share profits on such sales.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the commercialization of Dupixent and Kevzara is summarized below:</w:t>
      </w:r>
    </w:p>
    <w:p>
      <w:pPr>
        <w:spacing w:after="0" w:line="252"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7"/>
                <w:szCs w:val="17"/>
                <w:color w:val="auto"/>
              </w:rPr>
            </w:pPr>
          </w:p>
        </w:tc>
        <w:tc>
          <w:tcPr>
            <w:tcW w:w="20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Dupixent and Kevzara net product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6,837.0</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5,452.4</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Regeneron's share of collaboration profits in connection with</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8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2,075.1</w:t>
            </w:r>
          </w:p>
        </w:tc>
        <w:tc>
          <w:tcPr>
            <w:tcW w:w="1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0" w:type="dxa"/>
            <w:vAlign w:val="bottom"/>
          </w:tcPr>
          <w:p>
            <w:pPr>
              <w:spacing w:after="0"/>
              <w:rPr>
                <w:sz w:val="1"/>
                <w:szCs w:val="1"/>
                <w:color w:val="auto"/>
              </w:rPr>
            </w:pPr>
          </w:p>
        </w:tc>
      </w:tr>
      <w:tr>
        <w:trPr>
          <w:trHeight w:val="176"/>
        </w:trPr>
        <w:tc>
          <w:tcPr>
            <w:tcW w:w="5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 incurred by Sanofi in accordance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Regeneron's payment obligation</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1,792.3</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share of profits as a percentage of Dupixent and Kevzara net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our share of profits for the three and six months ended June 30, 2024, compared to the same periods in 2023, was driven by higher profits associated with Dupixent sales.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72"/>
        </w:trPr>
        <w:tc>
          <w:tcPr>
            <w:tcW w:w="4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21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r>
      <w:tr>
        <w:trPr>
          <w:trHeight w:val="228"/>
        </w:trPr>
        <w:tc>
          <w:tcPr>
            <w:tcW w:w="440" w:type="dxa"/>
            <w:vAlign w:val="bottom"/>
          </w:tcPr>
          <w:p>
            <w:pPr>
              <w:spacing w:after="0"/>
              <w:rPr>
                <w:sz w:val="19"/>
                <w:szCs w:val="19"/>
                <w:color w:val="auto"/>
              </w:rPr>
            </w:pPr>
          </w:p>
        </w:tc>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40" w:type="dxa"/>
            <w:vAlign w:val="bottom"/>
          </w:tcPr>
          <w:p>
            <w:pPr>
              <w:spacing w:after="0"/>
              <w:rPr>
                <w:sz w:val="19"/>
                <w:szCs w:val="19"/>
                <w:color w:val="auto"/>
              </w:rPr>
            </w:pP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w:t>
            </w:r>
          </w:p>
        </w:tc>
      </w:tr>
      <w:tr>
        <w:trPr>
          <w:trHeight w:val="229"/>
        </w:trPr>
        <w:tc>
          <w:tcPr>
            <w:tcW w:w="440" w:type="dxa"/>
            <w:vAlign w:val="bottom"/>
          </w:tcPr>
          <w:p>
            <w:pPr>
              <w:spacing w:after="0"/>
              <w:rPr>
                <w:sz w:val="19"/>
                <w:szCs w:val="19"/>
                <w:color w:val="auto"/>
              </w:rPr>
            </w:pPr>
          </w:p>
        </w:tc>
        <w:tc>
          <w:tcPr>
            <w:tcW w:w="57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ex-U.S. commercial supplies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48"/>
        </w:trPr>
        <w:tc>
          <w:tcPr>
            <w:tcW w:w="440" w:type="dxa"/>
            <w:vAlign w:val="bottom"/>
          </w:tcPr>
          <w:p>
            <w:pPr>
              <w:spacing w:after="0"/>
              <w:rPr>
                <w:sz w:val="21"/>
                <w:szCs w:val="21"/>
                <w:color w:val="auto"/>
              </w:rPr>
            </w:pPr>
          </w:p>
        </w:tc>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r>
      <w:tr>
        <w:trPr>
          <w:trHeight w:val="20"/>
        </w:trPr>
        <w:tc>
          <w:tcPr>
            <w:tcW w:w="440" w:type="dxa"/>
            <w:vAlign w:val="bottom"/>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800" w:hanging="180"/>
        <w:spacing w:after="0"/>
        <w:tabs>
          <w:tab w:leader="none" w:pos="80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Corresponding costs incurred by the Company in connection with such production is recorded within Cost of collaboration and contract manufacturing.</w:t>
      </w:r>
    </w:p>
    <w:p>
      <w:pPr>
        <w:spacing w:after="0" w:line="2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Bayer records net product sales of EYLEA 8 mg and EYLEA outside the United States. Regeneron's share of profits in connection with commercialization of EYLEA 8 mg and EYLEA outside the United States is summarized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6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8 mg and EYLEA net product sales outside the United States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2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Regeneron's share of collaboration profit from sales outside the United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40" w:type="dxa"/>
            <w:vAlign w:val="bottom"/>
          </w:tcPr>
          <w:p>
            <w:pPr>
              <w:spacing w:after="0"/>
              <w:rPr>
                <w:sz w:val="11"/>
                <w:szCs w:val="11"/>
                <w:color w:val="auto"/>
              </w:rPr>
            </w:pPr>
          </w:p>
        </w:tc>
        <w:tc>
          <w:tcPr>
            <w:tcW w:w="5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3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57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Reimbursement of development expenses incurred by Bayer in accordance</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Regeneron's payment obligation</w:t>
            </w: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(32.6)</w:t>
            </w:r>
          </w:p>
        </w:tc>
        <w:tc>
          <w:tcPr>
            <w:tcW w:w="3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(29.3)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40" w:type="dxa"/>
            <w:vAlign w:val="bottom"/>
          </w:tcPr>
          <w:p>
            <w:pPr>
              <w:spacing w:after="0"/>
              <w:rPr>
                <w:sz w:val="5"/>
                <w:szCs w:val="5"/>
                <w:color w:val="auto"/>
              </w:rPr>
            </w:pPr>
          </w:p>
        </w:tc>
        <w:tc>
          <w:tcPr>
            <w:tcW w:w="5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57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Regeneron's share of profits as a percentage of EYLEA 8 mg and EYLEA</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product sales outside the United States</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61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Roche Collaboration Revenue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63"/>
        </w:trPr>
        <w:tc>
          <w:tcPr>
            <w:tcW w:w="34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19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5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40" w:type="dxa"/>
            <w:vAlign w:val="bottom"/>
          </w:tcPr>
          <w:p>
            <w:pPr>
              <w:spacing w:after="0"/>
              <w:rPr>
                <w:sz w:val="19"/>
                <w:szCs w:val="19"/>
                <w:color w:val="auto"/>
              </w:rPr>
            </w:pPr>
          </w:p>
        </w:tc>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gross profit payment from Roche in connection with sales of Ronapreve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30"/>
        </w:trPr>
        <w:tc>
          <w:tcPr>
            <w:tcW w:w="340" w:type="dxa"/>
            <w:vAlign w:val="bottom"/>
          </w:tcPr>
          <w:p>
            <w:pPr>
              <w:spacing w:after="0"/>
              <w:rPr>
                <w:sz w:val="19"/>
                <w:szCs w:val="19"/>
                <w:color w:val="auto"/>
              </w:rPr>
            </w:pP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8"/>
        </w:trPr>
        <w:tc>
          <w:tcPr>
            <w:tcW w:w="340" w:type="dxa"/>
            <w:vAlign w:val="bottom"/>
          </w:tcPr>
          <w:p>
            <w:pPr>
              <w:spacing w:after="0"/>
              <w:rPr>
                <w:sz w:val="21"/>
                <w:szCs w:val="21"/>
                <w:color w:val="auto"/>
              </w:rPr>
            </w:pPr>
          </w:p>
        </w:tc>
        <w:tc>
          <w:tcPr>
            <w:tcW w:w="5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Roche collaboration revenue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r>
      <w:tr>
        <w:trPr>
          <w:trHeight w:val="20"/>
        </w:trPr>
        <w:tc>
          <w:tcPr>
            <w:tcW w:w="34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 distributes and records net product sales of Ronapreve outside the United States, and the parties share gross profits from sales.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1"/>
        </w:trPr>
        <w:tc>
          <w:tcPr>
            <w:tcW w:w="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8"/>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headcount data)</w:t>
            </w:r>
          </w:p>
        </w:tc>
        <w:tc>
          <w:tcPr>
            <w:tcW w:w="18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0" w:type="dxa"/>
            <w:vAlign w:val="bottom"/>
          </w:tcPr>
          <w:p>
            <w:pPr>
              <w:spacing w:after="0"/>
              <w:rPr>
                <w:sz w:val="19"/>
                <w:szCs w:val="19"/>
                <w:color w:val="auto"/>
              </w:rPr>
            </w:pPr>
          </w:p>
        </w:tc>
        <w:tc>
          <w:tcPr>
            <w:tcW w:w="44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29"/>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29"/>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29"/>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collaboration and contract manufacturing</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30"/>
        </w:trPr>
        <w:tc>
          <w:tcPr>
            <w:tcW w:w="60" w:type="dxa"/>
            <w:vAlign w:val="bottom"/>
          </w:tcPr>
          <w:p>
            <w:pPr>
              <w:spacing w:after="0"/>
              <w:rPr>
                <w:sz w:val="19"/>
                <w:szCs w:val="19"/>
                <w:color w:val="auto"/>
              </w:rPr>
            </w:pPr>
          </w:p>
        </w:tc>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48"/>
        </w:trPr>
        <w:tc>
          <w:tcPr>
            <w:tcW w:w="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r>
              <w:rPr>
                <w:rFonts w:ascii="Times New Roman" w:cs="Times New Roman" w:eastAsia="Times New Roman" w:hAnsi="Times New Roman"/>
                <w:sz w:val="18"/>
                <w:szCs w:val="18"/>
                <w:u w:val="single" w:color="auto"/>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r>
              <w:rPr>
                <w:rFonts w:ascii="Times New Roman" w:cs="Times New Roman" w:eastAsia="Times New Roman" w:hAnsi="Times New Roman"/>
                <w:sz w:val="18"/>
                <w:szCs w:val="18"/>
                <w:u w:val="single" w:color="auto"/>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r>
      <w:tr>
        <w:trPr>
          <w:trHeight w:val="20"/>
        </w:trPr>
        <w:tc>
          <w:tcPr>
            <w:tcW w:w="6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30"/>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headcount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bl>
    <w:p>
      <w:pPr>
        <w:spacing w:after="0" w:line="52" w:lineRule="exact"/>
        <w:rPr>
          <w:sz w:val="20"/>
          <w:szCs w:val="20"/>
          <w:color w:val="auto"/>
        </w:rPr>
      </w:pPr>
    </w:p>
    <w:p>
      <w:pPr>
        <w:ind w:left="400" w:hanging="165"/>
        <w:spacing w:after="0"/>
        <w:tabs>
          <w:tab w:leader="none" w:pos="4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costs incurred net of any cost reimbursements from collaborators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costs incurred in connection with producing commercial drug supplies for collaborators and others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included stock-based compensation of $223.2 million and $202.0 million for the three months ended June 30, 2024 and 2023, respectively, and $453.3 million and $440.7 million for the six months ended June 30, 2024 and 2023, respectively. Stock-based compensation expense relates to equity awards granted under our long-term incentive plans.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summarizes our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drug filling, packaging, and labeling costs. Clinical manufacturing costs also include pre-launch commercial supplies which did not meet the criteria to be capitalized as inventory.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8"/>
        </w:trPr>
        <w:tc>
          <w:tcPr>
            <w:tcW w:w="4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210"/>
              <w:spacing w:after="0" w:line="228" w:lineRule="exact"/>
              <w:rPr>
                <w:sz w:val="20"/>
                <w:szCs w:val="20"/>
                <w:color w:val="auto"/>
              </w:rPr>
            </w:pPr>
            <w:r>
              <w:rPr>
                <w:rFonts w:ascii="Times New Roman" w:cs="Times New Roman" w:eastAsia="Times New Roman" w:hAnsi="Times New Roman"/>
                <w:sz w:val="18"/>
                <w:szCs w:val="18"/>
                <w:b w:val="1"/>
                <w:bCs w:val="1"/>
                <w:color w:val="auto"/>
                <w:w w:val="96"/>
              </w:rPr>
              <w:t>2023</w:t>
            </w:r>
            <w:r>
              <w:rPr>
                <w:rFonts w:ascii="Times New Roman" w:cs="Times New Roman" w:eastAsia="Times New Roman" w:hAnsi="Times New Roman"/>
                <w:sz w:val="23"/>
                <w:szCs w:val="23"/>
                <w:b w:val="1"/>
                <w:bCs w:val="1"/>
                <w:color w:val="auto"/>
                <w:w w:val="96"/>
                <w:vertAlign w:val="superscript"/>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210"/>
              <w:spacing w:after="0" w:line="228" w:lineRule="exact"/>
              <w:rPr>
                <w:sz w:val="20"/>
                <w:szCs w:val="20"/>
                <w:color w:val="auto"/>
              </w:rPr>
            </w:pPr>
            <w:r>
              <w:rPr>
                <w:rFonts w:ascii="Times New Roman" w:cs="Times New Roman" w:eastAsia="Times New Roman" w:hAnsi="Times New Roman"/>
                <w:sz w:val="18"/>
                <w:szCs w:val="18"/>
                <w:b w:val="1"/>
                <w:bCs w:val="1"/>
                <w:color w:val="auto"/>
                <w:w w:val="96"/>
              </w:rPr>
              <w:t>2023</w:t>
            </w:r>
            <w:r>
              <w:rPr>
                <w:rFonts w:ascii="Times New Roman" w:cs="Times New Roman" w:eastAsia="Times New Roman" w:hAnsi="Times New Roman"/>
                <w:sz w:val="23"/>
                <w:szCs w:val="23"/>
                <w:b w:val="1"/>
                <w:bCs w:val="1"/>
                <w:color w:val="auto"/>
                <w:w w:val="96"/>
                <w:vertAlign w:val="superscript"/>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 Change</w:t>
            </w:r>
          </w:p>
        </w:tc>
      </w:tr>
      <w:tr>
        <w:trPr>
          <w:trHeight w:val="20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Fianlimab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Dupixent (dupilumab)</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Odronextamab</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EYLEA HD (aflibercept) 8 mg</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Itepekimab</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Linvoseltamab</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Libtayo (cemiplimab)</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Pozelimab</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176"/>
        </w:trPr>
        <w:tc>
          <w:tcPr>
            <w:tcW w:w="45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product candidates in clinical development and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45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other research programs</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142"/>
        </w:trPr>
        <w:tc>
          <w:tcPr>
            <w:tcW w:w="4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 supplies and other research and development costs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142"/>
        </w:trPr>
        <w:tc>
          <w:tcPr>
            <w:tcW w:w="4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62"/>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5"/>
        </w:trPr>
        <w:tc>
          <w:tcPr>
            <w:tcW w:w="4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 expenses by</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collaborators</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162"/>
        </w:trPr>
        <w:tc>
          <w:tcPr>
            <w:tcW w:w="4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280" w:hanging="92"/>
        <w:spacing w:after="0"/>
        <w:tabs>
          <w:tab w:leader="none" w:pos="28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included stock-based compensation expense of $122.4 million and $109.1 million for the three months ended June 30, 2024 and 2023, respectively, and $245.4 million and $248.6 million for the six months ended June 30, 2024 and 2023, respectively.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There is also variability in the duration and costs necessary to develop a product candidate, potential opportunities and/or uncertainties related to future indications to be studied, and the estimated cost and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("IPR&amp;D")</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Acquired IPR&amp;D for the three and six months ended June 30, 2024 primarily included up-front payments, as well as a premium on equity securities purchased, in connection with collaboration and licensing agreements. Acquired IPR&amp;D for the six months ended June 30, 2023 included a $45.0 million up-front payment in connection with our collaboration agreement with Sonoma Biotherapeutics, Inc.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for the three and six months ended June 30, 2024, compared to the same periods in 2023, due to higher commercialization-related expenses to support our launch of EYLEA HD and higher headcount and headcount-related costs partly related to our international commercial expansion. Selling, general, and administrative expenses also included stock-based compensation expense of $82.6 million and $73.3 million for the three months ended June 30, 2024 and 2023, respectively, and $168.8 million and $150.1 million for the six months ended June 30, 2024 and 2023,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goods sold increased for the three and six months ended June 30, 2024, compared to the same periods in 2023, primarily due to higher start-up costs for our Rensselaer, New York fill/finish facility.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Collaboration and Contract Manufacturing</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collaboration and contract manufacturing decreased for the six months ended June 30, 2024, compared to the same period in 2023, partly due to the recognition of lower Dupixent manufacturing costs as a result of the transition to a higher-yielding manufacturing process.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 (Income)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expense (income), net, reflected charges of $14.6 million and $29.9 million, for the three and six months ended June 30, 2024, respectively, related to the increase in the estimated fair value of the contingent consideration liability recognized in connection with our 2023 acquisition of Decibel Therapeutics, Inc.</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5"/>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consists of the following:</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2"/>
        </w:trPr>
        <w:tc>
          <w:tcPr>
            <w:tcW w:w="10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30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0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20" w:type="dxa"/>
            <w:vAlign w:val="bottom"/>
          </w:tcPr>
          <w:p>
            <w:pPr>
              <w:spacing w:after="0"/>
              <w:rPr>
                <w:sz w:val="20"/>
                <w:szCs w:val="20"/>
                <w:color w:val="auto"/>
              </w:rPr>
            </w:pPr>
          </w:p>
        </w:tc>
      </w:tr>
      <w:tr>
        <w:trPr>
          <w:trHeight w:val="223"/>
        </w:trPr>
        <w:tc>
          <w:tcPr>
            <w:tcW w:w="1040" w:type="dxa"/>
            <w:vAlign w:val="bottom"/>
          </w:tcPr>
          <w:p>
            <w:pPr>
              <w:spacing w:after="0"/>
              <w:rPr>
                <w:sz w:val="19"/>
                <w:szCs w:val="19"/>
                <w:color w:val="auto"/>
              </w:rPr>
            </w:pPr>
          </w:p>
        </w:tc>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Pr>
          <w:p>
            <w:pPr>
              <w:spacing w:after="0"/>
              <w:rPr>
                <w:sz w:val="19"/>
                <w:szCs w:val="19"/>
                <w:color w:val="auto"/>
              </w:rPr>
            </w:pPr>
          </w:p>
        </w:tc>
      </w:tr>
      <w:tr>
        <w:trPr>
          <w:trHeight w:val="223"/>
        </w:trPr>
        <w:tc>
          <w:tcPr>
            <w:tcW w:w="104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equity securities, net</w:t>
            </w: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20" w:type="dxa"/>
            <w:vAlign w:val="bottom"/>
          </w:tcPr>
          <w:p>
            <w:pPr>
              <w:spacing w:after="0"/>
              <w:rPr>
                <w:sz w:val="19"/>
                <w:szCs w:val="19"/>
                <w:color w:val="auto"/>
              </w:rPr>
            </w:pPr>
          </w:p>
        </w:tc>
      </w:tr>
      <w:tr>
        <w:trPr>
          <w:trHeight w:val="229"/>
        </w:trPr>
        <w:tc>
          <w:tcPr>
            <w:tcW w:w="104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20" w:type="dxa"/>
            <w:vAlign w:val="bottom"/>
          </w:tcPr>
          <w:p>
            <w:pPr>
              <w:spacing w:after="0"/>
              <w:rPr>
                <w:sz w:val="19"/>
                <w:szCs w:val="19"/>
                <w:color w:val="auto"/>
              </w:rPr>
            </w:pPr>
          </w:p>
        </w:tc>
      </w:tr>
      <w:tr>
        <w:trPr>
          <w:trHeight w:val="230"/>
        </w:trPr>
        <w:tc>
          <w:tcPr>
            <w:tcW w:w="104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20" w:type="dxa"/>
            <w:vAlign w:val="bottom"/>
          </w:tcPr>
          <w:p>
            <w:pPr>
              <w:spacing w:after="0"/>
              <w:rPr>
                <w:sz w:val="19"/>
                <w:szCs w:val="19"/>
                <w:color w:val="auto"/>
              </w:rPr>
            </w:pPr>
          </w:p>
        </w:tc>
      </w:tr>
      <w:tr>
        <w:trPr>
          <w:trHeight w:val="223"/>
        </w:trPr>
        <w:tc>
          <w:tcPr>
            <w:tcW w:w="104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20" w:type="dxa"/>
            <w:vAlign w:val="bottom"/>
          </w:tcPr>
          <w:p>
            <w:pPr>
              <w:spacing w:after="0"/>
              <w:rPr>
                <w:sz w:val="19"/>
                <w:szCs w:val="19"/>
                <w:color w:val="auto"/>
              </w:rPr>
            </w:pPr>
          </w:p>
        </w:tc>
      </w:tr>
      <w:tr>
        <w:trPr>
          <w:trHeight w:val="230"/>
        </w:trPr>
        <w:tc>
          <w:tcPr>
            <w:tcW w:w="104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20" w:type="dxa"/>
            <w:vAlign w:val="bottom"/>
          </w:tcPr>
          <w:p>
            <w:pPr>
              <w:spacing w:after="0"/>
              <w:rPr>
                <w:sz w:val="19"/>
                <w:szCs w:val="19"/>
                <w:color w:val="auto"/>
              </w:rPr>
            </w:pPr>
          </w:p>
        </w:tc>
      </w:tr>
      <w:tr>
        <w:trPr>
          <w:trHeight w:val="223"/>
        </w:trPr>
        <w:tc>
          <w:tcPr>
            <w:tcW w:w="104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6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2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804"/>
        </w:trPr>
        <w:tc>
          <w:tcPr>
            <w:tcW w:w="10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8"/>
        </w:trPr>
        <w:tc>
          <w:tcPr>
            <w:tcW w:w="10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7"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14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3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Borders>
              <w:bottom w:val="single" w:sz="8" w:color="auto"/>
            </w:tcBorders>
          </w:tcPr>
          <w:p>
            <w:pPr>
              <w:spacing w:after="0"/>
              <w:rPr>
                <w:sz w:val="20"/>
                <w:szCs w:val="20"/>
                <w:color w:val="auto"/>
              </w:rPr>
            </w:pPr>
          </w:p>
        </w:tc>
      </w:tr>
      <w:tr>
        <w:trPr>
          <w:trHeight w:val="22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effective tax rate)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154.7</w:t>
            </w: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bl>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and six months ended June 30, 2024 was positively impacted, compared to the U.S. federal statutory rate, primarily by stock-based compensation and income earned in foreign jurisdictions with tax rates lower than the U.S. federal statutory rate, partly offset by the remeasurement of existing uncertain tax positions.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countries in which we have operations, including Ireland, have adopted legislation influenced by the Organization for Economic Co-operation and Development ("OECD") Global Anti-Base Erosion Model Rules ("Pillar Two") framework, including a minimum tax rate of 15%. The adoption of the Pillar Two framework did not have a material impact on our effective tax rate for the three and six months ended June 30, 2024. It is uncertain whether the United States will enact legislation to adopt the Pillar Two framework. We continue to evaluate additional guidance released by the OECD, along with the pending legislative adoption by additional individual countries.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8"/>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w:t>
            </w:r>
          </w:p>
        </w:tc>
      </w:tr>
      <w:tr>
        <w:trPr>
          <w:trHeight w:val="22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30"/>
        </w:trPr>
        <w:tc>
          <w:tcPr>
            <w:tcW w:w="3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2,325.9</w:t>
            </w:r>
          </w:p>
        </w:tc>
      </w:tr>
      <w:tr>
        <w:trPr>
          <w:trHeight w:val="223"/>
        </w:trPr>
        <w:tc>
          <w:tcPr>
            <w:tcW w:w="37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r>
      <w:tr>
        <w:trPr>
          <w:trHeight w:val="162"/>
        </w:trPr>
        <w:tc>
          <w:tcPr>
            <w:tcW w:w="3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19,081.6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19,479.2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r>
      <w:tr>
        <w:trPr>
          <w:trHeight w:val="22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23"/>
        </w:trPr>
        <w:tc>
          <w:tcPr>
            <w:tcW w:w="37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15,573.0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16,055.8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(482.8)</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9"/>
        </w:trPr>
        <w:tc>
          <w:tcPr>
            <w:tcW w:w="3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and finance lease liabilities: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we also had borrowing availability of $750.0 million under a revolving credit facility.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Six Months Ended June 30, 2024 and 2023</w:t>
      </w:r>
    </w:p>
    <w:p>
      <w:pPr>
        <w:spacing w:after="0" w:line="175"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4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8"/>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(523.5)</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378.3</w:t>
            </w:r>
          </w:p>
        </w:tc>
      </w:tr>
      <w:tr>
        <w:trPr>
          <w:trHeight w:val="23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505.7</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for the six months ended June 30, 2024 included costs incurred in connection with the expansion of our research, preclinical manufacturing, and support facilities at our Tarrytown, New York location, as well as costs associated with the expansion of our manufacturing facilities in Rensselaer, New York (including the fill/finish facility). We expect to incur</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expenditures of $750 million to $820 million for the full year of 2024 primarily in connection with the continued expansion of our facilities in Tarrytown and Rensselaer (including the fill/finish facility).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Payments for the Libtayo intangible asset of $58.3 million and $121.8 million for the six months ended June 30, 2024 and 2023, respectively, were related to contingent consideration in connection with our acquisition of the exclusive right to develop, commercialize, and manufacture Libtayo worldwide.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Proceeds from issuances of Common Stock, in connection with exercises of employee stock options, were $1.120 billion for the six months ended June 30, 2024, compared to $575.9 million for the six months ended June 30, 2023. In addition, payments in connection with Common Stock tendered for employee tax obligations were $655.5 million for the six months ended June 30, 2024, compared to $113.1 million for the six months ended June 30, 2023. For information related to repurchases of Common Stock, see "</w:t>
      </w:r>
      <w:r>
        <w:rPr>
          <w:rFonts w:ascii="Times New Roman" w:cs="Times New Roman" w:eastAsia="Times New Roman" w:hAnsi="Times New Roman"/>
          <w:sz w:val="18"/>
          <w:szCs w:val="18"/>
          <w:i w:val="1"/>
          <w:iCs w:val="1"/>
          <w:color w:val="auto"/>
        </w:rPr>
        <w:t>Share Repurchase Programs</w:t>
      </w:r>
      <w:r>
        <w:rPr>
          <w:rFonts w:ascii="Times New Roman" w:cs="Times New Roman" w:eastAsia="Times New Roman" w:hAnsi="Times New Roman"/>
          <w:sz w:val="18"/>
          <w:szCs w:val="18"/>
          <w:color w:val="auto"/>
        </w:rPr>
        <w:t>" section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2023, our board of directors authorized a share repurchase program to repurchase up to $3.0 billion of our Common Stock. The share repurchase program permits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2024, our board of directors authorized a share repurchase program to repurchase up to an additional $3.0 billion of our Common Stock. The share repurchase program was approved under terms substantially similar to the share repurchase program described above.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shares of our Common Stock we repurchased and the cost of the shares, which were recorded as Treasury Stock.</w:t>
      </w:r>
    </w:p>
    <w:p>
      <w:pPr>
        <w:spacing w:after="0" w:line="171" w:lineRule="exact"/>
        <w:rPr>
          <w:sz w:val="20"/>
          <w:szCs w:val="20"/>
          <w:color w:val="auto"/>
        </w:rPr>
      </w:pPr>
    </w:p>
    <w:tbl>
      <w:tblPr>
        <w:tblLayout w:type="fixed"/>
        <w:tblInd w:w="304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2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Borders>
              <w:bottom w:val="single" w:sz="8" w:color="auto"/>
            </w:tcBorders>
          </w:tcPr>
          <w:p>
            <w:pPr>
              <w:spacing w:after="0"/>
              <w:rPr>
                <w:sz w:val="20"/>
                <w:szCs w:val="20"/>
                <w:color w:val="auto"/>
              </w:rPr>
            </w:pPr>
          </w:p>
        </w:tc>
      </w:tr>
      <w:tr>
        <w:trPr>
          <w:trHeight w:val="228"/>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 aggregate of $3.631 billion remained available for share repurchases under the programs.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critical accounting estimates is presented in Part II, Item 7. "Management's Discussion and Analysis of Financial Condition and Results of Operations" of our Annual Report on Form 10-K for the fiscal year ended December 31, 2023 (filed February 5, 2024). There have been no material changes to critical accounting estimates during the six months ended June 30,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 for a summary of recently issued accounting standards.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About Market Risk" of our Annual Report on Form 10-K for the fiscal year ended December 31, 2023 (filed February 5, 2024). There have been no material changes to our market risks or to our management of such risks as of June 30, 2024.</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or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or 15d-15(f) under the Exchange Act) during the quarter ended June 30, 2024 that has materially affected, or is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11 to our Condensed Consolidated Financial Statements included in this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10-Q, including the full set of risks set forth in this "Risk Factors" section, and in our other filings with the SEC before making an investment decision regarding Regeneron.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Risks</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EYLEA, EYLEA HD, and Dupixent.</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are dependent on the availability and extent of coverage and reimbursement from third-party payors, including private payors and government programs such as Medicare and Medicaid.</w:t>
      </w: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reimbursement and coverage policies and practices could change due to various factors such as drug price control measures that have been or may be enacted or introduced in the United States by various federal and state authorities.</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 is subject to significant competition from products or product candidates that may be superior to, or more established or cost effective than, our products or product candidates.</w:t>
      </w: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on which we rely to commercialize some of our marketed products may be unable to continue to successfully commercialize or co-commercialize our products, both in and outside the United States.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Development Risks</w:t>
      </w:r>
    </w:p>
    <w:p>
      <w:pPr>
        <w:spacing w:after="0" w:line="14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products is costly, time-consuming, and highly uncertain.</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are intended to be used in combination with drug-delivery devices, which may result in additional regulatory, commercialization, and other risks.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Market Exclusivity Risks</w:t>
      </w:r>
    </w:p>
    <w:p>
      <w:pPr>
        <w:spacing w:after="0" w:line="162" w:lineRule="exact"/>
        <w:rPr>
          <w:sz w:val="20"/>
          <w:szCs w:val="20"/>
          <w:color w:val="auto"/>
        </w:rPr>
      </w:pPr>
    </w:p>
    <w:p>
      <w:pPr>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the confidentiality of our trade secrets, and our patents or other means of defending our intellectual property may be insufficient to protect our proprietary rights.</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limitation of patent rights, and regulatory pathways for biosimilar competition, could reduce the duration of market exclusivity for our products, including EYLEA and EYLEA HD.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Risks</w:t>
      </w:r>
    </w:p>
    <w:p>
      <w:pPr>
        <w:spacing w:after="0" w:line="162" w:lineRule="exact"/>
        <w:rPr>
          <w:sz w:val="20"/>
          <w:szCs w:val="20"/>
          <w:color w:val="auto"/>
        </w:rPr>
      </w:pPr>
    </w:p>
    <w:p>
      <w:pPr>
        <w:jc w:val="both"/>
        <w:ind w:left="660" w:hanging="328"/>
        <w:spacing w:after="0" w:line="25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manufacturing capacity and establishing fill/finish capabilities will be costly and we may be unsuccessful in doing so in a timely manner, which could delay or prevent the launch and successful commercialization of our products approved for marketing and could jeopardize our clinical development programs.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60" w:hanging="328"/>
        <w:spacing w:after="0" w:line="25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48" w:lineRule="exact"/>
        <w:rPr>
          <w:sz w:val="20"/>
          <w:szCs w:val="20"/>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or use of our products harms people, or is perceived to harm them even when such harm is unrelated to our products, we could be subject to costly and damaging product liability claims.</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activities have been, and may in the future be, challenged under U.S. federal or state and foreign healthcare laws, which may subject us to civil or criminal proceedings, investigations, or penalties.</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environmental, health, and safety laws and regulations, including those governing the use of hazardous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the healthcare industry could adversely affect our business.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and risks associated with our operations outside the United States could adversely affect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personal data we collect, process, and share.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48" w:lineRule="exact"/>
        <w:rPr>
          <w:sz w:val="20"/>
          <w:szCs w:val="20"/>
          <w:color w:val="auto"/>
        </w:rPr>
      </w:pPr>
    </w:p>
    <w:p>
      <w:pPr>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with Sanofi or Bayer or other third parties are terminated or breached, our ability to develop, manufacture, and commercialize certain of our products and product candidates in the time expected, or at all, may be materially harmed.</w:t>
      </w: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and service providers may fail to perform adequately in their efforts to support the development, manufacture, and commercialization of our drug candidates and current and future products.</w:t>
      </w:r>
    </w:p>
    <w:p>
      <w:pPr>
        <w:ind w:left="66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undertaken and may in the future undertake strategic acquisitions, and any difficulties from integrating such acquisitions or failure to realize the expected benefits from such acquisitions could adversely affect our business, operating results, and financial condition.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Our Common Stock</w:t>
      </w:r>
    </w:p>
    <w:p>
      <w:pPr>
        <w:spacing w:after="0" w:line="162" w:lineRule="exact"/>
        <w:rPr>
          <w:sz w:val="20"/>
          <w:szCs w:val="20"/>
          <w:color w:val="auto"/>
        </w:rPr>
      </w:pPr>
    </w:p>
    <w:p>
      <w:pPr>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key personnel and will be harmed if we cannot recruit and retain key members of our senior management team, including leaders in our research, development, manufacturing, and commercial organizations.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outbreaks, epidemics, or pandemics (such as the COVID-19 pandemic) have adversely affected and may in the future adversely affect our business.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impact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extremely volatile.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may be able to exert substantial influence over matters requiring shareholder approval and over our management.</w:t>
      </w:r>
    </w:p>
    <w:p>
      <w:pPr>
        <w:spacing w:after="0" w:line="125"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154" w:lineRule="exact"/>
        <w:rPr>
          <w:sz w:val="20"/>
          <w:szCs w:val="20"/>
          <w:color w:val="auto"/>
        </w:rPr>
      </w:pPr>
    </w:p>
    <w:p>
      <w:pPr>
        <w:ind w:right="90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Risks Related to Commercialization of Our Marketed Products, Product Candidates, and New Indications for Our Marketed Products </w:t>
      </w:r>
      <w:r>
        <w:rPr>
          <w:rFonts w:ascii="Times New Roman" w:cs="Times New Roman" w:eastAsia="Times New Roman" w:hAnsi="Times New Roman"/>
          <w:sz w:val="18"/>
          <w:szCs w:val="18"/>
          <w:b w:val="1"/>
          <w:bCs w:val="1"/>
          <w:i w:val="1"/>
          <w:iCs w:val="1"/>
          <w:color w:val="auto"/>
        </w:rPr>
        <w:t>We are substantially dependent on the success of EYLEA, EYLEA HD, and Dupixent.</w:t>
      </w: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substantially dependent on the success of our ophthalmology portfolio, which consists of EYLEA and, since its August 2023 FDA approval, EYLEA HD. EYLEA net product sales have historically represented a substantial portion of our revenues, and we expect that there will continue to be a concentration of our net sales from the net product sales of EYLEA HD and EYLEA. For the six months ended June 30, 2024 and 2023, our aggregate EYLEA HD and EYLEA net product sales in the United States represented 44% and 46% of our total revenues, respectively. For the six months ended June 30, 2024, EYLEA HD U.S. net product sales represented 17% of our aggregate EYLEA HD and EYLEA U.S. net product sales. If we are successful in commercializing EYLEA HD, we expect that our dependence on EYLEA HD will grow relative to our historical dependence on EYLEA. If we experience difficulty with the commercialization of EYLEA HD or EYLEA in the United States or if Bayer experiences any difficulty with the commercialization of EYLEA HD or EYLEA outside the United States, if EYLEA net product sales experience a sustained decline in or outside the United States without an offset from EYLEA HD net product sales, or if we and Bayer are unable to maintain or obtain marketing approvals of these products (as applicable), we may experience a reduction in revenue and may not be able to stay profitable at the levels we previously achieved or at all, and our business, prospects, operating results, and financial condition may be materially harmed. Commercialization of EYLEA and EYLEA HD in the United States and elsewhere is subject to significant competition (as described further below under "</w:t>
      </w:r>
      <w:r>
        <w:rPr>
          <w:rFonts w:ascii="Times New Roman" w:cs="Times New Roman" w:eastAsia="Times New Roman" w:hAnsi="Times New Roman"/>
          <w:sz w:val="18"/>
          <w:szCs w:val="18"/>
          <w:i w:val="1"/>
          <w:iCs w:val="1"/>
          <w:color w:val="auto"/>
        </w:rPr>
        <w:t>The commercial success of our products and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is subject to significant competition</w:t>
      </w:r>
      <w:r>
        <w:rPr>
          <w:rFonts w:ascii="Times New Roman" w:cs="Times New Roman" w:eastAsia="Times New Roman" w:hAnsi="Times New Roman"/>
          <w:sz w:val="18"/>
          <w:szCs w:val="18"/>
          <w:color w:val="auto"/>
        </w:rPr>
        <w:t>"), which we expect to continue to increase in the future. For the three and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EYLEA U.S. net product sales declined by 18% and 17%, respectively, compared to the same periods in 2023. In the United States, the regulatory exclusivity period for EYLEA (i.e., the period during which no biosimilar product can be approved by the FDA) expired on May 18, 2024. See "Risks Related to Intellectual Property and Market Exclusivity - </w:t>
      </w:r>
      <w:r>
        <w:rPr>
          <w:rFonts w:ascii="Times New Roman" w:cs="Times New Roman" w:eastAsia="Times New Roman" w:hAnsi="Times New Roman"/>
          <w:sz w:val="18"/>
          <w:szCs w:val="18"/>
          <w:i w:val="1"/>
          <w:iCs w:val="1"/>
          <w:color w:val="auto"/>
        </w:rPr>
        <w:t>Loss or limitation of patent rights, and regulatory pathways for biosimilar competition,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reduce the duration of market exclusivity for our products</w:t>
      </w:r>
      <w:r>
        <w:rPr>
          <w:rFonts w:ascii="Times New Roman" w:cs="Times New Roman" w:eastAsia="Times New Roman" w:hAnsi="Times New Roman"/>
          <w:sz w:val="18"/>
          <w:szCs w:val="18"/>
          <w:color w:val="auto"/>
        </w:rPr>
        <w:t>" below. As of the date of this report, three biosimilar versions of EYLEA had been approved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FDA. While no such biosimilar product has been launched in the United States to date, we face the risk of lower EYLEA net product sales when these or other biosimilar versions of EYLEA are brought to market in the United States, which may have a material adverse impact on our results of operations. In addition, we expect that competition for EYLEA outside the United States will increase in the future when biosimilar versions of EYLEA (including those already approved but not yet launched) are brought to market in additional countries, which may negatively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impact the amount of collaboration revenue we earn from Bayer. The degree to which EYLEA HD net product sales may offset any potential decrease in EYLEA net product sales, resulting from the factors discussed above or otherwise, is uncertain.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substantially dependent on our share of profits from the commercialization of Dupixent under our Antibody Collaboration with Sanofi.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may be materially harmed.</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the degree of commercial success of our marketed products will continue to depend on many factors, including the following (as applicable):</w:t>
      </w:r>
    </w:p>
    <w:p>
      <w:pPr>
        <w:spacing w:after="0" w:line="8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enacted or introduced in the United States by various federal and state authorities);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and EYLEA HD, the existing and potential new branded and biosimilar competition (discussed further under "</w:t>
      </w:r>
      <w:r>
        <w:rPr>
          <w:rFonts w:ascii="Times New Roman" w:cs="Times New Roman" w:eastAsia="Times New Roman" w:hAnsi="Times New Roman"/>
          <w:sz w:val="18"/>
          <w:szCs w:val="18"/>
          <w:i w:val="1"/>
          <w:iCs w:val="1"/>
          <w:color w:val="auto"/>
        </w:rPr>
        <w:t>The commercial success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products and product candidates is subject to significant competition - </w:t>
      </w:r>
      <w:r>
        <w:rPr>
          <w:rFonts w:ascii="Times New Roman" w:cs="Times New Roman" w:eastAsia="Times New Roman" w:hAnsi="Times New Roman"/>
          <w:sz w:val="18"/>
          <w:szCs w:val="18"/>
          <w:color w:val="auto"/>
        </w:rPr>
        <w:t>Marketed Products" below) and the willingness of retinal specialists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patients to start or continue treatment with such products or to switch from a competitive product to one of our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marketed products (particularly those launched recently, such as EYLEA HD) seen in a broader patient group (i.e., real-world use);</w:t>
      </w: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healthcare laws and regulations currently being considered or implemented in the United States and globally, including measures requiring the U.S. government in the future to negotiate the prices of certain drugs and price reporting and other disclosure requirements and the potential impact of such requirements on physician prescribing practices and payor coverage;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of our products and in clinical trials for our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proceedings relating to EYLEA (described further in Note 11 to our Condensed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government proceedings and investigations and other matters described in Note 11 to our Condensed Consolidated Financial Statements included in this report (including the civil proceedings initiated or joined by the U.S. Department of Justice and the U.S. Attorney's Office for the District of Massachusetts);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for the products' currently approved indications in the United States, EU, Japan, and other countries where such products are approved.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 for drug products is costly, time-consuming, 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r>
        <w:rPr>
          <w:rFonts w:ascii="Times New Roman" w:cs="Times New Roman" w:eastAsia="Times New Roman" w:hAnsi="Times New Roman"/>
          <w:sz w:val="18"/>
          <w:szCs w:val="18"/>
          <w:color w:val="auto"/>
        </w:rPr>
        <w:t>"), the applicable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may be withdrawn, which 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 failure to meet the stringent requirements of governmental regulation in the manufacture of drug products or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below.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coverage and reimbursement from third-party payors.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("PBMs"), and government programs such as Medicare and Medicaid. Sales of our marketed products in other countries are also dependent, in large part, on complex coverage and reimbursement mechanisms and programs in those countries.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future revenues and profitability will be adversely affected in a material manner if such third-party payors do not adequately defray or reimburse the cost of our marketed products.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most of our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healthcare systems, our currently marketed products and product candidates are likely to be subject to continued pricing pressures, which may have an adverse impact on our business, prospects, operating results, and financial condition.</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the Centers for Medicare &amp; Medicaid Services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PBMs and other managed-care organizations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many countries outside the United States,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of these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countries outside the United States or if coverage and reimbursement for our marketed products in such countries is limited or delayed. As discussed below under "</w:t>
      </w:r>
      <w:r>
        <w:rPr>
          <w:rFonts w:ascii="Times New Roman" w:cs="Times New Roman" w:eastAsia="Times New Roman" w:hAnsi="Times New Roman"/>
          <w:sz w:val="18"/>
          <w:szCs w:val="18"/>
          <w:i w:val="1"/>
          <w:iCs w:val="1"/>
          <w:color w:val="auto"/>
        </w:rPr>
        <w:t>If we are unable to establish sufficient commercial capabilities outside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United States for Libtayo, Dupixent, and any other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we will need to manage these and other commercialization-related risks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for us to successfully develop sufficient commercial capabilities outside the United States (including those necessary for our successful commercialization and co-commercialization of Libtayo and Dupixent, respectively).</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product reimbursement and coverage policies and practices may materially harm our business, prospects, operating results, and financial condition.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Private payor healthcare and insurance providers, health maintenance organizations, and PBMs are increasingly requiring significant discounts and rebates from manufacturers as a condition to including products on formulary with favorable coverage and copayment/coinsurance. Some states have also enacted or are considering legislation to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healthcare reform measures in the future that will impose additional constraints on prices and reimbursements for our marketed products.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and recently approved or proposed federal and state legislation, regulations,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Notably, in 2022 the U.S. Congress passed the Inflation Reduction Act ("IRA"), which includes, among other items, provisions regarding the following:</w:t>
      </w:r>
    </w:p>
    <w:p>
      <w:pPr>
        <w:spacing w:after="0" w:line="87" w:lineRule="exact"/>
        <w:rPr>
          <w:sz w:val="20"/>
          <w:szCs w:val="20"/>
          <w:color w:val="auto"/>
        </w:rPr>
      </w:pPr>
    </w:p>
    <w:p>
      <w:pPr>
        <w:jc w:val="both"/>
        <w:ind w:left="660" w:hanging="328"/>
        <w:spacing w:after="0" w:line="24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Implementation of a Medicare Drug Price Negotiation Program </w:t>
      </w:r>
      <w:r>
        <w:rPr>
          <w:rFonts w:ascii="Times New Roman" w:cs="Times New Roman" w:eastAsia="Times New Roman" w:hAnsi="Times New Roman"/>
          <w:sz w:val="18"/>
          <w:szCs w:val="18"/>
          <w:color w:val="auto"/>
        </w:rPr>
        <w:t>(the "Medicare Drug Price Negotiation Program"). The Medicare Drug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Negotiation Program requires the government to set prices for select high-expenditure drugs covered under Medicare Parts B and D. Starting in 2023 and 2026, the government is authorized to select Part D and Part B drugs, respectively, for inclusion in the Medicare Drug Price Negotiation Program, with established prices to go into effect for selected Part D drugs in 2026 and for selected Part B drugs in 2028, in each case absent certain disqualifying events.</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Inflation Based Rebates</w:t>
      </w:r>
      <w:r>
        <w:rPr>
          <w:rFonts w:ascii="Times New Roman" w:cs="Times New Roman" w:eastAsia="Times New Roman" w:hAnsi="Times New Roman"/>
          <w:sz w:val="18"/>
          <w:szCs w:val="18"/>
          <w:color w:val="auto"/>
        </w:rPr>
        <w:t>. The IRA includes measures requiring manufacturers to pay rebates where the average sales price or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 price of drugs covered under Medicare Parts B and D, respectively, exceeds the rate of inflation.</w:t>
      </w:r>
    </w:p>
    <w:p>
      <w:pPr>
        <w:ind w:left="660" w:right="2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Part D Program Redesign</w:t>
      </w:r>
      <w:r>
        <w:rPr>
          <w:rFonts w:ascii="Times New Roman" w:cs="Times New Roman" w:eastAsia="Times New Roman" w:hAnsi="Times New Roman"/>
          <w:sz w:val="18"/>
          <w:szCs w:val="18"/>
          <w:color w:val="auto"/>
        </w:rPr>
        <w:t>. The IRA implements changes to the Medicare Part D benefits to limit patient out-of-pocket drug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shift program liabilities from patients to other stakeholders, including health plans, manufacturers, and the government.</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enacted into law, it is currently unclear the extent to which the policy changes will ultimately impact reimbursement levels of our marketed products, including those covered under Medicare Part B (such as EYLEA and EYLEA HD), or our product candidates that may be covered under Medicare Part B or Medicare Part D in the future.</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state level, legislatures are becoming increasingly aggressive in passing legislation and implementing regulations designed to control pharmaceutical and biological product pricing, including price or patient reimbursement constraints,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legislation, proposals, initiatives, and developments described above) could have a material adverse effect on the sales of EYLEA, EYLEA HD, or our other marketed products. Economic pressure on state budgets may also have a similar impact.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significant competition.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1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EYLEA and EYLEA HD. </w:t>
      </w:r>
      <w:r>
        <w:rPr>
          <w:rFonts w:ascii="Times New Roman" w:cs="Times New Roman" w:eastAsia="Times New Roman" w:hAnsi="Times New Roman"/>
          <w:sz w:val="18"/>
          <w:szCs w:val="18"/>
          <w:color w:val="auto"/>
        </w:rPr>
        <w:t>EYLEA and EYLEA HD face significant competition in the marketplace. For example, each of EYLEA and EYLEA HD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competes in one or more of its approved indications with other VEGF inhibitors. These include Genentech/Roche's Vabysmo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(faricimab-svoa) and Susvimo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ocular implant); Novartis and Genentech/Roche's Lucentis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Novartis' Beovu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(brolucizumab); and biosimilar versions of Lucentis commercialized in the United States by Biogen Inc. and Sandoz Group AG. In addition, biosimilar versions of EYLEA have been approved both in and outside the United States. We expect that biosimilar competition for EYLEA will increase in the future when biosimilar versions of EYLEA are launched in additional countries (such as the United States), the timing of which will depend on, among other factors, the outcome of the pending patent litigation proceedings described in Note 11 to our Condensed Consolidated Financial Statements and the expiration of the patents protecting EYLEA (including those set forth under Part I - Item 1. "Business - Patents, Trademarks, and Trade Secrets" of Regeneron's Annual Report on Form 10-K for the fiscal year ended December 31, 2023 (filed February 5, 2024)). Ophthalmologists are also using off-label, third-party repackaged versions of Genentech/Roche's approved VEGF antagonist, bevacizumab, for the treatment of certain of EYLEA's and EYLEA HD's respective indications, and we are aware of another company developing an ophthalmic formulation of such product that has been approved in the EU. In DME (and, in the case of EYLEA, also RVO), EYLEA and EYLEA HD also compete with intravitreal implants of corticosteroids. We are also aware of a number of companies working on the development of product candidates and extended delivery devices for the potential treatment of one or more of EYLEA's and EYLEA HD's respective indications, including those that act by blocking VEGF and VEGF receptors (including therapies designed to extend the treatment interval) and/or other targets. In addition, we are aware of several other companies developing biosimilar versions of EYLEA, EYLEA HD, and/or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EYLEA HD was approved by the FDA in August 2023 for the treatment of wAMD, DME, and DR. As a newly approved product, EYLEA HD has entered the highly competitive environment described above. Our success in commercializing EYLEA HD will depend on a number of factors, including the degree of success and relative timing of our commercial launch and uptake efforts as compared to those of relevant competition, the extent to which we and our collaborators are able to differentiate EYLEA HD from competitive products (such as on the basis of dosing frequency or the method of administration), the safety and efficacy of EYLEA HD seen in a broader patient group (i.e., real-world use), the extent of payor coverage and reimbursement, and the applicability of any restrictions imposed by payors, such as step therapy.</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Dupixent</w:t>
      </w:r>
      <w:r>
        <w:rPr>
          <w:rFonts w:ascii="Times New Roman" w:cs="Times New Roman" w:eastAsia="Times New Roman" w:hAnsi="Times New Roman"/>
          <w:sz w:val="18"/>
          <w:szCs w:val="18"/>
          <w:color w:val="auto"/>
        </w:rPr>
        <w:t>. The market for Dupixent's current and potential future indications is also increasingly competitive. In atopic dermatitis, there are topical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systemic JAK inhibitors and antibodies against IL-13 approved or in development for atopic dermatitis. There is also an antibody against IL-31R approved for prurigo nodularis and in development for atopic dermatitis. In addition, a number of companies are developing antibodies against other targets, including IL-4Ra, IL-13Ra1, and/or OX40(L), that may compete with Dupixent in atopic dermatitis and other indications (including asthma and/or prurigo nodularis), as applicable. In asthma, competitors to Dupixent include antibodies against the IL-5 ligand or the IL-5 receptor, immunoglobulin E, or thymic stromal lymphopoietin ("TSLP"); and some of these antibodies are either approved or in development for indications that also compete or may compete in the future with Dupixent in CRSwNP and EoE. There are several other potentially competitive products in development that may compete with Dupixent in asthma, as well as potential future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indications, including antibodies against the IL-33 ligand. Dupixent also faces competition from inhaled products in asthma and potential future indications.</w:t>
      </w:r>
    </w:p>
    <w:p>
      <w:pPr>
        <w:spacing w:after="0" w:line="3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Libtayo. </w:t>
      </w:r>
      <w:r>
        <w:rPr>
          <w:rFonts w:ascii="Times New Roman" w:cs="Times New Roman" w:eastAsia="Times New Roman" w:hAnsi="Times New Roman"/>
          <w:sz w:val="18"/>
          <w:szCs w:val="18"/>
          <w:color w:val="auto"/>
        </w:rPr>
        <w:t>Libtayo also faces significant competition. There are several competitors that are marketing and/or developing antibodies against PD-1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PDL-1 (some of which were approved in the relevant indications and commercialized before Libtayo), including Merck's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Bristol-Myers Squibb's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(nivolumab), Roche's Tecentriq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(atezolizumab), and AstraZeneca's Imfinzi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(durvalumab).</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marketed products. </w:t>
      </w:r>
      <w:r>
        <w:rPr>
          <w:rFonts w:ascii="Times New Roman" w:cs="Times New Roman" w:eastAsia="Times New Roman" w:hAnsi="Times New Roman"/>
          <w:sz w:val="18"/>
          <w:szCs w:val="18"/>
          <w:color w:val="auto"/>
        </w:rPr>
        <w:t>There is also significant actual and potential future competition for other products marketed or otherwise commercialized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our collaborators under our collaboration agreements with them. For example, there are several companies that are marketing and/or developing antibodies or other molecules (such as small interfering RNA molecules, or siRNAs) against PCSK9, ANGPTL3 and IL-6 and/or IL-6R, which currently (or, for product candidates in development, may in the future if approved) compete with Praluent, Evkeeza, and Kevzara,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1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chimeric antigen receptor T cell (CAR-T cell), and gene therapy technologies. For example,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some of our marketed products.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HD and EYLEA in the United States for its currently approved indications, we have no sales, marketing, commercial, or distribution capabilities for EYLEA HD 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HD and EYLEA outside the United States.</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under the terms of our Antibody Collaboration, we and Sanofi co-commercialize Dupixent in the United States and, as further discussed below, certain jurisdictions outside the United States. As a result, we rely in part on Sanofi's sales and marketing organization for Dupixent. If we and Sanofi fail to coordinate our sales and marketing efforts effectively, sales of Dupixent may be materially affected. Sanofi also maintains other important responsibilities relating to Dupixent. For example, Sanofi records product sales for Dupixent in the United States and leads negotiations with payors relating to this product. We also rely on Sanofi for sales, marketing, and distribution of Dupixent in many countries outside the United States. While we exercised our option under the Antibody Collaboration to co-commercialize Dupixent in certain jurisdictions outside the United States, we will continue to rely in considerable part on Sanofi's sales and marketing organization in such jurisdictions.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While we have some commercial presence outside the United States, our commercial capabilities outside the United States are still limited and would need to be further developed or outsourced. Therefore, termination of the Bayer collaboration agreement or our Antibody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or Transactions with Third Parties - </w:t>
      </w:r>
      <w:r>
        <w:rPr>
          <w:rFonts w:ascii="Times New Roman" w:cs="Times New Roman" w:eastAsia="Times New Roman" w:hAnsi="Times New Roman"/>
          <w:sz w:val="18"/>
          <w:szCs w:val="18"/>
          <w:i w:val="1"/>
          <w:iCs w:val="1"/>
          <w:color w:val="auto"/>
        </w:rPr>
        <w:t>If our collaboration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r>
        <w:rPr>
          <w:rFonts w:ascii="Times New Roman" w:cs="Times New Roman" w:eastAsia="Times New Roman" w:hAnsi="Times New Roman"/>
          <w:sz w:val="18"/>
          <w:szCs w:val="18"/>
          <w:color w:val="auto"/>
        </w:rPr>
        <w:t>" below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Related to Our Reliance on or Transactions with Third Parties - </w:t>
      </w:r>
      <w:r>
        <w:rPr>
          <w:rFonts w:ascii="Times New Roman" w:cs="Times New Roman" w:eastAsia="Times New Roman" w:hAnsi="Times New Roman"/>
          <w:sz w:val="18"/>
          <w:szCs w:val="18"/>
          <w:i w:val="1"/>
          <w:iCs w:val="1"/>
          <w:color w:val="auto"/>
        </w:rPr>
        <w:t>If our Antibody Collaboration with Sanofi is terminated, or Sanofi materially breaches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 thereunder, our business, prospects, operating results, and financial condition, and our ability to develop, manufacture, and commercialize certain of our products and product candidates in the time expected, or at all, may be materially harmed</w:t>
      </w:r>
      <w:r>
        <w:rPr>
          <w:rFonts w:ascii="Times New Roman" w:cs="Times New Roman" w:eastAsia="Times New Roman" w:hAnsi="Times New Roman"/>
          <w:sz w:val="18"/>
          <w:szCs w:val="18"/>
          <w:color w:val="auto"/>
        </w:rPr>
        <w:t>" below.</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HD and EYLEA outside the United States is the responsibility of Bayer. Similarly, under our Antibody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1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our marketed products for which we record net product sales in the United States to several distributors and specialty pharmacies, as applicable (collectively, "distributor customers"), which generally sell the product directly to healthcare providers or other pharmacies (as applicable). For the six months ended June 30, 2024 and 2023, our product sales to two distributor customers accounted on a combined basis for 75% and 76% of our total gross product revenue, respectively. We expect significant distributor customer concentration to continue for the foreseeable future. Our ability to generate and grow sales of these products will depend, in part, on the extent to which our distributor customers are able to provide adequate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distribution of these products to healthcare providers. Although we believe we can find additional distributors, if necessary, our revenue during any period of disruption could suffer and we might incur additional costs. In addition, these distributor customers are responsible for a significant portion of our net trade accounts receivable balances. The loss of any large distributor customer, a significant reduction in sales we make to them, any cancellation of orders they have made with us, or any failure to pay for the products we have shipped to them could adversely affect our results of operations. Commercialization of any of our marketed products may also be adversely impacted by vertical integration of private payor healthcare and insurance programs, health maintenance organizations, and PBMs, or further consolidation among the healthcare providers served by our distributor customers if, for example, one or more consolidated groups of healthcare providers determines not to use (or decides to switch from) such marketed product in favor of a competing product. See also "</w:t>
      </w:r>
      <w:r>
        <w:rPr>
          <w:rFonts w:ascii="Times New Roman" w:cs="Times New Roman" w:eastAsia="Times New Roman" w:hAnsi="Times New Roman"/>
          <w:sz w:val="18"/>
          <w:szCs w:val="18"/>
          <w:i w:val="1"/>
          <w:iCs w:val="1"/>
          <w:color w:val="auto"/>
        </w:rPr>
        <w:t>The commercial success of our products and product candidates is subject to significant competition -</w:t>
      </w:r>
      <w:r>
        <w:rPr>
          <w:rFonts w:ascii="Times New Roman" w:cs="Times New Roman" w:eastAsia="Times New Roman" w:hAnsi="Times New Roman"/>
          <w:sz w:val="18"/>
          <w:szCs w:val="18"/>
          <w:color w:val="auto"/>
        </w:rPr>
        <w:t xml:space="preserve"> Marketed Products" above.</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sufficient commercial capabilities outside the United States for Libtayo, Dupixent, and any other products we intend to commercialize or co-commercialize outside the United States, our business, prospects, operating results, and financial condition may be adversely affected.</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limited commercial capabilities outside the United States and have not yet fully established an organization for the sales, marketing, and distribution of marketed products outside the United States. We are in the process of establishing these capabilities outside the United States for Libtayo in connection with our entry into an Amended and Restated Immuno-oncology License and Collaboration Agreement with Sanofi (the "A&amp;R IO LCA") in 2022 whereby all rights to develop, commercialize, and manufacture Libtayo will be transferred exclusively to our Company, on a worldwide basis, over the course of a defined transition period. In addition to fully establishing these commercial capabilities by the end of the transition period, we will also need to obtain and/or maintain regulatory approvals and secure pricing and reimbursement for Libtayo in many jurisdictions outside the United States (including Europe and Japan). Further, following the exercise of our option under the Antibody Collaboration to co-commercialize Dupixent in certain jurisdictions outside the United States, we have established certain co-commercialization capabilities for Dupixent in some of these jurisdictions and are in the process of establishing these capabilities in others. There may be other circumstances in which we need to establish further commercial capabilities outside the United States, including because we decide to commercialize a particular product independently; we are unable to find an appropriate collaborator; or an existing collaborator decides to opt out or breaches its obligations to us with respect to a particular product.</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commercialize or co-commercialize any products outside the United States beyond what we have done so far, we must build our sales, marketing, distribution, regulatory, managerial, and other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full commercial capabilities outside the United States (particularly as it relates to Libtayo, for which we plan to expand our global commercialization footprint as noted above) within an acceptable time frame, without incurring substantial expenses, or at all. These and other difficulties relating to commercializing our products outside the United States may harm our business, prospects, operating results, and financial condition.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or other authorization.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we (which, for purposes of this risk factor, includes our collaborators, unless otherwise stated or required by the context) must obtain and maintain approval from the FDA for each drug we intend to sell. We must obtain and maintain similar regulatory approvals from comparable foreign regulatory authorities in order to sell drugs outside the United States. Obtaining FDA or comparable foreign regulatory authority approval for a new drug or indication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in the United States, the FDA may determine that a Risk Evaluation and Mitigation Strategy ("REMS") is necessary to ensure that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benefits of a new product outweigh its risks, and the product can therefore be approved. A REMS may include various elements, ranging from a medication guide or patient package 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or additional analyses of data from existing studies and submit the data before it will reconsider our application. Depending on the extent of these or any other studies or analyses that might be required, approval of any applications that we submit may be delayed significantly, or we may be required to expend more resources. It is also possible that any such additional studies or analyses, if performed and completed, may not be considered sufficient by the FDA to make our applications approvable. If any of these outcomes occur, we may be forced to delay or abandon our applications for approval. For example, in October 2023, the FDA issued a CRL for the sBLA for Dupixent in CSU stating that additional efficacy data are required to support an approval. While results from an ongoing Phase 3 clinical trial (in biologic-naïve patients) are expected in late 2024, there can be no assurance that such data will ultimately result in FDA approval. In addition, in April 2024, during its review of our sBLA for Dupixent in COPD with type 2 inflammatory phenotype, the FDA requested that we provide additional analyses regarding sub-populations from the BOREAS and NOTUS pivotal studies. Following our submission of these additional analyses, the FDA determined that the additional information provided constituted a major amendment of the sBLA, thereby extending by three months the target action date of its review of the sBLA for Dupixent in COPD (from June 27, 2024 to September 27, 2024) pursuant to the applicable regulations.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or product labeling updates for such companion diagnostics, which could negatively impact regulatory approval of our product candidates or may result in increased development costs or delays.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countries outside the United States.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While the FDA has performance goals that provide for action on BLA submissions by certain deadlines, the FDA's review goals are subject to change and the duration of the FDA's review depends on a number of factors, including the number and types of other applications that are submitted to the FDA around the same time period or are pending. The FDA's review may be delayed because the FDA requests additional information or for other reasons, including those beyond our control. For example, in 2022, an FDA travel complication related to scheduling a routine clinical trial site inspection in eastern Europe delayed by nearly two months the FDA's approval of our sBLA for the combination treatment of Libtayo with chemotherapy in NSCLC.</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believe we meet eligibility requirements, we may apply for various regulatory incentives in the United States, such as breakthrough therapy designation, fast track designation, accelerated approval, or priority review, where available, that serve to expedite drug development and/or review, and we may also seek similar designations elsewhere in the world. Often, regulatory agencies have broad discretion in determining whether or not product candidates qualify for such regulatory incentives and benefits, and we cannot guarantee we would be successful in obtaining beneficial regulatory designations by the FDA or other regulatory agencies. Even if obtained, such designations may not result in faster development processes, reviews, or approvals compared to drugs considered for approval under conventional FDA procedures. In addition, the FDA may later decide that any of our development programs no longer meets the conditions for a beneficial regulatory designation (including due to factors beyond our control, such as intervening competitive developments) or decide that the time period for FDA review or approval will not be shortened. FDA guidance relating to accelerated approval of oncology therapeutics indicates that a confirmatory trial for a particular oncology product candidate should be underway when the related BLA is submitted to the FDA and also states that the FDA may require that a confirmatory trial for a particular oncology product candidate be well underway, if not fully enrolled, by the time of the accelerated approval action. Application of this guidance and related rules to our product candidates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may result in a delay of the FDA review and approval process despite any earlier beneficial regulatory designation such product candidates may have received. For example, in March 2024, the FDA issued CRLs concerning our BLA for odronextamab for the treatment of relapsed/refractory FL and DLBCL due to the enrollment status of confirmatory Phase 3 trials.</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and comparable foreign regulatory authorities enforce Good Clinical Practice requirements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 manufacturing; as a result, the manner in which such principles are implemented may not be specifically delineated, which can present a challenging environment as the FDA and comparable foreign regulatory authorities increasingly scrutinize compliance with these requirements and regulations. As a result,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For example, in June 2023, the FDA issued a CRL concerning the Company's BLA for EYLEA HD for the treatment of wAMD, DME, and DR due to unresolved observations resulting from an inspection at a third-party fill/finish provider, which resulted in a delay of the FDA approval of EYLEA HD by nearly two months. See also Part I, Item 2. "Management's Discussion and Analysis of Financial Condition and Results of Operations – Overview – Additional Information - Clinical Development Programs – Linvoseltamab." For additional information, see "Risks Related to Manufacturing and Supply - </w:t>
      </w:r>
      <w:r>
        <w:rPr>
          <w:rFonts w:ascii="Times New Roman" w:cs="Times New Roman" w:eastAsia="Times New Roman" w:hAnsi="Times New Roman"/>
          <w:sz w:val="18"/>
          <w:szCs w:val="18"/>
          <w:i w:val="1"/>
          <w:iCs w:val="1"/>
          <w:color w:val="auto"/>
        </w:rPr>
        <w:t>Our or our collaborators' failure to meet the stringent requirements of governmental</w:t>
      </w:r>
    </w:p>
    <w:p>
      <w:pPr>
        <w:spacing w:after="0" w:line="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7"/>
          <w:szCs w:val="17"/>
          <w:color w:val="auto"/>
        </w:rPr>
        <w:t>" Our business, prospects, operating results, and financial condition may be materially harmed as a result of noncompliance with the</w:t>
      </w:r>
    </w:p>
    <w:p>
      <w:pPr>
        <w:spacing w:after="0"/>
        <w:rPr>
          <w:sz w:val="20"/>
          <w:szCs w:val="20"/>
          <w:color w:val="auto"/>
        </w:rPr>
      </w:pPr>
      <w:r>
        <w:rPr>
          <w:rFonts w:ascii="Times New Roman" w:cs="Times New Roman" w:eastAsia="Times New Roman" w:hAnsi="Times New Roman"/>
          <w:sz w:val="18"/>
          <w:szCs w:val="18"/>
          <w:color w:val="auto"/>
        </w:rPr>
        <w:t>requirements and regulations described in this paragraph.</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or other regulatory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countries outside the U.S. grant similar powers to the competent authorities and impose similar obligations on companies.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countries outside the United States.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countries outside the United States. From time to time, we may hold a product's marketing approval in a jurisdiction outside the United States where we may have less experience and where our regulatory capabilities may be more limited; this will be the case for Libtayo in many jurisdictions outside the United States (including Europe and Japan) once we complete the full transition from Sanofi pursuant to the A&amp;R IO LCA discussed above. In addition, actions by a regulatory agency in a country or region with respect to a product candidate may have an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impact on the approval process for that product candidate in another country or region. Foreign regulatory authorities may ask for additional data in order to begin a clinical study, including Phase 3 clinical trials required to submit a MAA in the EU. In addition, such authorities often have the authority to require post-approval studies, such as a post-authorization safety study ("PASS") and/or post-authorization efficacy study ("PAES"), which involve various risks similar to those described above. Whether or not we obtain FDA approval for a product in the United States, we must obtain approval of the product by the comparable regulatory authorities in countries outside the United States before we can market that product or any other product in those countries.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we are subject to extensive pharmacovigilance reporting and other pharmacovigilance requirements, which may differ in the numerous countries in which we conduct clinical trials or commercialize a product. Failure to comply with any such requirements may result in the premature closure of the clinical trials and other enforcement actions by the relevant regulatory authorities. For example, if we do not manage to retain a Qualified Person Responsible for Pharmacovigilance ("QPPV"), to maintain a Pharmacovigilance System Master File ("PSMF"), or to comply with other pharmacovigilance obligations in the European Economic Area ("EEA"), we may be at risk of our clinical trials being closed prematurely, our marketing authorization being suspended, and we may be subject to other enforcement actions by the national competent authorities of the EEA or the EC.</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 requirements ("GLPs") or GCPs. A clinical trial may also fail because the dose(s) of the investigational drug included in the trial were either too low or too high to determine the optimal effect of the investigational drug in the disease setting.</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conducting clinical trials in countries outside the United States presents additional risks, including political and economic risks that are not present in the United States, such as armed conflict and economic embargoes or boycotts. For example, we and our collaborators are currently conducting and may in the future conduct or initiate clinical trials with sites in Russia, Ukraine, and/or Israel. While we currently do not expect the Russia-Ukraine or Hamas-Israel armed conflict or related developments to have a significant impact on our ability to obtain results from clinical trials conducted by us or our collaborators, further escalation (whether in these countries or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other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such countries and 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some of our products and product candidates (such as Libtayo)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research and development activities are conducted at our existing facilities primarily located in Tarrytown, New York. As we continue to expand, we may lease, operate, purchase, or construct additional facilities to expand our research and development capabilities in the future. Expanding our research and laboratory facilities may require significant time and resources. Further, we may be unable to pursue our research and development efforts if the relevant facility were to cease operations due to fire, climate change, natural disasters, acts of war or terrorism, or other disruptions. Any related delays may interfere with our research and development efforts and our business may be adversely impacted.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had been obtained in earlier trials. In a number of instances, we have terminated the development of product candidates due to a lack of or only modest effectiveness and/or safety concerns, and clinical trials evaluating our product candidates have failed to meet the relevant endpoints. Moreover, even if we obtain positive results from preclinical testing or clinical trials, we may not achieve the same success in future trials, or the FDA and analogous foreign regulatory authorities may deem the results insufficient for an approval. If concerns arise about the safety of a product candidate or non-compliance with the protocol or applicable regulatory requirements, the FDA or other regulatory authorities can delay or suspend a clinical trial by placing it on a full or partial "clinical hold" pending receipt of additional data or the satisfaction of other conditions. A clinical hold may require us to spend significant resources to address the underlying causes of the clinical hold and may result in a delay in the clinical program, which may be significant. In addition, if we are not able to successfully address such underlying causes or our response is not deemed adequate to lift the clinical hold, the clinical program may have to be terminated. Any such clinical program delays or terminations may adversely affect our business.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EYLEA and EYLEA HD, there are many potential safety concerns associated with significant blockade of VEGF that may limit our ability to further successfully commercialize EYLEA and to successfully commercialize EYLEA HD.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sterile and culture positive endophthalmitis, corneal decomposition, retinal detachment, retinal tear, and retinal vasculitis), which can cause injury to the eye and other complications. The side effects previously reported for aflibercept include conjunctival hemorrhage, macular degeneration, eye pain, retinal hemorrhage, and vitreous floaters. While the safety of EYLEA HD was similar to EYLEA in clinical trials, it is possible that the use of EYLEA HD outside the clinical trial setting may yield different outcomes or patient experiences. In addition, commercialization of EYLEA and EYLEA HD or our other products and potential future commercialization of our product candidates may be impacted by actions of third parties on which we rely, such as manufacturers of syringes or other devices used in the administration of our products. These and other complications or issues or side effects could harm further development and/or commercialization of EYLEA and EYLEA HD.</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Dupixent and Libtayo are being studied in additional indications, as shown in the table under Part I, Item 2. "Management's Discussion and Analysis of Financial Condition and Results of Operations - Overview - Programs in Clinical Development." There is no guarantee that regulatory approval of Dupixent or Libtayo (as applicable) in any of these indications will be successfully obtained. The side effects previously reported for Dupixent include hypersensitivity reactions, eye problems (including conjunctivitis and keratitis), injection-site reactions, eye and eyelid inflammation, cold sores, oropharyngeal pain, eosinophilia, insomnia, toothache, gastritis, joint pain (arthralgia), parasitic (helminth) infections, and facial rash or redness; and the side effects previously reported for Libtayo include certain immune-mediated adverse reactions that may occur in any organ system or tissue, including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In addition, there are risks inherent in intravenous administration (which are used for some of our antibody-based products and product candidates), such as infusion-related reactions (including nausea, pyrexia, rash, and dyspnea). These and other complications or side effects could harm further development and/or commercialization of our antibody-based products and product candidates utilizing this method of administration.</w:t>
      </w:r>
    </w:p>
    <w:p>
      <w:pPr>
        <w:spacing w:after="0" w:line="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For example, we are currently party to patent infringement and other proceedings relating to the EYLEA pre-filled syringe, as described in Note 11 to our Condensed Consolidated Financial Statements.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Our ability to protect our trade secrets may be impaired by a number of risks and uncertainties, including those discussed under "Other Regulatory and Litigation Risks - </w:t>
      </w:r>
      <w:r>
        <w:rPr>
          <w:rFonts w:ascii="Times New Roman" w:cs="Times New Roman" w:eastAsia="Times New Roman" w:hAnsi="Times New Roman"/>
          <w:sz w:val="18"/>
          <w:szCs w:val="18"/>
          <w:i w:val="1"/>
          <w:iCs w:val="1"/>
          <w:color w:val="auto"/>
        </w:rPr>
        <w:t>Increasing use of social media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artificial intelligence-based platforms could give rise to liability, breaches of data security and privacy laws, or reputational damage</w:t>
      </w:r>
      <w:r>
        <w:rPr>
          <w:rFonts w:ascii="Times New Roman" w:cs="Times New Roman" w:eastAsia="Times New Roman" w:hAnsi="Times New Roman"/>
          <w:sz w:val="18"/>
          <w:szCs w:val="18"/>
          <w:color w:val="auto"/>
        </w:rPr>
        <w:t>"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Risks Related to Our Business - </w:t>
      </w:r>
      <w:r>
        <w:rPr>
          <w:rFonts w:ascii="Times New Roman" w:cs="Times New Roman" w:eastAsia="Times New Roman" w:hAnsi="Times New Roman"/>
          <w:sz w:val="18"/>
          <w:szCs w:val="18"/>
          <w:i w:val="1"/>
          <w:iCs w:val="1"/>
          <w:color w:val="auto"/>
        </w:rPr>
        <w:t>Significant disruptions of information technology systems or breaches of data security could adversely affect our business</w:t>
      </w:r>
      <w:r>
        <w:rPr>
          <w:rFonts w:ascii="Times New Roman" w:cs="Times New Roman" w:eastAsia="Times New Roman" w:hAnsi="Times New Roman"/>
          <w:sz w:val="18"/>
          <w:szCs w:val="18"/>
          <w:color w:val="auto"/>
        </w:rPr>
        <w:t xml:space="preserve">" below.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For example, certain of our U.S. patents (including those pertaining to our key products, such as EYLEA) have been and may in the future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as described in Note 11 to our Condensed Consolidated Financial Statements included in this report. Post-grant proceedings are increasingly common in the United States and are costly to defend. In addition, patent applications filed outside the United States may be challenged by other parties, for example, by filing pre-grant third-party observations that argue against patentability or a post-grant opposition. Such opposition proceedings are increasingly common in Europe and are costly to defend. For example, in 2021, anonymous parties initiated opposition proceedings in the European Patent Office ("EPO") against our European Patent No. 2,944,306 (which concerns pre-filled syringes comprising ophthalmic formulations containing VEGF antagonists such as aflibercept for intravitreal administration), as described in Note 11 to our Condensed Consolidated Financial Statements included in this report. We have pending patent applications in the United States Patent and Trademark Office (the "USPTO"), the EPO, and the patent offices of other foreign jurisdictions, and it is likely that we will need to defend patents from challenges by others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We cannot be certain that our intellectual property rights related to any current or future product or product candidate or technology would not be eliminated, narrowed, or weakened by any such change or other rulemaking.</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United States and other government actions related to Russia's invasion of Ukraine may limit or prevent filing, prosecution, and maintenance of patent applications in Russia. These actions could result in abandonment or lapse of our patents or patent applications, resulting in partial or complete loss of patent rights in Russia. Further, a decree was adopted by the Russian government in March 2022, allowing Russian companies and individuals to exploit inventions owned by patent holders from the United States without consent or compensation. Consequently, we would not be able to prevent third parties from practicing our inventions in Russia or from selling or importing products made using our inventions in and into Russia.</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10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are currently party to patent infringement and other proceedings relating to EYLEA, as described in Note 11 to our Condensed Consolidated Financial Statements.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product candidates infringe any valid claim in these patents or patent applications, these other parties could initiate lawsuits for patent infringement and assert that their patents are valid and cover our products or our late-stage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under the Orphan Drug Act in the United States, if a product candidate with an orphan drug designation subsequently receives FDA approval for indication(s) within the scope of such designation, the product will be entitled to orphan drug exclusivity for such indication(s), barring the FDA from approving for seven years in such approved indication(s) another sponsor's application for a product candidate considered under the FDA regulations to be the same drug as the previously-approved drug with orphan drug exclusivity. This orphan drug exclusivity does not block approval of competing products intended for the orphan exclusivity-protected indication but containing a different active moiety or principal molecular structure, or containing the same active moiety or principal molecular structure but intended for a different indication. Similarly, in the EU, a designated orphan drug is provided up to 10 years of market exclusivity in the orphan indication, during which time the EMA is generally precluded from accepting a MAA for a similar medicinal product. In both the United States and the EU, if a sponsor can demonstrate that a new product is safer, more effective, or otherwise clinically superior to the original orphan product, orphan exclusivity will not bar approval of the new product.</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regulatory pathways for biosimilar competition, could reduce the duration of market exclusivity for our products.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federal Patient Protection and Affordable Care Act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number of jurisdictions outside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Biosimilar versions of EYLEA have been recently approved in the United States, EU, and other jurisdictions, with additional biosimilar versions of EYLEA and/or EYLEA HD in development, as discussed further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commercial success of our products and product candidates is subject to significant competition - </w:t>
      </w:r>
      <w:r>
        <w:rPr>
          <w:rFonts w:ascii="Times New Roman" w:cs="Times New Roman" w:eastAsia="Times New Roman" w:hAnsi="Times New Roman"/>
          <w:sz w:val="18"/>
          <w:szCs w:val="18"/>
          <w:color w:val="auto"/>
        </w:rPr>
        <w:t>Marketed Products" above. In the United States,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exclusivity period for EYLEA (i.e., the period during which no biosimilar product could be approved by the FDA) expired on May 18, 2024. While no biosimilar versions of EYLEA have been launched in the United States to date, when these or other biosimilar versions of EYLEA start to be marketed in the United States, we will no longer benefit from U.S. market exclusivity for EYLEA. In addition, as EYLEA HD does not benefit from regulatory exclusivity in the United States, market exclusivity for EYLEA HD in the United States is based solely on our patent rights pertaining to this product (which are subject to the risks and uncertainties discussed above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w:t>
      </w:r>
      <w:r>
        <w:rPr>
          <w:rFonts w:ascii="Times New Roman" w:cs="Times New Roman" w:eastAsia="Times New Roman" w:hAnsi="Times New Roman"/>
          <w:sz w:val="18"/>
          <w:szCs w:val="18"/>
          <w:i w:val="1"/>
          <w:iCs w:val="1"/>
          <w:color w:val="auto"/>
        </w:rPr>
        <w:t>If we cannot protect the confidentiality of our trade secrets, or our patents or other means of defending our intellectual property are insufficient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protect our proprietary rights, our business and competitive position will be harmed.</w:t>
      </w:r>
      <w:r>
        <w:rPr>
          <w:rFonts w:ascii="Times New Roman" w:cs="Times New Roman" w:eastAsia="Times New Roman" w:hAnsi="Times New Roman"/>
          <w:sz w:val="18"/>
          <w:szCs w:val="18"/>
          <w:color w:val="auto"/>
        </w:rPr>
        <w:t>"). The loss of market exclusivity for a product (such as EYLEA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EYLEA HD) would likely negatively affect revenues from product sales of that product and thus our financial results and condition and could have a material negative impact on our business.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or if there is greater demand than currently expected for our marketed products. In addition to expanding our internal capacity, we intend to continue to rely on our collaborators, and may also rely on contract manufacturers, to produce commercial quantities of drug material needed for commercialization of our products.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The COVID-19 pandemic has exacerbated, and this or other public health outbreaks, epidemics, or pandemics may in the future further exacerbate, certain of these risks. For example, the impact of having to prioritize certain manufacturing-related resources for our COVID-19 monoclonal antibodies in recent years included and may in the future include, among other things, drawing down inventory safety stock levels for certain of our other products (including Dupixent and EYLEA). Depending on the demand for our products and other relevant factors, we may not be able to replenish our inventory safety stock to the levels we deem prudent or supply our products and product candidates in sufficient quantities to satisfy our commercial and development needs. We also currently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1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have constructed a fill/finish facility in Rensselaer, New York that is currently undergoing process validation as required by regulatory authorities (refer to Part I, Item 2. "Management's Discussion and Analysis of Financial Condition and Results of Operations – Liquidity and Capital Resources" for information about expected capital expenditures relating to this and other projects). In addition, we may need to develop or acquire additional manufacturing capabilities to the extent we or our collaborators pursue the development of drugs generated by means other than our existing "Trap" or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technologies, such as siRNA gene silencing, genome editing, and targeted viral-based gene delivery and expression.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economically or in compliance with cGMPs and other regulatory requirements, and we and our collaborators may not be able to build or procure additional capacity in the required timeframe to meet commercial demand for our product candidates if they receive regulatory approval, and to continue to meet the requirements of our clinical programs. This would interfere with our efforts to successfully commercialize our marketed products, and it could also delay or require us to discontinue one or more of our clinical development programs. As a result, our business, prospects, operating results, and financial condition could be materially harmed.</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For example, we are currently party to patent infringement and other proceedings relating to the EYLEA pre-filled syringe, as described in Note 11 to our Condensed Consolidated Financial Statements.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 For example, during each of the years ended December 31, 2022 and 2021, we recorded a charge to write down inventory related to REGEN-COV.</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supply chain interruptions or constraints (including with respect to natural gas and other raw materials), contaminations, fire, climate change, natural disasters, acts of war or terrorism, or other problems.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have led in the past and could lead in the future to product defects or manufacturing failures, resulting in lot failures, product recalls, product liability claims, and/or insufficient inventory. Also, the complexity of our manufacturing process may make it difficult, time-consuming, and expensive to transfer our technology to our collaborators or contract manufacturers.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COVID-19 pandemic and the armed conflict between Russia and Ukraine, which have exacerbated many of these issues, or other public health outbreaks, epidemics, or pandemics or geopolitical developments). Regional or single-source dependencies may in some cases accentuate these risks. For example, the pharmaceutical industry generally, and in some instances our Company or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if the recently proposed federal legislation known as the BIOSECURE Act or a similar law were to be enacted or if other trade restrictions were to be imposed.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or advance our or our collaborators' preclinical research or clinical development programs, which could materially and adversely affect our business and future prospects.</w:t>
      </w:r>
    </w:p>
    <w:p>
      <w:pPr>
        <w:spacing w:after="0" w:line="11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Recently, the FDA issued CRLs to multiple companies (including us, as further discussed below) citing unresolved inspection findings at third-party manufacturers, which prevented the timely approval of such companies' marketing applications.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w:t>
      </w:r>
    </w:p>
    <w:p>
      <w:pPr>
        <w:spacing w:after="0" w:line="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products, which could be seriously detrimental to our business, prospects, operating results, and financial condition. For example, in June 2023, the FDA issued a CRL concerning the Company's BLA for EYLEA HD for the treatment of wAMD, DME, and DR due to unresolved observations resulting from an inspection at a third-party fill/finish provider, which resulted in a delay of the FDA approval of EYLEA HD by nearly two months. See also Part I, Item</w:t>
      </w:r>
    </w:p>
    <w:p>
      <w:pPr>
        <w:spacing w:after="0" w:line="1" w:lineRule="exact"/>
        <w:rPr>
          <w:sz w:val="20"/>
          <w:szCs w:val="20"/>
          <w:color w:val="auto"/>
        </w:rPr>
      </w:pPr>
    </w:p>
    <w:p>
      <w:pPr>
        <w:jc w:val="both"/>
        <w:ind w:firstLine="8"/>
        <w:spacing w:after="0"/>
        <w:tabs>
          <w:tab w:leader="none" w:pos="1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Financial Condition and Results of Operations – Overview – Additional Information - Clinical Development Programs – Linvoseltamab." Significant noncompliance with the requirements discussed in this paragraph could also result in the imposition of monetary penalties or other civil or criminal sanctions and damage our reputation.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have been, and may in the future be, challenged under U.S. federal or state and foreign healthcare laws, which may subject us to civil or criminal proceedings, investigations, or penalties.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certain communications regarding unapproved uses, industry-sponsored scientific and educational activities, and sales representatives' communications. Failure to comply with applicable FDA requirements and restrictions in this area may subject a company to adverse enforcement action by the FDA, the Department of Justice, or the Office of the Inspector General of the U.S. Department of Health and Human Services ("HHS"), as well as state authorities. This could subject a company to a range of penalties that could have a significant commercial impact, including civil and criminal fines and agreements that materially restrict the manner in which a company promotes or distributes a drug. Any such failures could also cause significant reputational harm.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 The Bipartisan Budget Act of 2018 has increased the criminal and civil penalties that can be imposed for violating certain federal healthcare laws, including the federal anti-kickback statute.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damages, exclusion of a manufacturer's products from reimbursement under government programs, criminal fines, and 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11 to our Condensed Consolidated Financial Statements included in this report, we are party to civil proceedings initiated or joined by the U.S. Department of Justice and the U.S. Attorney's Office for the District of Massachusetts concerning certain business activities; and we are cooperating with other pending government investigations. Any adverse decision, finding, allegation, or exercise of enforcement or regulatory discretion in any such proceedings or investigations could harm our business, prospects, operating results, and financial condition.</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PPACA, the federal government requires that pharmaceutical manufacturers record any "transfers of value" made to U.S. licensed physicians 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Applicable manufacturers also are required to report information regarding payments and transfers of value provided to physician assistants, nurse practitioners, clinical nurse specialists, certified nurse anesthetists, anesthesiologist assistants, and certified nurse-midwives. We also have similar reporting obligations in other countries based on laws, regulations, and/or industry trade association requirements.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dedicate significant resources to comply with these requirements and need to be prepared to comply with additional reporting obligations outside the United States. In addition, several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participate in the Medicaid Drug Rebate program, the Public Health Service's 340B program (which is administered by the Health Resources and Services Administration ("HRSA")), the U.S. Department of Veterans Affairs ("VA") Federal Supply Schedule ("FSS") pricing program, the Tricare Retail Pharmacy Program, and other federal and state government pricing programs. Such programs often require us to provide discounts and/or pay rebates to certain government payors and/or private purchasers.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Such interpretation can change and evolve over time. For example,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Civil monetary penalties can be applied if we fail to pay the required rebate,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knowingly and intentionally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financial results. The final regulation governing the Medicaid Drug Rebate program issued by CMS has increased and will continue to increase our costs and the complexity of compliance, has been and will continue to be time-consuming to implement, and could have a material adverse effect on our results of operations, particularly if CMS challenges the approach we have taken in our implementation of the final regulation. Other regulations and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coverage expansion by various governmental agencies relating to the Medicaid Drug Rebate program may have a similar impact.</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final regulation issued by HRSA regarding the calculation of the 340B ceiling price and the imposition of civil monetary penalties on manufacturers that knowingly and intentionally overcharge covered entities has affected our obligations and potential liability under the 340B program.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Moreover, HRSA established an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 Further, any future changes to the definition of average manufacturer price and the Medicaid rebate amount under the PPACA or otherwise could affect our 340B ceiling price calculations and negatively impact our 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68"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requirements under the VA/FSS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would be expensive and time-consuming, and could have a material adverse effect on our business, financial condition, results of operations, and future prospects.</w:t>
      </w:r>
    </w:p>
    <w:p>
      <w:pPr>
        <w:spacing w:after="0" w:line="11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particular, our business activities outside the United States (which have recently expanded, and are expected to continue to expand, due to, in part, our efforts to establish our commercialization and co-commercialization capabilities in certain jurisdictions outside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affecting the healthcare industry could adversely affect 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U.S. federal, state, and foreign laws and agency regulations could have a materially negative impact on our business.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in April 2023, the European Commission published a proposal to replace the current pharmaceutical legislative framework in the EU. While it is uncertain whether such proposal will be adopted in its current form, there may ultimately be a number of changes to the current regulatory framework in the EU, including a reduction of the data protection and market exclusivity periods provided thereby.</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U.S. federal or state governments could carry out other significant changes in legislation, regulation, or government policy, including with respect to government reimbursement changes or drug price control measures (such as those discussed above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Changes to product reimbursement and coverage policies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practices may materially harm our business, prospects, operating results, and financial condition</w:t>
      </w:r>
      <w:r>
        <w:rPr>
          <w:rFonts w:ascii="Times New Roman" w:cs="Times New Roman" w:eastAsia="Times New Roman" w:hAnsi="Times New Roman"/>
          <w:sz w:val="18"/>
          <w:szCs w:val="18"/>
          <w:color w:val="auto"/>
        </w:rPr>
        <w:t>") or the PPACA or other healthcare reform laws. While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the United States could adversely affect our business.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operations and conduct business in many countries outside the United States and have been significantly expanding the scope of these activities in existing and/or additional countries, including EU countries and Japan. For example, as discussed above, we are in the process of establishing commercial capabilities related to Libtayo in many jurisdictions outside the United States following our entry into the A&amp;R IO LCA; and we perform co-commercialization activities under the Antibody Collaboration related to Dupixent in certain jurisdictions outside the United States. Consequently, we are, and will continue to be, subject to risks related to operating in countries outside the United States, particularly those in which we have not previously established operations, and many of these risks will increase as we expand our activities in such jurisdictions. These risks include:</w:t>
      </w:r>
    </w:p>
    <w:p>
      <w:pPr>
        <w:spacing w:after="0" w:line="120" w:lineRule="exact"/>
        <w:rPr>
          <w:sz w:val="20"/>
          <w:szCs w:val="20"/>
          <w:color w:val="auto"/>
        </w:rPr>
      </w:pPr>
    </w:p>
    <w:p>
      <w:pPr>
        <w:jc w:val="both"/>
        <w:ind w:left="660" w:hanging="328"/>
        <w:spacing w:after="0" w:line="25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 including those with which we and/or our collaborators must comply in order to maintain our marketing authorizations outside the United States, and the cost of compliance with such foreign laws and regulatory requirements;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and industry trade association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collaborators could adversely affect our reputation and our business, prospects, operating results, and financial condition</w:t>
      </w:r>
      <w:r>
        <w:rPr>
          <w:rFonts w:ascii="Times New Roman" w:cs="Times New Roman" w:eastAsia="Times New Roman" w:hAnsi="Times New Roman"/>
          <w:sz w:val="18"/>
          <w:szCs w:val="18"/>
          <w:color w:val="auto"/>
        </w:rPr>
        <w:t>"), as well as labor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laws and regulations;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 including as a result of the Russia-Ukraine or Hamas-Israel armed conflict;</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right="2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large-scale manufacturing operations in Limerick, Ireland and have also established offices in the United Kingdom, Germany, Japan, and other countries outside the United States. Changes impacting our ability to conduct business in the those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income tax in the United States and foreign jurisdictions in which we operate. Significant judgment is required in determining our worldwide tax liabilities, and our effective tax rate is derived from the applicable statutory tax rates and relative earnings in each taxing jurisdiction. We record liabilities for uncertain tax positions that involve significant management judgment as to the application of law.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Consequently, tax assessments or judgments in excess of accrued amounts that we have estimated in preparing our financial statements may materially and adversely affect our reported effective tax rate or our cash flows. Further, other factors may adversely affect our effective tax rate, including changes in the mix of our profitability from country to country, tax effects of stock-based compensation (which depend in part on the price of our stock and, therefore, are beyond our control), and changes in tax laws or regulations. For example, the OECD Pillar Two framework has influenced tax laws in countries in which we operate, including the implementation of minimum taxes. Changes to these or other laws and regulations or their interpretations could materially adversely impact our effective tax rate or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personal data we collect, process, and share.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conduct our business is significantly dependent on the data that we collect, process, and share in discovering, developing, and commercializing drug products. These data are often considered personal data and are therefore regulated by data privacy laws in the United States and abroad.</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operations and conduct business in several countries outside the United States and plan to significantly expand the scope of these activities in those and/or additional countries, as discussed above under "</w:t>
      </w:r>
      <w:r>
        <w:rPr>
          <w:rFonts w:ascii="Times New Roman" w:cs="Times New Roman" w:eastAsia="Times New Roman" w:hAnsi="Times New Roman"/>
          <w:sz w:val="18"/>
          <w:szCs w:val="18"/>
          <w:i w:val="1"/>
          <w:iCs w:val="1"/>
          <w:color w:val="auto"/>
        </w:rPr>
        <w:t>Risks associated with our operations outside the United States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These activities subject us to additional data protection authority oversight and require us to comply with stringent local and regional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privacy laws, including the EU's General Data Protection Regulations ("GDPR"). The GDPR has a wide range of compliance obligations, including increased consent and transparency requirements and data subject rights. Violations of the GDPR carry significant financial penalties for noncompliance (including possible fines of up to 4% of global annual turnover for the preceding financial year or €20 million (whichever is higher)). In addition to the GDPR, certain EU Member States have issued or will be issuing their own implementation legislation. In 2021, the EC introduced new standard contractual clauses required to be incorporated into certain new and existing agreements within prescribed timeframes in order to continue to lawfully transfer personal data outside the EU. Many of the countries that have comprehensive data privacy laws have modeled their requirements after the GDPR. Compliance with these requirements has been and is expected to continue to be costly and time consuming.</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clinical trials in many countries around the world, which have new or evolving data privacy laws that are often not interpreted consistently by regulatory authorities, institutional review boards/ethics committees, or clinical trial sites. This complexity has resulted in increased liability in the management of clinical trial data, as well as additional compliance, contractual, and due-diligence obligations that could lead to a delay in clinical trial site start-up. There also has been an increase of enforcement activities in various EU countries that require evidence of compliance with local data privacy requirements.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risk of substantial financial penalties for insufficient notice and consent, failure to respond to data subject rights requests, lack of a legal basis for the transfer of personal information out of the EU or other countries with localization laws (i.e., laws mandating that personal data collected in a foreign country be processed and stored within that country), or improper processing of personal data. Failure by us or our collaborators to comply with the strict rules on the transfer of personal data into the U.S. could result in the imposition of criminal and administrative sanctions on us or such collaborators or impact the flow of personal data, which could adversely affect our business.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Most U.S. healthcare providers, including research institutions from which we or our collaborators obtain clinical trial data, are subject to privacy and security regulations promulgated under the Health Insurance Portability and Accountability Act of 1996 ("HIPAA"). For example, as part of our human genetics initiative, our wholly-owned subsidiary, Regeneron Genetics Center LLC, has entered into collaborations with many research institutions that are subject to HIPAA. While Regeneron is not directly subject to HIPAA, other than potentially with respect to providing certain employee benefits, we could be subject to criminal penalties if we, our affiliates, or our agents knowingly receive PHI in a manner that is not permitted under HIPAA. Consequently, depending on the facts and circumstances, we could face substantial criminal penalties if we knowingly receive PHI from a healthcare provider or research institution that has not satisfied HIPAA's requirements for its disclosure. There are instances where we collect and maintain personal data, which may include health information that is outside the scope of HIPAA but within the scope of state health privacy laws or similar state level privacy legislation. This information may be received throughout the clinical trial process, in the course of our research collaborations, directly from individuals who enroll in our patient assistance programs, and from our own employees in a pandemic response process (such as in connection with the COVID-19 pandemic).</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Consumer protection laws impact the manner in which we develop and maintain processes to support our patient assistance programs, product marketing activities, and the sharing of employee and clinical data for internal and third-party commercial activities. Several U.S. states have proposed and passed consumer privacy laws, which were modeled after the California Consumer Privacy Act of 2018 ("CCPA") and influenced by the GDPR. The CCPA is a consumer protection law that establishes requirements for data use and sharing transparency and provides California residents with personal data privacy rights regarding the use, disclosure, and retention of their personal data. Amendments to the CCPA have, among other things, imposed new obligations to provide notice where personal data will be de-identified. Failure to comply with the CCPA may result in, among other things, significant civil penalties and injunctive relief, or statutory or actual damages. In addition, California residents have the right to bring a private right of action in connection with data privacy incidents involving certain elements of personal data. These claims may result in significant liability and damages. These laws and regulations are constantly evolving and may impose limitations on our business activities. Several additional state consumer privacy laws recently went into effect and many other consumer privacy laws are expected to go into effect in the near future. Notably, these state laws provide more restrictions on the use of sensitive personal data, including health information. These states require robust consent and authorizations prior to any collection or use of this data, which may have a large impact on our ability to market to individuals in these jurisdictions based on their health conditions. At the federal level, Section 5 of the FTC Act is a consumer protection law that bars unfair and deceptive acts and practices and requires, among other things, companies to notify individuals that they will safeguard their personal data and that they will fulfil the commitments made in their privacy notices. The FTC has brought legal actions against organizations that have violated consumers' privacy rights or have misled them by failing to maintain appropriate security. For example, in 2023 the FTC issued several enforcement actions related to privacy in the healthcare space, under both Section 5 of the FTC Act and the Health Breach Notification Rule, involving companies allegedly using consumer health data for marketing purposes in violation of their own policies and assurances.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health privacy laws, data breach notification laws, consumer protection laws, data localization laws, biometric privacy laws, and genetic privacy laws may apply directly to our operations and/or those of our collaborators and business partners and may impose restrictions on our collection, use, and dissemination of individuals' health and other personal data. Individuals about whom we or our collaborators obtain health or other personal data, as well as the providers and third parties who share this data with us, may have statutory or contractual limits that impact our ability to further use and disclose the data. Many of these laws differ from each other in significant ways and have different effects. Many of the state laws enable a state attorney general to bring actions and provide private rights of action to consumers as enforcement mechanisms. Compliance with these laws requires a flexible privacy framework as they are constantly evolving. Federal regulators, state attorneys general, and plaintiffs' attorneys have been active in this space.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any collaborators fail to comply with applicable federal, state, local, or foreign regulatory requirements, we could be subject to a range of regulatory actions that could affect our or any collaborators' ability to commercialize our products. Any threatened or actual government enforcement action could also generate adverse publicity and could result in additional regulatory oversight.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use of social media and artificial intelligence-based platforms could give rise to liability, breaches of data security and privacy laws, or reputational damage.</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a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data of our employees, clinical trial participants, customers, and others. Furthermore, negative posts or comments about us or our products in social media could seriously damage our reputation, brand image, and goodwill. Additionally, artificial intelligence ("AI")-based solutions, including generative AI, are increasingly being used in the biopharmaceutical industry (including by us). The use of AI solutions by our employees or third parties on which we rely may continue to increase and may lead to the public disclosure of confidential information (including personal data and proprietary information) in contravention of our internal policies, data protection laws, other applicable laws, or contractual requirements. The misuse of AI solutions may give rise to liability, lead to the loss of trade secrets or other intellectual property, result in reputational harm, or lead to outcomes with unintended biases or other consequences. The misuse of AI solutions could also result in unauthorized access and use of personal data of our employees, clinical trial participants, collaborators, or other third parties. Any of these events could have a material adverse effect on our business, prospects, operating results, and financial condition and could adversely affect the price of our 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support from Sanofi to develop, manufacture, and commercialize certain of our products and product candidates. With respect to the products and product candidates that we are co-developing with Sanofi under our Antibody Collaboration (currently consisting of Dupixent, Kevzara, and itepekimab), Sanofi initially funds a significant portion of development expenses incurred in connection with the development of these products and product candidates. In addition, we rely on Sanofi to lead much of the clinical development efforts, assist with or lead efforts to obtain and maintain regulatory approvals, and lead the commercialization efforts for these products and product candidates.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fails to comply with its obligations thereunder, our business, prospects, operating results, and financial condition may be materially harmed. We would be required to either expend substantially more resources than we have anticipated to support our development efforts or cut back on such activities. If Sanofi does not perform its obligations with respect to the products and product candidates it is co-developing and/or co-commercializing with us, our ability to develop, manufacture, and commercialize these products and product candidates may be adversely affected. While we have some commercial presence outside the United States, our commercial capabilities outside the United States are still limited and would need to be further developed or outsourced for products commercialized under our Antibody Collaboration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sufficient commercial capabilities outside the United States for Libtayo, Dupixent, and any other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Antibody Collaboration may create substantial new and additional risks to the successful development and commercialization of the products and product candidates subject to such collaborations, particularly outside the United States.</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heavily on Bayer with respect to the commercialization of EYLEA HD and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HD and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HD and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require us to seek another collaboration that might not be available on favorable terms or at all, and could cause significant issues for the commercialization of EYLEA HD and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 sufficient commercial capabilities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outside the United States for Libtayo, Dupixent, and any other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Bayer collaboration agreement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 substantial new and additional risks to the successful commercialization of EYLEA HD and EYLEA.</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or other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such as due to the armed conflict between Russia and Ukraine) or in compliance with applicable GMPs, GLPs, or GCP standards, we could experience additional costs, delays, and difficulties in the manufacture or development of, or in obtaining approval by regulatory authorities for, or successfully commercializing our product candidates. See also "Risks Related to Manufacturing and Supply - </w:t>
      </w:r>
      <w:r>
        <w:rPr>
          <w:rFonts w:ascii="Times New Roman" w:cs="Times New Roman" w:eastAsia="Times New Roman" w:hAnsi="Times New Roman"/>
          <w:sz w:val="18"/>
          <w:szCs w:val="18"/>
          <w:i w:val="1"/>
          <w:iCs w:val="1"/>
          <w:color w:val="auto"/>
        </w:rPr>
        <w:t>Our or our collaborators' failure to meet the stringent requirements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undertaken and may in the future undertake strategic acquisitions, and any difficulties from integrating such acquisitions could adversely affect our business, operating results, and financial condition.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acquire companies, businesses, products, or product candidates that complement or augment our existing business. For example, in May 2022 and September 2023, we completed our acquisition of Checkmate Pharmaceuticals, Inc. and Decibel Therapeutics, Inc., respectively; and in April 2024, we acquired full development and commercialization rights to 2seventy bio, Inc.'s oncology and autoimmune preclinical and clinical stage cell therapy pipeline. The process of proposing, negotiating, completing, and integrating any such acquisition is lengthy and complex. Other companies may compete with us for such acquisitions. In addition, we may not be able to integrate any acquired business successfully or operate any acquired business profitably. Integrating any newly acquired business could be expensive and time consuming. Integration efforts often take a significant amount of time, place a significant strain on managerial, operational, and financial resources, result in a loss of key personnel of the acquired business, and could prove to be more difficult or expensive than we predict. The diversion of our management’s attention and any delay or difficulties encountered in connection with any acquisitions we may consummate could result in the disruption of our ongoing business or inconsistencies in standards, controls, systems, practices, policies, and procedures of our Company and the acquired business that could negatively affect our ability to maintain third-party relationships. Moreover, we may need to raise additional funds through public or private debt or equity financing to acquire any businesses, products, or product candidates, which may result in dilution for shareholders or the incurrence of indebtedness.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efforts to acquire companies, businesses, products, or product candidates or to enter into other significant transactions, we will conduct business, legal, research and development, regulatory, and financial due diligence with the goal of identifying and evaluating material risks involved in the transaction. Despite our efforts, we ultimately may be unsuccessful in ascertaining or evaluating all such risks and, as a result, might not realize the intended advantages of the transaction. If we fail to realize the expected benefits from acquisitions we have consummated or may consummate in the future, whether as a result of unidentified risks or liabilities, integration difficulties, product development or regulatory setbacks (including those relating to issues that may have arisen before we completed the transaction in question), litigation with current or former employees and other events, our business, operating results, and financial condition could be adversely affected. For any acquired product candidates, we will also need to make certain assumptions about, among other things, development costs, the likelihood of</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receiving regulatory approval, and the market for any such product candidates. Our assumptions may prove to be incorrect, which could cause us to fail to realize the anticipated benefits of these transactions.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experience significant charges to earnings in connection with our efforts to consummate acquisitions. For transactions that are ultimately not consummated, these charges may include fees and expenses for investment bankers, attorneys, accountants, and other advisors in connection with our efforts. Even if our efforts to consummate a particular transaction are successful, we may incur substantial charges for closure costs associated with elimination of duplicate operations and facilities, acquired in-process research and development charges, or intangible asset impairment charges. In either case, the incurrence of these charges could adversely affect our operating results for particular periods.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and other key members of our senior management team. If we are not able to retain (or for any other reason lose the services of) any of these persons, our business may suffer. In particular, we depend on the services of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These systems are also critical to enable remote working arrangements, which have been growing in importance. The size and complexity of our computer systems make us potentially vulnerable to IT system breakdowns, internal and external malicious intrusion, and computer viruses and ransomware,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and incidents. For example, in the past we have experienced, and expect to continue to experience, various types of cybersecurity incidents, including unauthorized access to our IT systems, data security breaches, malware incursions, denial-of-service attacks, phishing campaigns, and other similar disruptions. Similar incidents have been experienced and may in the future be experienced by certain third parties on which we rely. Although we believe, based on an assessment of the relevant facts available to us, that none of these incidents has had a material adverse impact on our operations, there can be no assurance that a future incident would not result in material harm to our business, prospects, operating results, and financial condition. There is also the potential that our systems may be directly or indirectly affected as nation-states conduct global cyberwarfare, including in connection with the current Russia-Ukraine or Hamas-Israel armed conflict.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nature of some of these attacks, there is a risk that an attack may remain undetected for a period of time. While we continue to make investments to improve the protection of data and information technology, and to oversee and monitor the security measures of our suppliers and/or service providers, there can be no assurance that our efforts will prevent service interruptions or security breaches. In addition, we depend in part on third-party security measures over which we do not have full control to protect against data security breaches.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or our suppliers and/or service providers fail to maintain or protect our information technology systems and data security effectively and in compliance with U.S. and foreign laws, or fail to anticipate, plan for, or manage significant disruptions to these systems, we or our suppliers and/or service providers could have difficulty preventing, detecting, or controlling such disruptions or security breaches, which could result in legal proceedings, liability under U.S. and foreign laws that protect the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privacy of personal information, disruptions to our operations, government investigations, breach of contract claims, and damage to our reputation (in each case in the U.S. or globally), which could have a material adverse effect on our business, prospects, operating results, and financial condition.</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outbreaks, epidemics, or pandemics (such as the COVID-19 pandemic) have adversely affected and may in the future adversely affect our business.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previously adversely affected, and the COVID-19 pandemic or other actual or threatened public health outbreaks, epidemics, or pandemics may in the future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disruptions in our operations could materially adversely impact our business, prospects, operating results, and financial condition. To the extent a public health outbreak, epidemic, or pandemic adversely affects our business, prospects, operating results, or financial condition, it may also have the effect of heightening many of the other risks described in this "Risk Factors" section.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impact our business.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certain indebtedness and contingent liabilities, including milestone and royalty payment obligations. As of June 30, 2024, we had an aggregate of $2.704 billion of outstanding indebtedness under our senior unsecured notes and the lease financing facility. We may also incur additional debt in the future. Any such indebtedness could:</w:t>
      </w:r>
    </w:p>
    <w:p>
      <w:pPr>
        <w:spacing w:after="0" w:line="10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limit our ability to access capital markets and incur additional debt in the future;</w:t>
      </w:r>
    </w:p>
    <w:p>
      <w:pPr>
        <w:spacing w:after="0" w:line="2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660" w:hanging="328"/>
        <w:spacing w:after="0" w:line="26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Chinese yuan,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 For example, as previously reported, the amount of our share of profits we earned in connection with commercialization of antibodies outside the United States was adversely impacted in 2022 by the U.S. dollar strengthening against foreign currencies, including the Japanese yen and the euro.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2024, we had $1.921 billion in cash and cash equivalents and $15.611 billion in marketable securities (including $1.174 billion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94" w:lineRule="exact"/>
        <w:rPr>
          <w:sz w:val="20"/>
          <w:szCs w:val="20"/>
          <w:color w:val="auto"/>
        </w:rPr>
      </w:pPr>
    </w:p>
    <w:p>
      <w:pPr>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HD, EYLEA, Dupixent, and Libtayo, as well as our overall operating results;</w:t>
      </w:r>
    </w:p>
    <w:p>
      <w:pPr>
        <w:ind w:left="660" w:right="2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HD, EYLEA, Dupixent, and Libtayo;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other major market launch of a biosimilar version of one of our key marketed products (such as EYLEA or EYLEA HD);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PBMs) affecting the coverage, reimbursement, or use of any of our marketed products or competitors' products;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public health outbreaks, epidemics, or pandemics (such as the COVID-19 pandemic) on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our Common Stock under any share repurchase program on favorable terms or at all;</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8"/>
          <w:szCs w:val="18"/>
          <w:i w:val="1"/>
          <w:iCs w:val="1"/>
          <w:color w:val="auto"/>
        </w:rPr>
        <w:t>Future sales of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our significant shareholders or us may depress our stock price and impair our ability to raise funds in new share offerings</w:t>
      </w:r>
      <w:r>
        <w:rPr>
          <w:rFonts w:ascii="Times New Roman" w:cs="Times New Roman" w:eastAsia="Times New Roman" w:hAnsi="Times New Roman"/>
          <w:sz w:val="18"/>
          <w:szCs w:val="18"/>
          <w:color w:val="auto"/>
        </w:rPr>
        <w:t>" below, a large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is owned by a small number of our principal shareholders. As a result, the public float of our Common Stock (i.e.,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June 30, 2024, our five largest shareholders plus Dr. Schleifer, our Chief Executive Officer, beneficially owned approximately 39.4% of our outstanding shares of Common Stock, assuming, in the case of our Chief Executive Officer, the conversion of his Class A Stock into Common Stock and the exercise of all options held by him which are exercisable within 60 days of June 30, 2024.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shares of our Common Stock or that we will repurchase shares at favorable prices.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2023, our board of directors authorized a share repurchase program to repurchase up to $3.0 billion of our Common Stock and, in April 2024, authorized an additional $3.0 billion for share repurchases (of which an aggregate of $3.631 billion remained available as of June 30, 2024). There can be no assurance of any future share repurchases or share repurchase program authorizations.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repurchase shares of our Common Stock at favorable prices, if at all.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substantial influence over matters requiring shareholder approval and over our management.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June 30, 2024, holders of Class A Stock held 14.4%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June 30, 2024:</w:t>
      </w:r>
    </w:p>
    <w:p>
      <w:pPr>
        <w:spacing w:after="0" w:line="106" w:lineRule="exact"/>
        <w:rPr>
          <w:sz w:val="20"/>
          <w:szCs w:val="20"/>
          <w:color w:val="auto"/>
        </w:rPr>
      </w:pPr>
    </w:p>
    <w:p>
      <w:pPr>
        <w:jc w:val="both"/>
        <w:ind w:left="660" w:hanging="328"/>
        <w:spacing w:after="0" w:line="25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5.4% of our outstanding shares of Common Stock, assuming conversion of their Class A Stock into Common Stock and the exercise of all options held by such persons which are exercisable within 60 days of June 30, 2024, and 17.1% of the combined voting power of our outstanding shares of Common Stock and Class A Stock, assuming the exercise of all options held by such persons which are exercisable within 60 days of June 30, 2024;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39.4% of our outstanding shares of Common Stock, assuming, in the case of our Chief Executive Officer, the conversion of his Class A Stock into Common Stock and the exercise of all options held by him which are exercisable within 60 days of June 30, 2024. In addition, these five shareholders plus our Chief Executive Officer held approximately 46.5% of the combined voting power of our outstanding shares of Common Stock and Class A Stock, assuming the exercise of all options held by our Chief Executive Officer which are exercisable within 60 days of June 30, 2024.</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2" w:lineRule="exact"/>
        <w:rPr>
          <w:sz w:val="20"/>
          <w:szCs w:val="20"/>
          <w:color w:val="auto"/>
        </w:rPr>
      </w:pPr>
    </w:p>
    <w:p>
      <w:pPr>
        <w:ind w:left="66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shareholder meetings to replace all of our directors;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5" w:lineRule="auto"/>
        <w:tabs>
          <w:tab w:leader="none" w:pos="6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right="2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substantial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influence over matters requiring shareholder approval and over our management.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certain of our current or former collaborators are currently bound by "standstill" provisions under their respective agreements with us. These include the January 2014 amended and restated investor agreement between us and Sanofi, as amended, which contractually prohibits Sanofi from seeking to directly or indirectly exert control of our Company or acquiring more than 30% of our Class A Stock and Common Stock, taken together.</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reflects shares of Common Stock we repurchased under our share repurchase programs, as well as Common Stock withheld by us for employees to satisfy their tax withholding obligations arising upon the vesting of restricted stock granted under one of our long-term incentive plans, during the three months ended June 30, 2024. Refer to Part I, Item 2. "Management's Discussion and Analysis of Financial Condition and Results of Operations – Liquidity and Capital Resources" for further details of our share repurchase programs.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340" w:type="dxa"/>
            <w:vAlign w:val="bottom"/>
          </w:tcPr>
          <w:p>
            <w:pPr>
              <w:spacing w:after="0"/>
              <w:rPr>
                <w:sz w:val="17"/>
                <w:szCs w:val="17"/>
                <w:color w:val="auto"/>
              </w:rPr>
            </w:pP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320" w:type="dxa"/>
            <w:vAlign w:val="bottom"/>
          </w:tcPr>
          <w:p>
            <w:pPr>
              <w:spacing w:after="0"/>
              <w:rPr>
                <w:sz w:val="15"/>
                <w:szCs w:val="15"/>
                <w:color w:val="auto"/>
              </w:rPr>
            </w:pPr>
          </w:p>
        </w:tc>
        <w:tc>
          <w:tcPr>
            <w:tcW w:w="23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6"/>
        </w:trPr>
        <w:tc>
          <w:tcPr>
            <w:tcW w:w="22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gridSpan w:val="3"/>
            <w:vMerge w:val="continue"/>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43"/>
        </w:trPr>
        <w:tc>
          <w:tcPr>
            <w:tcW w:w="2200" w:type="dxa"/>
            <w:vAlign w:val="bottom"/>
            <w:gridSpan w:val="2"/>
            <w:vMerge w:val="continue"/>
          </w:tcPr>
          <w:p>
            <w:pPr>
              <w:spacing w:after="0"/>
              <w:rPr>
                <w:sz w:val="21"/>
                <w:szCs w:val="21"/>
                <w:color w:val="auto"/>
              </w:rPr>
            </w:pPr>
          </w:p>
        </w:tc>
        <w:tc>
          <w:tcPr>
            <w:tcW w:w="19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0" w:type="dxa"/>
            <w:vAlign w:val="bottom"/>
          </w:tcPr>
          <w:p>
            <w:pPr>
              <w:spacing w:after="0"/>
              <w:rPr>
                <w:sz w:val="1"/>
                <w:szCs w:val="1"/>
                <w:color w:val="auto"/>
              </w:rPr>
            </w:pPr>
          </w:p>
        </w:tc>
      </w:tr>
      <w:tr>
        <w:trPr>
          <w:trHeight w:val="223"/>
        </w:trPr>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4/1/2024–4/30/2024</w:t>
            </w:r>
          </w:p>
        </w:tc>
        <w:tc>
          <w:tcPr>
            <w:tcW w:w="3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224,301</w:t>
            </w:r>
          </w:p>
        </w:tc>
        <w:tc>
          <w:tcPr>
            <w:tcW w:w="3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912.09</w:t>
            </w:r>
          </w:p>
        </w:tc>
        <w:tc>
          <w:tcPr>
            <w:tcW w:w="34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218,940</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4,033.1</w:t>
            </w:r>
          </w:p>
        </w:tc>
        <w:tc>
          <w:tcPr>
            <w:tcW w:w="0" w:type="dxa"/>
            <w:vAlign w:val="bottom"/>
          </w:tcPr>
          <w:p>
            <w:pPr>
              <w:spacing w:after="0"/>
              <w:rPr>
                <w:sz w:val="1"/>
                <w:szCs w:val="1"/>
                <w:color w:val="auto"/>
              </w:rPr>
            </w:pPr>
          </w:p>
        </w:tc>
      </w:tr>
      <w:tr>
        <w:trPr>
          <w:trHeight w:val="229"/>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5/1/2024–5/31/2024</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213,027</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970.35</w:t>
            </w: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212,945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3,826.5</w:t>
            </w:r>
          </w:p>
        </w:tc>
        <w:tc>
          <w:tcPr>
            <w:tcW w:w="0" w:type="dxa"/>
            <w:vAlign w:val="bottom"/>
          </w:tcPr>
          <w:p>
            <w:pPr>
              <w:spacing w:after="0"/>
              <w:rPr>
                <w:sz w:val="1"/>
                <w:szCs w:val="1"/>
                <w:color w:val="auto"/>
              </w:rPr>
            </w:pPr>
          </w:p>
        </w:tc>
      </w:tr>
      <w:tr>
        <w:trPr>
          <w:trHeight w:val="230"/>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6/1/2024–6/30/2024</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197,096</w:t>
            </w:r>
          </w:p>
        </w:tc>
        <w:tc>
          <w:tcPr>
            <w:tcW w:w="7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1,029.22</w:t>
            </w:r>
          </w:p>
        </w:tc>
        <w:tc>
          <w:tcPr>
            <w:tcW w:w="34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189,547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3,631.2</w:t>
            </w:r>
          </w:p>
        </w:tc>
        <w:tc>
          <w:tcPr>
            <w:tcW w:w="0" w:type="dxa"/>
            <w:vAlign w:val="bottom"/>
          </w:tcPr>
          <w:p>
            <w:pPr>
              <w:spacing w:after="0"/>
              <w:rPr>
                <w:sz w:val="1"/>
                <w:szCs w:val="1"/>
                <w:color w:val="auto"/>
              </w:rPr>
            </w:pPr>
          </w:p>
        </w:tc>
      </w:tr>
      <w:tr>
        <w:trPr>
          <w:trHeight w:val="22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634,424</w:t>
            </w:r>
          </w:p>
        </w:tc>
        <w:tc>
          <w:tcPr>
            <w:tcW w:w="760" w:type="dxa"/>
            <w:vAlign w:val="bottom"/>
            <w:gridSpan w:val="2"/>
          </w:tcPr>
          <w:p>
            <w:pPr>
              <w:jc w:val="right"/>
              <w:ind w:right="530"/>
              <w:spacing w:after="0" w:line="130" w:lineRule="exact"/>
              <w:rPr>
                <w:sz w:val="20"/>
                <w:szCs w:val="20"/>
                <w:color w:val="auto"/>
              </w:rPr>
            </w:pPr>
            <w:r>
              <w:rPr>
                <w:rFonts w:ascii="Times New Roman" w:cs="Times New Roman" w:eastAsia="Times New Roman" w:hAnsi="Times New Roman"/>
                <w:sz w:val="12"/>
                <w:szCs w:val="12"/>
                <w:color w:val="auto"/>
                <w:w w:val="89"/>
              </w:rPr>
              <w:t>(a)</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621,432</w:t>
            </w:r>
          </w:p>
        </w:tc>
        <w:tc>
          <w:tcPr>
            <w:tcW w:w="540" w:type="dxa"/>
            <w:vAlign w:val="bottom"/>
            <w:gridSpan w:val="2"/>
          </w:tcPr>
          <w:p>
            <w:pPr>
              <w:jc w:val="right"/>
              <w:ind w:right="290"/>
              <w:spacing w:after="0" w:line="130" w:lineRule="exact"/>
              <w:rPr>
                <w:sz w:val="20"/>
                <w:szCs w:val="20"/>
                <w:color w:val="auto"/>
              </w:rPr>
            </w:pPr>
            <w:r>
              <w:rPr>
                <w:rFonts w:ascii="Times New Roman" w:cs="Times New Roman" w:eastAsia="Times New Roman" w:hAnsi="Times New Roman"/>
                <w:sz w:val="12"/>
                <w:szCs w:val="12"/>
                <w:color w:val="auto"/>
              </w:rPr>
              <w:t>(a)</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180" w:right="20" w:firstLine="8"/>
        <w:spacing w:after="0" w:line="367" w:lineRule="auto"/>
        <w:tabs>
          <w:tab w:leader="none" w:pos="354"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difference between the total number of shares purchased and the total number of shares purchased as part of publicly announced programs relates to Common Stock withheld by us for employees to satisfy their tax withholding obligations arising upon the vesting of restricted stock granted under one of our long-term incentive plans.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no director or executive officer adopted, modified, or terminated any trading arrangement intended to satisfy the affirmative defense conditions of Rule 10b5-1(c) of the Exchange Act.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Exhibits</w:t>
            </w:r>
          </w:p>
        </w:tc>
        <w:tc>
          <w:tcPr>
            <w:tcW w:w="8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5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5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5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 w:type="dxa"/>
            <w:vAlign w:val="bottom"/>
          </w:tcPr>
          <w:p>
            <w:pPr>
              <w:spacing w:after="0"/>
              <w:rPr>
                <w:sz w:val="19"/>
                <w:szCs w:val="19"/>
                <w:color w:val="auto"/>
              </w:rPr>
            </w:pPr>
          </w:p>
        </w:tc>
        <w:tc>
          <w:tcPr>
            <w:tcW w:w="580" w:type="dxa"/>
            <w:vAlign w:val="bottom"/>
            <w:tcBorders>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280" w:type="dxa"/>
            <w:vAlign w:val="bottom"/>
            <w:tcBorders>
              <w:bottom w:val="single" w:sz="8" w:color="0000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13a-14(a) under the Securities Exchange Act of 1934.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under the Securities Exchange Act of 1934.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920" w:hanging="1071"/>
        <w:spacing w:after="0"/>
        <w:tabs>
          <w:tab w:leader="none" w:pos="1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-127635</wp:posOffset>
            </wp:positionV>
            <wp:extent cx="608647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86475" cy="146050"/>
                    </a:xfrm>
                    <a:prstGeom prst="rect">
                      <a:avLst/>
                    </a:prstGeom>
                    <a:noFill/>
                  </pic:spPr>
                </pic:pic>
              </a:graphicData>
            </a:graphic>
          </wp:anchor>
        </w:drawing>
      </w:r>
    </w:p>
    <w:p>
      <w:pPr>
        <w:spacing w:after="0" w:line="7" w:lineRule="exact"/>
        <w:rPr>
          <w:sz w:val="20"/>
          <w:szCs w:val="20"/>
          <w:color w:val="auto"/>
        </w:rPr>
      </w:pPr>
    </w:p>
    <w:p>
      <w:pPr>
        <w:ind w:left="1920" w:right="1040" w:hanging="1071"/>
        <w:spacing w:after="0" w:line="216" w:lineRule="auto"/>
        <w:tabs>
          <w:tab w:leader="none" w:pos="1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 (i) the registrant's Condensed Consolidated Balance Sheets as of June 30, 2024 and December 31, 2023; (ii) the registrant's Condensed Consolidated Statements of Operations and Comprehensive Income for the three and six months ended June 30, 2024 and 2023; (iii) the registrant's Condensed Consolidated Statements of Stockholders’ Equity for the three and six months ended June 30, 2024 and 2023; (iv) the registrant's Condensed Consolidated Statements of Cash Flows for the six months ended June 30, 2024 and 2023; and (v) the notes to the registrant's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3175</wp:posOffset>
            </wp:positionV>
            <wp:extent cx="608647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86475" cy="146050"/>
                    </a:xfrm>
                    <a:prstGeom prst="rect">
                      <a:avLst/>
                    </a:prstGeom>
                    <a:noFill/>
                  </pic:spPr>
                </pic:pic>
              </a:graphicData>
            </a:graphic>
          </wp:anchor>
        </w:drawing>
      </w:r>
    </w:p>
    <w:p>
      <w:pPr>
        <w:ind w:left="5540" w:right="2740" w:hanging="4691"/>
        <w:spacing w:after="0" w:line="887" w:lineRule="auto"/>
        <w:tabs>
          <w:tab w:leader="none" w:pos="192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93" w:lineRule="exact"/>
        <w:rPr>
          <w:sz w:val="20"/>
          <w:szCs w:val="20"/>
          <w:color w:val="auto"/>
        </w:rPr>
      </w:pPr>
    </w:p>
    <w:p>
      <w:pPr>
        <w:ind w:left="20"/>
        <w:spacing w:after="0"/>
        <w:tabs>
          <w:tab w:leader="none" w:pos="760" w:val="left"/>
          <w:tab w:leader="none" w:pos="4240" w:val="left"/>
          <w:tab w:leader="none" w:pos="4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Christopher Fenimore</w:t>
      </w:r>
    </w:p>
    <w:p>
      <w:pPr>
        <w:spacing w:after="0" w:line="7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Senior Vice President, Finance and</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369"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04"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August 1, 2024</w:t>
            </w:r>
          </w:p>
        </w:tc>
        <w:tc>
          <w:tcPr>
            <w:tcW w:w="120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Leonard S. Schleifer</w:t>
            </w:r>
          </w:p>
        </w:tc>
        <w:tc>
          <w:tcPr>
            <w:tcW w:w="0" w:type="dxa"/>
            <w:vAlign w:val="bottom"/>
          </w:tcPr>
          <w:p>
            <w:pPr>
              <w:spacing w:after="0"/>
              <w:rPr>
                <w:sz w:val="1"/>
                <w:szCs w:val="1"/>
                <w:color w:val="auto"/>
              </w:rPr>
            </w:pPr>
          </w:p>
        </w:tc>
      </w:tr>
      <w:tr>
        <w:trPr>
          <w:trHeight w:val="20"/>
        </w:trPr>
        <w:tc>
          <w:tcPr>
            <w:tcW w:w="3020" w:type="dxa"/>
            <w:vAlign w:val="bottom"/>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020" w:type="dxa"/>
            <w:vAlign w:val="bottom"/>
            <w:vMerge w:val="continue"/>
          </w:tcPr>
          <w:p>
            <w:pPr>
              <w:spacing w:after="0"/>
              <w:rPr>
                <w:sz w:val="7"/>
                <w:szCs w:val="7"/>
                <w:color w:val="auto"/>
              </w:rPr>
            </w:pPr>
          </w:p>
        </w:tc>
        <w:tc>
          <w:tcPr>
            <w:tcW w:w="1200" w:type="dxa"/>
            <w:vAlign w:val="bottom"/>
            <w:vMerge w:val="restart"/>
          </w:tcPr>
          <w:p>
            <w:pPr>
              <w:spacing w:after="0"/>
              <w:rPr>
                <w:sz w:val="7"/>
                <w:szCs w:val="7"/>
                <w:color w:val="auto"/>
              </w:rPr>
            </w:pPr>
          </w:p>
        </w:tc>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0" w:type="dxa"/>
            <w:vAlign w:val="bottom"/>
          </w:tcPr>
          <w:p>
            <w:pPr>
              <w:spacing w:after="0"/>
              <w:rPr>
                <w:sz w:val="1"/>
                <w:szCs w:val="1"/>
                <w:color w:val="auto"/>
              </w:rPr>
            </w:pPr>
          </w:p>
        </w:tc>
      </w:tr>
      <w:tr>
        <w:trPr>
          <w:trHeight w:val="225"/>
        </w:trPr>
        <w:tc>
          <w:tcPr>
            <w:tcW w:w="30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spacing w:after="0"/>
              <w:rPr>
                <w:sz w:val="19"/>
                <w:szCs w:val="19"/>
                <w:color w:val="auto"/>
              </w:rPr>
            </w:pPr>
          </w:p>
        </w:tc>
        <w:tc>
          <w:tcPr>
            <w:tcW w:w="81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81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93"/>
        </w:trPr>
        <w:tc>
          <w:tcPr>
            <w:tcW w:w="3020" w:type="dxa"/>
            <w:vAlign w:val="bottom"/>
            <w:tcBorders>
              <w:bottom w:val="single" w:sz="8" w:color="666666"/>
            </w:tcBorders>
          </w:tcPr>
          <w:p>
            <w:pPr>
              <w:spacing w:after="0"/>
              <w:rPr>
                <w:sz w:val="24"/>
                <w:szCs w:val="24"/>
                <w:color w:val="auto"/>
              </w:rPr>
            </w:pPr>
          </w:p>
        </w:tc>
        <w:tc>
          <w:tcPr>
            <w:tcW w:w="120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Fenimore, certify that:</w:t>
      </w:r>
    </w:p>
    <w:p>
      <w:pPr>
        <w:spacing w:after="0" w:line="104"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August 1, 2024</w:t>
            </w:r>
          </w:p>
        </w:tc>
        <w:tc>
          <w:tcPr>
            <w:tcW w:w="120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Christopher Fenimore</w:t>
            </w:r>
          </w:p>
        </w:tc>
        <w:tc>
          <w:tcPr>
            <w:tcW w:w="0" w:type="dxa"/>
            <w:vAlign w:val="bottom"/>
          </w:tcPr>
          <w:p>
            <w:pPr>
              <w:spacing w:after="0"/>
              <w:rPr>
                <w:sz w:val="1"/>
                <w:szCs w:val="1"/>
                <w:color w:val="auto"/>
              </w:rPr>
            </w:pPr>
          </w:p>
        </w:tc>
      </w:tr>
      <w:tr>
        <w:trPr>
          <w:trHeight w:val="88"/>
        </w:trPr>
        <w:tc>
          <w:tcPr>
            <w:tcW w:w="3020" w:type="dxa"/>
            <w:vAlign w:val="bottom"/>
            <w:vMerge w:val="continue"/>
          </w:tcPr>
          <w:p>
            <w:pPr>
              <w:spacing w:after="0"/>
              <w:rPr>
                <w:sz w:val="7"/>
                <w:szCs w:val="7"/>
                <w:color w:val="auto"/>
              </w:rPr>
            </w:pPr>
          </w:p>
        </w:tc>
        <w:tc>
          <w:tcPr>
            <w:tcW w:w="1200" w:type="dxa"/>
            <w:vAlign w:val="bottom"/>
            <w:vMerge w:val="restart"/>
          </w:tcPr>
          <w:p>
            <w:pPr>
              <w:spacing w:after="0"/>
              <w:rPr>
                <w:sz w:val="7"/>
                <w:szCs w:val="7"/>
                <w:color w:val="auto"/>
              </w:rPr>
            </w:pPr>
          </w:p>
        </w:tc>
        <w:tc>
          <w:tcPr>
            <w:tcW w:w="18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Christopher Fenimore</w:t>
            </w:r>
          </w:p>
        </w:tc>
        <w:tc>
          <w:tcPr>
            <w:tcW w:w="51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0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8180" w:type="dxa"/>
            <w:vAlign w:val="bottom"/>
            <w:gridSpan w:val="3"/>
          </w:tcPr>
          <w:p>
            <w:pPr>
              <w:ind w:left="1200"/>
              <w:spacing w:after="0" w:line="181" w:lineRule="exact"/>
              <w:rPr>
                <w:sz w:val="20"/>
                <w:szCs w:val="20"/>
                <w:color w:val="auto"/>
              </w:rPr>
            </w:pPr>
            <w:r>
              <w:rPr>
                <w:rFonts w:ascii="Times New Roman" w:cs="Times New Roman" w:eastAsia="Times New Roman" w:hAnsi="Times New Roman"/>
                <w:sz w:val="18"/>
                <w:szCs w:val="18"/>
                <w:color w:val="auto"/>
              </w:rPr>
              <w:t>Senior Vice President, Finance and Chief</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81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38"/>
        </w:trPr>
        <w:tc>
          <w:tcPr>
            <w:tcW w:w="3020" w:type="dxa"/>
            <w:vAlign w:val="bottom"/>
          </w:tcPr>
          <w:p>
            <w:pPr>
              <w:spacing w:after="0"/>
              <w:rPr>
                <w:sz w:val="20"/>
                <w:szCs w:val="20"/>
                <w:color w:val="auto"/>
              </w:rPr>
            </w:pPr>
          </w:p>
        </w:tc>
        <w:tc>
          <w:tcPr>
            <w:tcW w:w="81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93"/>
        </w:trPr>
        <w:tc>
          <w:tcPr>
            <w:tcW w:w="3020" w:type="dxa"/>
            <w:vAlign w:val="bottom"/>
            <w:tcBorders>
              <w:bottom w:val="single" w:sz="8" w:color="666666"/>
            </w:tcBorders>
          </w:tcPr>
          <w:p>
            <w:pPr>
              <w:spacing w:after="0"/>
              <w:rPr>
                <w:sz w:val="24"/>
                <w:szCs w:val="24"/>
                <w:color w:val="auto"/>
              </w:rPr>
            </w:pPr>
          </w:p>
        </w:tc>
        <w:tc>
          <w:tcPr>
            <w:tcW w:w="1200" w:type="dxa"/>
            <w:vAlign w:val="bottom"/>
            <w:tcBorders>
              <w:bottom w:val="single" w:sz="8" w:color="666666"/>
            </w:tcBorders>
          </w:tcPr>
          <w:p>
            <w:pPr>
              <w:spacing w:after="0"/>
              <w:rPr>
                <w:sz w:val="24"/>
                <w:szCs w:val="24"/>
                <w:color w:val="auto"/>
              </w:rPr>
            </w:pPr>
          </w:p>
        </w:tc>
        <w:tc>
          <w:tcPr>
            <w:tcW w:w="1800" w:type="dxa"/>
            <w:vAlign w:val="bottom"/>
            <w:tcBorders>
              <w:bottom w:val="single" w:sz="8" w:color="666666"/>
            </w:tcBorders>
          </w:tcPr>
          <w:p>
            <w:pPr>
              <w:spacing w:after="0"/>
              <w:rPr>
                <w:sz w:val="24"/>
                <w:szCs w:val="24"/>
                <w:color w:val="auto"/>
              </w:rPr>
            </w:pPr>
          </w:p>
        </w:tc>
        <w:tc>
          <w:tcPr>
            <w:tcW w:w="51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2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June 30, 2024 as filed with the Securities and Exchange Commission on the date hereof (the "Report"), Leonard S. Schleifer, M.D., Ph.D., as Principal Executive Officer of the Company, and Christopher Fenimore, as Principal Financial Officer of the Company, each hereby certifies, pursuant to 18 U.S.C. Section 1350, as adopted pursuant to Section 906 of the Sarbanes-Oxley Act of 2002, to the best of his knowledge, that:</w:t>
      </w:r>
    </w:p>
    <w:p>
      <w:pPr>
        <w:spacing w:after="0" w:line="58"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 2024</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Christopher Fenimore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Finance and Chief</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 2024</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lowerLetter"/>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1)"/>
      <w:numFmt w:val="lowerLetter"/>
      <w:start w:val="1"/>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lvl w:ilvl="1">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2"/>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32"/>
    </w:lvl>
  </w:abstractNum>
  <w:abstractNum w:abstractNumId="31">
    <w:nsid w:val="614FD4A1"/>
    <w:multiLevelType w:val="hybridMultilevel"/>
    <w:lvl w:ilvl="0">
      <w:lvlJc w:val="left"/>
      <w:lvlText w:val="%1"/>
      <w:numFmt w:val="decimal"/>
      <w:start w:val="101"/>
    </w:lvl>
  </w:abstractNum>
  <w:abstractNum w:abstractNumId="32">
    <w:nsid w:val="419AC241"/>
    <w:multiLevelType w:val="hybridMultilevel"/>
    <w:lvl w:ilvl="0">
      <w:lvlJc w:val="left"/>
      <w:lvlText w:val="%1"/>
      <w:numFmt w:val="decimal"/>
      <w:start w:val="104"/>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2024-08-01T06:25:44Z</dcterms:created>
  <dcterms:modified xsi:type="dcterms:W3CDTF">2024-08-01T06:25:44Z</dcterms:modified>
</cp:coreProperties>
</file>