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120015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(Mark One)</w:t>
      </w:r>
    </w:p>
    <w:p>
      <w:pPr>
        <w:spacing w:after="0" w:line="63" w:lineRule="exact"/>
        <w:rPr>
          <w:sz w:val="24"/>
          <w:szCs w:val="24"/>
          <w:color w:val="auto"/>
        </w:rPr>
      </w:pPr>
    </w:p>
    <w:p>
      <w:pPr>
        <w:ind w:left="500" w:right="2240" w:hanging="465"/>
        <w:spacing w:after="0" w:line="344"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2014</w:t>
      </w:r>
    </w:p>
    <w:p>
      <w:pPr>
        <w:spacing w:after="0" w:line="217"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color w:val="auto"/>
        </w:rPr>
        <w:t>OR</w:t>
      </w:r>
    </w:p>
    <w:p>
      <w:pPr>
        <w:spacing w:after="0" w:line="333" w:lineRule="exact"/>
        <w:rPr>
          <w:sz w:val="24"/>
          <w:szCs w:val="24"/>
          <w:color w:val="auto"/>
        </w:rPr>
      </w:pPr>
    </w:p>
    <w:p>
      <w:pPr>
        <w:ind w:left="500" w:right="2220" w:hanging="465"/>
        <w:spacing w:after="0" w:line="344" w:lineRule="auto"/>
        <w:tabs>
          <w:tab w:leader="none" w:pos="1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TRANSITION REPORT PURSUANT TO SECTION 13 OR 15(d) OF THE SECURITIES EXCHANGE ACT OF 1934 For the transition period from __________ to __________</w:t>
      </w:r>
    </w:p>
    <w:p>
      <w:pPr>
        <w:spacing w:after="0" w:line="190" w:lineRule="exact"/>
        <w:rPr>
          <w:sz w:val="24"/>
          <w:szCs w:val="24"/>
          <w:color w:val="auto"/>
        </w:rPr>
      </w:pPr>
    </w:p>
    <w:tbl>
      <w:tblPr>
        <w:tblLayout w:type="fixed"/>
        <w:tblInd w:w="23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102870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REGENERON PHARMACEUTICALS,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Times New Roman" w:cs="Times New Roman" w:eastAsia="Times New Roman" w:hAnsi="Times New Roman"/>
                <w:sz w:val="18"/>
                <w:szCs w:val="18"/>
                <w:color w:val="auto"/>
                <w:w w:val="95"/>
              </w:rPr>
              <w:t>New York</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Times New Roman" w:cs="Times New Roman" w:eastAsia="Times New Roman" w:hAnsi="Times New Roman"/>
                <w:sz w:val="18"/>
                <w:szCs w:val="18"/>
                <w:color w:val="auto"/>
                <w:w w:val="98"/>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c>
          <w:tcPr>
            <w:tcW w:w="880" w:type="dxa"/>
            <w:vAlign w:val="bottom"/>
          </w:tcPr>
          <w:p>
            <w:pPr>
              <w:spacing w:after="0"/>
              <w:rPr>
                <w:sz w:val="24"/>
                <w:szCs w:val="24"/>
                <w:color w:val="auto"/>
              </w:rPr>
            </w:pPr>
          </w:p>
        </w:tc>
      </w:tr>
    </w:tbl>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(914) 847-7000</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4"/>
          <w:szCs w:val="24"/>
          <w:color w:val="auto"/>
        </w:rPr>
      </w:pPr>
    </w:p>
    <w:p>
      <w:pPr>
        <w:ind w:left="3860"/>
        <w:spacing w:after="0"/>
        <w:tabs>
          <w:tab w:leader="none" w:pos="4440" w:val="left"/>
          <w:tab w:leader="none" w:pos="85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2" w:lineRule="exact"/>
        <w:rPr>
          <w:sz w:val="24"/>
          <w:szCs w:val="24"/>
          <w:color w:val="auto"/>
        </w:rPr>
      </w:pPr>
    </w:p>
    <w:p>
      <w:pPr>
        <w:ind w:left="3860"/>
        <w:spacing w:after="0"/>
        <w:tabs>
          <w:tab w:leader="none" w:pos="4440" w:val="left"/>
          <w:tab w:leader="none" w:pos="85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X</w:t>
      </w:r>
      <w:r>
        <w:rPr>
          <w:sz w:val="20"/>
          <w:szCs w:val="20"/>
          <w:color w:val="auto"/>
        </w:rPr>
        <w:tab/>
      </w: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34290</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34290</wp:posOffset>
            </wp:positionV>
            <wp:extent cx="428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outstanding of each of the registrant’s classes of common stock as of July 17, 2014:</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4"/>
        </w:trPr>
        <w:tc>
          <w:tcPr>
            <w:tcW w:w="3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Class of Common Stock</w:t>
            </w:r>
          </w:p>
        </w:tc>
        <w:tc>
          <w:tcPr>
            <w:tcW w:w="3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Class A Stock, $.001 par value</w:t>
            </w:r>
          </w:p>
        </w:tc>
        <w:tc>
          <w:tcPr>
            <w:tcW w:w="32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1,979,055</w:t>
            </w:r>
          </w:p>
        </w:tc>
      </w:tr>
      <w:tr>
        <w:trPr>
          <w:trHeight w:val="270"/>
        </w:trPr>
        <w:tc>
          <w:tcPr>
            <w:tcW w:w="36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32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99,086,588</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7"/>
          </w:tcPr>
          <w:p>
            <w:pPr>
              <w:ind w:left="82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FINANCIAL INFORMATION</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at June 30, 2014 and December 31, 2013</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5"/>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Statements of Operations and Comprehensive Income for the</w:t>
              </w:r>
            </w:hyperlink>
          </w:p>
        </w:tc>
        <w:tc>
          <w:tcPr>
            <w:tcW w:w="200" w:type="dxa"/>
            <w:vAlign w:val="bottom"/>
            <w:tcBorders>
              <w:bottom w:val="single" w:sz="8" w:color="CCEEFF"/>
            </w:tcBorders>
            <w:gridSpan w:val="3"/>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Three and Six Months Ended June 30, 2014 and 2013</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1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Stockholders' Equity for the Six Months Ended</w:t>
              </w:r>
            </w:hyperlink>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5</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June 30, 2014 and 2013</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1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Condensed Consolidated Statements of Cash Flows for the Six Months Ended June 30,</w:t>
              </w:r>
            </w:hyperlink>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2014 and 2013</w:t>
              </w:r>
            </w:hyperlink>
          </w:p>
        </w:tc>
        <w:tc>
          <w:tcPr>
            <w:tcW w:w="1480" w:type="dxa"/>
            <w:vAlign w:val="bottom"/>
            <w:gridSpan w:val="5"/>
            <w:shd w:val="clear" w:color="auto" w:fill="CCEEFF"/>
          </w:tcPr>
          <w:p>
            <w:pPr>
              <w:jc w:val="center"/>
              <w:ind w:left="121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7</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8</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Item 2.</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20</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3.</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Quantitative and Qualitative Disclosures About Market Risk</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4.</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Controls and Procedures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54">
              <w:r>
                <w:rPr>
                  <w:rFonts w:ascii="Times New Roman" w:cs="Times New Roman" w:eastAsia="Times New Roman" w:hAnsi="Times New Roman"/>
                  <w:sz w:val="18"/>
                  <w:szCs w:val="18"/>
                  <w:b w:val="1"/>
                  <w:bCs w:val="1"/>
                  <w:color w:val="0000EE"/>
                </w:rPr>
                <w:t>PART II</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54">
              <w:r>
                <w:rPr>
                  <w:rFonts w:ascii="Times New Roman" w:cs="Times New Roman" w:eastAsia="Times New Roman" w:hAnsi="Times New Roman"/>
                  <w:sz w:val="18"/>
                  <w:szCs w:val="18"/>
                  <w:b w:val="1"/>
                  <w:bCs w:val="1"/>
                  <w:color w:val="0000EE"/>
                </w:rPr>
                <w:t>OTHER INFORMATION</w:t>
              </w:r>
            </w:hyperlink>
          </w:p>
        </w:tc>
        <w:tc>
          <w:tcPr>
            <w:tcW w:w="8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1.</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Legal Proceedings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1A.</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Risk Factors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54</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2.</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Unregistered Sales of Equity Securities and Use of Proceeds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78</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50"/>
        </w:trPr>
        <w:tc>
          <w:tcPr>
            <w:tcW w:w="1360" w:type="dxa"/>
            <w:vAlign w:val="bottom"/>
            <w:gridSpan w:val="5"/>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Item 6.</w:t>
              </w:r>
            </w:hyperlink>
          </w:p>
        </w:tc>
        <w:tc>
          <w:tcPr>
            <w:tcW w:w="644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Exhibits</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79</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r>
      <w:tr>
        <w:trPr>
          <w:trHeight w:val="203"/>
        </w:trPr>
        <w:tc>
          <w:tcPr>
            <w:tcW w:w="7800" w:type="dxa"/>
            <w:vAlign w:val="bottom"/>
            <w:gridSpan w:val="23"/>
            <w:shd w:val="clear" w:color="auto" w:fill="CCEEFF"/>
          </w:tcPr>
          <w:p>
            <w:pPr>
              <w:ind w:left="40"/>
              <w:spacing w:after="0" w:line="202" w:lineRule="exact"/>
              <w:rPr>
                <w:rFonts w:ascii="Times New Roman" w:cs="Times New Roman" w:eastAsia="Times New Roman" w:hAnsi="Times New Roman"/>
                <w:sz w:val="18"/>
                <w:szCs w:val="18"/>
                <w:b w:val="1"/>
                <w:bCs w:val="1"/>
                <w:color w:val="0000EE"/>
              </w:rPr>
            </w:pPr>
            <w:hyperlink w:anchor="page79">
              <w:r>
                <w:rPr>
                  <w:rFonts w:ascii="Times New Roman" w:cs="Times New Roman" w:eastAsia="Times New Roman" w:hAnsi="Times New Roman"/>
                  <w:sz w:val="18"/>
                  <w:szCs w:val="18"/>
                  <w:b w:val="1"/>
                  <w:bCs w:val="1"/>
                  <w:color w:val="0000EE"/>
                </w:rPr>
                <w:t>SIGNATURE PAGE</w:t>
              </w:r>
            </w:hyperlink>
          </w:p>
        </w:tc>
        <w:tc>
          <w:tcPr>
            <w:tcW w:w="1480" w:type="dxa"/>
            <w:vAlign w:val="bottom"/>
            <w:gridSpan w:val="5"/>
            <w:shd w:val="clear" w:color="auto" w:fill="CCEEFF"/>
          </w:tcPr>
          <w:p>
            <w:pPr>
              <w:jc w:val="center"/>
              <w:ind w:left="1210"/>
              <w:spacing w:after="0" w:line="202"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80</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40"/>
        <w:spacing w:after="0" w:line="228"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26"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6" w:right="279" w:bottom="1440" w:gutter="0" w:footer="0" w:header="0"/>
          <w:type w:val="continuous"/>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600,135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535,608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158,376</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787,071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104,707</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from Bayer HealthCare</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109,897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70,354</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44,677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32,952</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1,918,695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1,796,934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389,891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at cost, net of accumulated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707,321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526,983</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231,878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5,327</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3,456,078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2,951,013</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8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283,385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250,896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 from Sanofi,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43"/>
        </w:trPr>
        <w:tc>
          <w:tcPr>
            <w:tcW w:w="8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 other, current portion</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34,185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Facility lease obligations,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351,578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298,835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76,522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 other</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107,677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lease obligations</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184,258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320,315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1,087,236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998,937</w:t>
            </w:r>
          </w:p>
        </w:tc>
        <w:tc>
          <w:tcPr>
            <w:tcW w:w="0" w:type="dxa"/>
            <w:vAlign w:val="bottom"/>
          </w:tcPr>
          <w:p>
            <w:pPr>
              <w:spacing w:after="0"/>
              <w:rPr>
                <w:sz w:val="1"/>
                <w:szCs w:val="1"/>
                <w:color w:val="auto"/>
              </w:rPr>
            </w:pPr>
          </w:p>
        </w:tc>
      </w:tr>
      <w:tr>
        <w:trPr>
          <w:trHeight w:val="115"/>
        </w:trPr>
        <w:tc>
          <w:tcPr>
            <w:tcW w:w="81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1,998,785 in 2014 and 2,020,481 in 2013</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$.001 par value; 160,000,000 shares authorized; shares issued and outstanding -</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99,545,307 in 2014 and 97,666,814 in 2013</w:t>
            </w:r>
          </w:p>
        </w:tc>
        <w:tc>
          <w:tcPr>
            <w:tcW w:w="30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2,342,839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2,045,857</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Treasury stock, at cost; 521,876 shares in 2014 and none in 2013</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2,368,842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1,952,076</w:t>
            </w:r>
          </w:p>
        </w:tc>
        <w:tc>
          <w:tcPr>
            <w:tcW w:w="0" w:type="dxa"/>
            <w:vAlign w:val="bottom"/>
          </w:tcPr>
          <w:p>
            <w:pPr>
              <w:spacing w:after="0"/>
              <w:rPr>
                <w:sz w:val="1"/>
                <w:szCs w:val="1"/>
                <w:color w:val="auto"/>
              </w:rPr>
            </w:pPr>
          </w:p>
        </w:tc>
      </w:tr>
      <w:tr>
        <w:trPr>
          <w:trHeight w:val="237"/>
        </w:trPr>
        <w:tc>
          <w:tcPr>
            <w:tcW w:w="8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3,456,078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2,951,013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968"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26" w:right="259" w:bottom="968" w:gutter="0" w:footer="0" w:header="0"/>
          <w:type w:val="continuous"/>
        </w:sectPr>
      </w:pPr>
    </w:p>
    <w:bookmarkStart w:id="3" w:name="page4"/>
    <w:bookmarkEnd w:id="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60" w:type="dxa"/>
            <w:vAlign w:val="bottom"/>
          </w:tcPr>
          <w:p>
            <w:pPr>
              <w:spacing w:after="0"/>
              <w:rPr>
                <w:sz w:val="20"/>
                <w:szCs w:val="20"/>
                <w:color w:val="auto"/>
              </w:rPr>
            </w:pPr>
          </w:p>
        </w:tc>
        <w:tc>
          <w:tcPr>
            <w:tcW w:w="29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333,893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780,400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652,633</w:t>
            </w:r>
          </w:p>
        </w:tc>
      </w:tr>
      <w:tr>
        <w:trPr>
          <w:trHeight w:val="243"/>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85,529</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184,802</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HealthCare collaboration revenue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31,104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222,607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46,011</w:t>
            </w:r>
          </w:p>
        </w:tc>
      </w:tr>
      <w:tr>
        <w:trPr>
          <w:trHeight w:val="243"/>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13,860</w:t>
            </w:r>
          </w:p>
        </w:tc>
      </w:tr>
      <w:tr>
        <w:trPr>
          <w:trHeight w:val="27"/>
        </w:trPr>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665,700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457,642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1,291,440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897,306</w:t>
            </w:r>
          </w:p>
        </w:tc>
      </w:tr>
      <w:tr>
        <w:trPr>
          <w:trHeight w:val="277"/>
        </w:trPr>
        <w:tc>
          <w:tcPr>
            <w:tcW w:w="4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187,463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581,880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367,762</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102,414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72,463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149,723</w:t>
            </w:r>
          </w:p>
        </w:tc>
      </w:tr>
      <w:tr>
        <w:trPr>
          <w:trHeight w:val="243"/>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27,283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55,304</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collaboration manufacturing</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12,330</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13,364</w:t>
            </w:r>
          </w:p>
        </w:tc>
      </w:tr>
      <w:tr>
        <w:trPr>
          <w:trHeight w:val="237"/>
        </w:trPr>
        <w:tc>
          <w:tcPr>
            <w:tcW w:w="4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443,294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299,539</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883,095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586,153</w:t>
            </w:r>
          </w:p>
        </w:tc>
      </w:tr>
      <w:tr>
        <w:trPr>
          <w:trHeight w:val="27"/>
        </w:trPr>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222,406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158,103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408,345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311,153</w:t>
            </w:r>
          </w:p>
        </w:tc>
      </w:tr>
      <w:tr>
        <w:trPr>
          <w:trHeight w:val="27"/>
        </w:trPr>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1,410</w:t>
            </w:r>
          </w:p>
        </w:tc>
      </w:tr>
      <w:tr>
        <w:trPr>
          <w:trHeight w:val="243"/>
        </w:trPr>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(23,040)</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(21,630)</w:t>
            </w:r>
          </w:p>
        </w:tc>
      </w:tr>
      <w:tr>
        <w:trPr>
          <w:trHeight w:val="27"/>
        </w:trPr>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147,692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378,382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289,523</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(103,273)</w:t>
            </w:r>
          </w:p>
        </w:tc>
      </w:tr>
      <w:tr>
        <w:trPr>
          <w:trHeight w:val="27"/>
        </w:trPr>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92,735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87,376</w:t>
            </w: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158,178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r>
      <w:tr>
        <w:trPr>
          <w:trHeight w:val="271"/>
        </w:trPr>
        <w:tc>
          <w:tcPr>
            <w:tcW w:w="45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0.89</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84"/>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97,700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97,289</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113,032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111,060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110,305</w:t>
            </w: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45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87,376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5"/>
        </w:trPr>
        <w:tc>
          <w:tcPr>
            <w:tcW w:w="4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marketable securities, net of</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1"/>
        </w:trPr>
        <w:tc>
          <w:tcPr>
            <w:tcW w:w="4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w:t>
            </w: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5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95,533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85,591</w:t>
            </w:r>
          </w:p>
        </w:tc>
        <w:tc>
          <w:tcPr>
            <w:tcW w:w="2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163,629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183,987</w:t>
            </w:r>
          </w:p>
        </w:tc>
      </w:tr>
      <w:tr>
        <w:trPr>
          <w:trHeight w:val="20"/>
        </w:trPr>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174625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191770</wp:posOffset>
            </wp:positionV>
            <wp:extent cx="7229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6" w:right="259" w:bottom="1440" w:gutter="0" w:footer="0" w:header="0"/>
          <w:type w:val="continuous"/>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4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Class A Stock</w:t>
            </w:r>
          </w:p>
        </w:tc>
        <w:tc>
          <w:tcPr>
            <w:tcW w:w="15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5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940" w:type="dxa"/>
            <w:vAlign w:val="bottom"/>
          </w:tcPr>
          <w:p>
            <w:pPr>
              <w:spacing w:after="0"/>
              <w:rPr>
                <w:sz w:val="19"/>
                <w:szCs w:val="19"/>
                <w:color w:val="auto"/>
              </w:rPr>
            </w:pPr>
          </w:p>
        </w:tc>
        <w:tc>
          <w:tcPr>
            <w:tcW w:w="1480" w:type="dxa"/>
            <w:vAlign w:val="bottom"/>
            <w:gridSpan w:val="5"/>
            <w:vMerge w:val="continue"/>
          </w:tcPr>
          <w:p>
            <w:pPr>
              <w:spacing w:after="0"/>
              <w:rPr>
                <w:sz w:val="19"/>
                <w:szCs w:val="19"/>
                <w:color w:val="auto"/>
              </w:rPr>
            </w:pPr>
          </w:p>
        </w:tc>
        <w:tc>
          <w:tcPr>
            <w:tcW w:w="1580" w:type="dxa"/>
            <w:vAlign w:val="bottom"/>
            <w:gridSpan w:val="5"/>
            <w:vMerge w:val="continue"/>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580" w:type="dxa"/>
            <w:vAlign w:val="bottom"/>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9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2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10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0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940" w:type="dxa"/>
            <w:vAlign w:val="bottom"/>
            <w:shd w:val="clear" w:color="auto" w:fill="CCEEFF"/>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2013</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97,667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$2,045,857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1,952,076</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exercise of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62,117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tendered upon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 of stock</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in connection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employee tax</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conversion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156,367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156,368</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Common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Company 401(k)</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Savings Plan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restricted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under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Incentive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A</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to Common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charges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155,137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 from</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244,197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244,197</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 of Common</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in connection</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 exercise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note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Reduction of warrants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conversion of senior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(143,041)</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 of equity</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component of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senior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notes</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158,178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158,178</w:t>
            </w:r>
          </w:p>
        </w:tc>
        <w:tc>
          <w:tcPr>
            <w:tcW w:w="0" w:type="dxa"/>
            <w:vAlign w:val="bottom"/>
          </w:tcPr>
          <w:p>
            <w:pPr>
              <w:spacing w:after="0"/>
              <w:rPr>
                <w:sz w:val="1"/>
                <w:szCs w:val="1"/>
                <w:color w:val="auto"/>
              </w:rPr>
            </w:pPr>
          </w:p>
        </w:tc>
      </w:tr>
      <w:tr>
        <w:trPr>
          <w:trHeight w:val="225"/>
        </w:trPr>
        <w:tc>
          <w:tcPr>
            <w:tcW w:w="1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net of tax</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5,451</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2014</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$2,342,839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65,486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2,368,842</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5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6" w:right="239" w:bottom="549" w:gutter="0" w:footer="0" w:header="0"/>
          <w:type w:val="continuous"/>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December 31,</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5"/>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95,223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$1,763,508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(517,054)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$ 1,245,385</w:t>
            </w: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30,498</w:t>
            </w: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tendered</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upon exercise of stock</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in connection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 employee tax</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1"/>
        </w:trPr>
        <w:tc>
          <w:tcPr>
            <w:tcW w:w="2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obligations</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(73,137)</w:t>
            </w: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connection with</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401(k) Savings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 contribution</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Conversion of Class A</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2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to Common Stock</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98,728</w:t>
            </w: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Excess tax benefit from</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6"/>
        </w:trPr>
        <w:tc>
          <w:tcPr>
            <w:tcW w:w="2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1"/>
        </w:trPr>
        <w:tc>
          <w:tcPr>
            <w:tcW w:w="2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7,876</w:t>
            </w:r>
          </w:p>
        </w:tc>
      </w:tr>
      <w:tr>
        <w:trPr>
          <w:trHeight w:val="243"/>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c>
          <w:tcPr>
            <w:tcW w:w="10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r>
      <w:tr>
        <w:trPr>
          <w:trHeight w:val="27"/>
        </w:trPr>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57"/>
        </w:trPr>
        <w:tc>
          <w:tcPr>
            <w:tcW w:w="2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June 30, 2013</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96,662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$1,827,471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(330,804)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$ 1,493,337</w:t>
            </w:r>
          </w:p>
        </w:tc>
      </w:tr>
      <w:tr>
        <w:trPr>
          <w:trHeight w:val="20"/>
        </w:trPr>
        <w:tc>
          <w:tcPr>
            <w:tcW w:w="2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REGENERON PHARMACEUTICALS, INC. CONDENSED CONSOLIDATED STATEMENTS OF CASH FLOWS (Unaudited) </w:t>
      </w:r>
      <w:r>
        <w:rPr>
          <w:rFonts w:ascii="Times New Roman" w:cs="Times New Roman" w:eastAsia="Times New Roman" w:hAnsi="Times New Roman"/>
          <w:sz w:val="18"/>
          <w:szCs w:val="18"/>
          <w:b w:val="1"/>
          <w:bCs w:val="1"/>
          <w:i w:val="1"/>
          <w:iCs w:val="1"/>
          <w:color w:val="auto"/>
        </w:rPr>
        <w:t>(In thousands)</w:t>
      </w:r>
    </w:p>
    <w:p>
      <w:pPr>
        <w:spacing w:after="0" w:line="3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5283835</wp:posOffset>
            </wp:positionH>
            <wp:positionV relativeFrom="paragraph">
              <wp:posOffset>22860</wp:posOffset>
            </wp:positionV>
            <wp:extent cx="1946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158,178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186,250</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19,109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97,473</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11,315</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non-cash charges and expenses, net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18,323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92,522</w:t>
            </w:r>
          </w:p>
        </w:tc>
      </w:tr>
      <w:tr>
        <w:trPr>
          <w:trHeight w:val="243"/>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Decrease (increase) in Sanofi, Bayer HealthCare,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(206,149)</w:t>
            </w:r>
          </w:p>
        </w:tc>
      </w:tr>
      <w:tr>
        <w:trPr>
          <w:trHeight w:val="243"/>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(31,144)</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2,700</w:t>
            </w:r>
          </w:p>
        </w:tc>
      </w:tr>
      <w:tr>
        <w:trPr>
          <w:trHeight w:val="243"/>
        </w:trPr>
        <w:tc>
          <w:tcPr>
            <w:tcW w:w="8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35,592</w:t>
            </w:r>
          </w:p>
        </w:tc>
      </w:tr>
      <w:tr>
        <w:trPr>
          <w:trHeight w:val="237"/>
        </w:trPr>
        <w:tc>
          <w:tcPr>
            <w:tcW w:w="8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223,139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28,162</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381,317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214,412</w:t>
            </w:r>
          </w:p>
        </w:tc>
      </w:tr>
      <w:tr>
        <w:trPr>
          <w:trHeight w:val="277"/>
        </w:trPr>
        <w:tc>
          <w:tcPr>
            <w:tcW w:w="8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(282,643)</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307,244</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(55,656)</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(31,055)</w:t>
            </w:r>
          </w:p>
        </w:tc>
      </w:tr>
      <w:tr>
        <w:trPr>
          <w:trHeight w:val="277"/>
        </w:trPr>
        <w:tc>
          <w:tcPr>
            <w:tcW w:w="8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facility and capital lease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Repayments of convertible senior notes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reduction of outstanding warrants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34,300</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(73,137)</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244,197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7,876</w:t>
            </w:r>
          </w:p>
        </w:tc>
      </w:tr>
      <w:tr>
        <w:trPr>
          <w:trHeight w:val="237"/>
        </w:trPr>
        <w:tc>
          <w:tcPr>
            <w:tcW w:w="83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37,564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(31,958)</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151,399</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535,608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230,276</w:t>
            </w: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600,135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381,675</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7229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53975</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80"/>
          </w:cols>
          <w:pgMar w:left="260" w:top="360"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60" w:top="360" w:right="259" w:bottom="1440" w:gutter="0" w:footer="0" w:header="0"/>
          <w:type w:val="continuous"/>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2013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2013.</w:t>
      </w: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Product Sales</w:t>
      </w:r>
    </w:p>
    <w:p>
      <w:pPr>
        <w:spacing w:after="0" w:line="283" w:lineRule="exact"/>
        <w:rPr>
          <w:sz w:val="20"/>
          <w:szCs w:val="20"/>
          <w:color w:val="auto"/>
        </w:rPr>
      </w:pPr>
    </w:p>
    <w:p>
      <w:pPr>
        <w:jc w:val="both"/>
        <w:ind w:firstLine="243"/>
        <w:spacing w:after="0" w:line="214" w:lineRule="auto"/>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in the United States totaled $414.8 million and $329.8 million for the three months ended June 30, 2014 and 2013, respectively, and $773.8 million and $643.7 million for the six months ended June 30, 2014 and 2013, respectively. In addition, 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net product sales totaled $3.2 million and $4.1 million for the three months ended June 30, 2014 and 2013, respectively, and $6.6 million and $8.9 million for the six months ended June 30, 2014 and 2013, respectively.</w:t>
      </w:r>
    </w:p>
    <w:p>
      <w:pPr>
        <w:spacing w:after="0" w:line="25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recorded 73% and 76% for the three months ended June 30, 2014 and 2013, respectively, and 76% and 77% for the six months ended June 30, 2014 and 2013, respectively, of its total gross product revenue from sales to Besse Medical, a subsidiary of AmerisourceBergen Corporation.</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(including Medicaid), distribution-related fees, prompt pay discounts, and other sales-related deductions. The following table summarizes the provisions, and credits/payments, for these sales-related deductions during the six months ended June 30, 2014.</w:t>
      </w:r>
    </w:p>
    <w:p>
      <w:pPr>
        <w:spacing w:after="0" w:line="253"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24,601</w:t>
            </w:r>
          </w:p>
        </w:tc>
      </w:tr>
      <w:tr>
        <w:trPr>
          <w:trHeight w:val="243"/>
        </w:trPr>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51,841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(51,360)</w:t>
            </w:r>
          </w:p>
        </w:tc>
      </w:tr>
      <w:tr>
        <w:trPr>
          <w:trHeight w:val="25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25,082</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Sanofi</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collaboration revenue the Company earned from Sanofi, as detailed below, consisted primarily of reimbursement for research and development expenses that the Company incurred in connection with the companies' antibody collaboration. In addition, Sanofi collaboration revenue for the three months and six months ended June 30, 2013 was reduced by two $10.0 million up-front payments to Sanofi in connection with the Company's acquisition from Sanofi of full exclusive rights to two families of novel antibodies, as described below.</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2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with commercialization of ZALTRAP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ZALTRAP</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Antibody: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commercialization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Up-front payments to Sanofi for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rights related to two</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antibodies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Antibody</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140,465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142,595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2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ZALTRAP:</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losses in connection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with commercialization of ZALTRAP</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ZALTRAP</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Antibody: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Reimbursement of Regeneron research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and development expenses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264,715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204,898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Regeneron's share of commercialization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Up-front payments to Sanofi for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acquisition of rights related to two</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antibodies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Antibody</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273,103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Sanofi commenced sales of ZALTRAP (ziv-aflibercept) Injection for Intravenous Infusion, in combination with 5-fluorouracil, leucovorin, irinotecan ("FOLFIRI"), for patients with metastatic colorectal cancer that is resistant to or has progressed following an oxaliplatin-containing regimen, in the United States in the third quarter of 2012 and in certain European and other countries in the first quarter of 2013. The Company and Sanofi globally collaborate on the development and commercialization of ZALTRAP. Under the terms of the companies' September 2003 collaboration agreement, as amended, Regeneron and Sanofi share co-promotion rights and profits and losses on sales of ZALTRAP outside of Japan. The Company is entitled to a receive a percentage of sales of ZALTRAP in Japan.</w:t>
      </w:r>
    </w:p>
    <w:p>
      <w:pPr>
        <w:sectPr>
          <w:pgSz w:w="11900" w:h="16838" w:orient="portrait"/>
          <w:cols w:equalWidth="0" w:num="1">
            <w:col w:w="11420"/>
          </w:cols>
          <w:pgMar w:left="240" w:top="126" w:right="239" w:bottom="1008"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008" w:gutter="0" w:footer="0" w:header="0"/>
          <w:type w:val="continuous"/>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Under the Company's antibody collaboration agreement with Sanofi, agreed upon worldwide development expenses incurred by both companies during the term of the agreement are funded by Sanofi, except that following receipt of the first positive Phase 3 trial results for a co-developed drug candidate, which first occurred in the fourth quarter of 2013, subsequent Phase 3 trial-related costs for that drug candidate ("Shared Phase 3 Trial Costs") are shared 80% by Sanofi and 20% by Regeneron. Consequently, during the three and six months ended June 30, 2014, the Company recognized as additional research and development expense $29.1 million and $52.9 million, respectively, of antibody development expenses that the Company was obligated to reimburse to Sanofi related to alirocumab and sarilumab.</w:t>
      </w:r>
    </w:p>
    <w:p>
      <w:pPr>
        <w:spacing w:after="0" w:line="18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Effective in the second quarter of 2014, the Company and Sanofi began sharing pre-launch commercialization expenses related to alirocumab in accordance with the companies’ antibody collaboration agreement.</w:t>
      </w:r>
    </w:p>
    <w:p>
      <w:pPr>
        <w:spacing w:after="0" w:line="1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platelet derived growth factor (PDGF) family of receptors and ligands in ophthalmology and all other indications and to antibodies targeting the angiopoietin-2 (Ang2) receptor and ligand in ophthalmology. With respect to PDGF antibodies, the Company made a $10.0 million up-front payment to Sanofi in the second quarter of 2013. In addition, with respect to Ang2 antibodies in ophthalmology, the Company made a $10.0 million up-front payment to Sanofi in the second quarter of 2013.</w:t>
      </w:r>
    </w:p>
    <w:p>
      <w:pPr>
        <w:spacing w:after="0" w:line="1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 respect to PDGF antibodies, the Company made two $5.0 million development milestone payments to Sanofi in the first quarter of 2014, which were recorded in the Company's Statements of Operations as research and development expense. The Company is also obligated to pay up to $30.0 million in additional potential development milestones as well as royalties on any future sales of PDGF antibodies.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Bayer HealthCare LLC</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and Bayer HealthCare globally collaborate on the development and commercialization of EYLEA outside of the United States. Bayer HealthCare commenced sales of EYLEA outside the United States for the treatment of wet AMD in the fourth quarter of 2012 and for the treatment of macular edema secondary to CRVO in the fourth quarter of 2013. In addition, 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1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collaboration revenue the Company earned from Bayer HealthCare is detailed below:</w:t>
      </w:r>
    </w:p>
    <w:p>
      <w:pPr>
        <w:spacing w:after="0" w:line="302"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9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Cost-sharing of Regeneron EYLEA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Cost-sharing of REGN2176-3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PDGFR-beta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31,104</w:t>
            </w:r>
          </w:p>
        </w:tc>
        <w:tc>
          <w:tcPr>
            <w:tcW w:w="0" w:type="dxa"/>
            <w:vAlign w:val="bottom"/>
          </w:tcPr>
          <w:p>
            <w:pPr>
              <w:spacing w:after="0"/>
              <w:rPr>
                <w:sz w:val="1"/>
                <w:szCs w:val="1"/>
                <w:color w:val="auto"/>
              </w:rPr>
            </w:pPr>
          </w:p>
        </w:tc>
      </w:tr>
      <w:tr>
        <w:trPr>
          <w:trHeight w:val="20"/>
        </w:trPr>
        <w:tc>
          <w:tcPr>
            <w:tcW w:w="36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6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Bayer HealthCare Collaboration Revenue</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0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410"/>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127,940</w:t>
            </w:r>
          </w:p>
        </w:tc>
        <w:tc>
          <w:tcPr>
            <w:tcW w:w="120" w:type="dxa"/>
            <w:vAlign w:val="bottom"/>
          </w:tcPr>
          <w:p>
            <w:pPr>
              <w:spacing w:after="0"/>
              <w:rPr>
                <w:sz w:val="20"/>
                <w:szCs w:val="20"/>
                <w:color w:val="auto"/>
              </w:rPr>
            </w:pP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milestones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Cost-sharing of Regeneron EYLEA</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development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EYLEA</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216,526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PDGFR-beta antibody: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Cost-sharing of REGN2176-3 development</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PDGFR-beta</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EYLEA</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and second quarters of 2014, the Company earned, and recorded as revenue, two $15.0 million sales milestones and one $15.0 million sales milestone, respectively, from Bayer HealthCare upon total aggregate net sales of EYLEA outside the United States exceeding $500 million, $600 million, and $700 million, respectively, over a twelve-month period. The Company is eligible to receive up to $45.0 million in additional sales milestone payments if twelve-month sales of EYLEA outside the United States achieve certain specified levels up to $1 billion. In addition, in connection with a November 2013 agreement under which Bayer HealthCare obtained rights to use certain of the Company’s EYLEA clinical data for a regulatory filing, the Company became eligible to receive up to $30.0 million in additional sales milestone payments if twelve-month sales of specific commercial supplies of EYLEA outside the United States achieve certain specified levels up to $200 million.</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January 2014, Bayer HealthCare decided to participate in the global development and commercialization of EYLEA outside the United States for the treatment of macular edema following branch retinal vein occlusion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for the six months ended June 30, 2014 in the table above. In addition, all future agreed upon global EYLEA development expenses incurred in connection with BRVO are being shared equally, and any future profits or losses on sales of EYLEA outside of the United States for the treatment of macular edema following BRVO will also be shared (for countries other than Japan). The Company is entitled to receive a tiered percentage of EYLEA net sales in Japan.</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PDGFR-beta Antibody</w:t>
      </w:r>
    </w:p>
    <w:p>
      <w:pPr>
        <w:spacing w:after="0" w:line="27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January 2014, the Company also entered into an agreement with Bayer HealthCare governing the joint 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the Company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In addition, Bayer HealthCare is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the first quarter of 2014 (both of which, for the purpose of revenue recognition, were not considered substantive). Further, in connection with the Company’s initial development of the PDGFR-beta antibody through completion of the first proof-of-concept study, the Company is eligible to receive up to $15.0 million in future development milestone payments from Bayer HealthCare, although certain of these development milestone payments could be reduced by half if Bayer HealthCare does not opt-in to the collaboration.</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From inception of the agreement until Bayer HealthCare has the right to opt-in to the collaboration, the Company's sole significant deliverable is research and development services provided in accordance with the agreement. Therefore, the $25.5 million upfront payment was allocated to this deliverable, initially recorded as deferred revenue, and will be recognized as revenue over the related performance period. In addition, the two $2.5 million non-substantive development milestone payments from Bayer HealthCare were also initially recorded as deferred revenue and will be recognized over the same performance period as the upfront payment.</w:t>
      </w:r>
    </w:p>
    <w:p>
      <w:pPr>
        <w:spacing w:after="0" w:line="10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Bayer HealthCare exercises its right to opt-in to the collaboration, it will obtain exclusive commercialization rights to the product outside the United States, continue to pay for 25% of global development costs and 50% of development costs exclusively for the territory outside the United States, pay a $20.0 million opt-in payment to the Company, pay a $20.0 million development milestone to the Company upon receipt of the first marketing approval in the European Union or Japan, share profits and losses from sales outside the United States equally with the Company, and be responsible for the payment of royalties on sales outside the United States to Sanofi.</w:t>
      </w:r>
    </w:p>
    <w:p>
      <w:pPr>
        <w:spacing w:after="0" w:line="1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Within the United States, the Company has exclusive commercialization rights and will retain all of the profits from sales. If Bayer HealthCare does not opt-in to the collaboration, the Company will have exclusive rights to develop and commercialize PDGFR-beta antibodies (except as a combination product with EYLEA) for use outside the United States.</w:t>
      </w:r>
    </w:p>
    <w:p>
      <w:pPr>
        <w:spacing w:after="0" w:line="13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also has the right to opt-out of the collaboration upon completion of the first proof-of-concept study for the PDGFR-beta antibody. If the Company opts-out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the Company and Bayer HealthCare in writing.</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Avalanche Biotechnologies, Inc.</w:t>
      </w:r>
    </w:p>
    <w:p>
      <w:pPr>
        <w:spacing w:after="0" w:line="1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May 2014, the Company entered into a research collaboration and license agreement with Avalanche Biotechnologies, Inc. to discover, develop, and commercialize novel gene therapy products for the treatment of ophthalmologic diseases. In connection with the agreement, the Company made a $2.0 million upfront payment and a $6.0 million pre-payment of collaboration research costs, and is obligated to pay potential additional research costs, an aggregate amount of up to $80.0 million per product upon meeting certain potential development and regulatory milestones (for products directed to as many as eight therapeutic targets, or up to an aggregate of $640.0 million), and royalties on any future sales of such products. The Company also purchased an aggregate of $5.0 million of Avalanche preferred stock. Under the agreement, the Company will collaborate with Avalanche to conduct research for the discovery of novel gene therapy vectors. Subsequent to the filing of an Investigational New Drug application ("IND") with the U.S. Food and Drug Administration ("FDA") for a product candidate developed under the agreement, Regeneron may exercise its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July 2014, Avalanche commenced an initial public offering ("IPO") of its common stock and thereby triggered the Company's obligation under the research collaboration and license agreement to purchase up to $10.0 million of Avalanche common stock in a concurrent private placement. As part of the concurrent private placement, the Company has agreed, subject to customary closing conditions, to purchase from Avalanche at the closing of the IPO 588,235 shares of Avalanche common stock for an aggregate purchase price of $10.0 million. In addition, at the closing of the IPO, Avalanche preferred stock, including the Avalanche preferred stock held by the Company, will automatically convert on a one-for-one basis into Avalanche common stock.</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65"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b w:val="1"/>
          <w:bCs w:val="1"/>
          <w:color w:val="auto"/>
        </w:rPr>
        <w:t>Three months ended June</w:t>
      </w:r>
    </w:p>
    <w:p>
      <w:pPr>
        <w:spacing w:after="0" w:line="31" w:lineRule="exact"/>
        <w:rPr>
          <w:sz w:val="20"/>
          <w:szCs w:val="20"/>
          <w:color w:val="auto"/>
        </w:rPr>
      </w:pPr>
    </w:p>
    <w:p>
      <w:pPr>
        <w:jc w:val="center"/>
        <w:ind w:left="394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22860</wp:posOffset>
            </wp:positionV>
            <wp:extent cx="1440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87,376</w:t>
            </w:r>
          </w:p>
        </w:tc>
      </w:tr>
      <w:tr>
        <w:trPr>
          <w:trHeight w:val="216"/>
        </w:trPr>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97,700</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3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111,060</w:t>
            </w:r>
          </w:p>
        </w:tc>
      </w:tr>
      <w:tr>
        <w:trPr>
          <w:trHeight w:val="203"/>
        </w:trPr>
        <w:tc>
          <w:tcPr>
            <w:tcW w:w="3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r>
      <w:tr>
        <w:trPr>
          <w:trHeight w:val="27"/>
        </w:trPr>
        <w:tc>
          <w:tcPr>
            <w:tcW w:w="3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56" w:lineRule="exact"/>
        <w:rPr>
          <w:sz w:val="20"/>
          <w:szCs w:val="20"/>
          <w:color w:val="auto"/>
        </w:rPr>
      </w:pPr>
    </w:p>
    <w:tbl>
      <w:tblPr>
        <w:tblLayout w:type="fixed"/>
        <w:tblInd w:w="262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r>
      <w:tr>
        <w:trPr>
          <w:trHeight w:val="27"/>
        </w:trPr>
        <w:tc>
          <w:tcPr>
            <w:tcW w:w="3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3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186,250</w:t>
            </w:r>
          </w:p>
        </w:tc>
      </w:tr>
      <w:tr>
        <w:trPr>
          <w:trHeight w:val="216"/>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97,289</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stock</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7"/>
        </w:trPr>
        <w:tc>
          <w:tcPr>
            <w:tcW w:w="3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Dilutive potential shares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r>
      <w:tr>
        <w:trPr>
          <w:trHeight w:val="297"/>
        </w:trPr>
        <w:tc>
          <w:tcPr>
            <w:tcW w:w="38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113,121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110,305</w:t>
            </w:r>
          </w:p>
        </w:tc>
      </w:tr>
      <w:tr>
        <w:trPr>
          <w:trHeight w:val="203"/>
        </w:trPr>
        <w:tc>
          <w:tcPr>
            <w:tcW w:w="3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7"/>
        </w:trPr>
        <w:tc>
          <w:tcPr>
            <w:tcW w:w="3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6" w:right="239" w:bottom="1440" w:gutter="0" w:footer="0" w:header="0"/>
          <w:type w:val="continuous"/>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243"/>
        <w:spacing w:after="0" w:line="282" w:lineRule="auto"/>
        <w:rPr>
          <w:sz w:val="20"/>
          <w:szCs w:val="20"/>
          <w:color w:val="auto"/>
        </w:rPr>
      </w:pPr>
      <w:r>
        <w:rPr>
          <w:rFonts w:ascii="Times New Roman" w:cs="Times New Roman" w:eastAsia="Times New Roman" w:hAnsi="Times New Roman"/>
          <w:sz w:val="18"/>
          <w:szCs w:val="18"/>
          <w:color w:val="auto"/>
        </w:rPr>
        <w:t>Shares which have been excluded from the June 30, 2014 and 2013 diluted per share amounts because their effect would have been antidilutive include the following:</w:t>
      </w:r>
    </w:p>
    <w:p>
      <w:pPr>
        <w:spacing w:after="0" w:line="239"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0" w:type="dxa"/>
            <w:vAlign w:val="bottom"/>
          </w:tcPr>
          <w:p>
            <w:pPr>
              <w:spacing w:after="0"/>
              <w:rPr>
                <w:sz w:val="1"/>
                <w:szCs w:val="1"/>
                <w:color w:val="auto"/>
              </w:rPr>
            </w:pPr>
          </w:p>
        </w:tc>
      </w:tr>
      <w:tr>
        <w:trPr>
          <w:trHeight w:val="238"/>
        </w:trPr>
        <w:tc>
          <w:tcPr>
            <w:tcW w:w="3080" w:type="dxa"/>
            <w:vAlign w:val="bottom"/>
          </w:tcPr>
          <w:p>
            <w:pPr>
              <w:spacing w:after="0"/>
              <w:rPr>
                <w:sz w:val="20"/>
                <w:szCs w:val="20"/>
                <w:color w:val="auto"/>
              </w:rPr>
            </w:pPr>
          </w:p>
        </w:tc>
        <w:tc>
          <w:tcPr>
            <w:tcW w:w="136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405"/>
        </w:trPr>
        <w:tc>
          <w:tcPr>
            <w:tcW w:w="3080" w:type="dxa"/>
            <w:vAlign w:val="bottom"/>
          </w:tcPr>
          <w:p>
            <w:pPr>
              <w:spacing w:after="0"/>
              <w:rPr>
                <w:sz w:val="24"/>
                <w:szCs w:val="24"/>
                <w:color w:val="auto"/>
              </w:rPr>
            </w:pPr>
          </w:p>
        </w:tc>
        <w:tc>
          <w:tcPr>
            <w:tcW w:w="22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thousands)</w:t>
            </w: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80" w:type="dxa"/>
            <w:vAlign w:val="bottom"/>
            <w:vMerge w:val="continue"/>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83"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Marketable securities at June 30, 2014 and December 31, 2013 consist of both debt securities issued by investment grade institutions as well as equity securities. The following tables summarize the Company's investments in marketable securities at June 30, 2014 and December 31, 2013.</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80" w:type="dxa"/>
            <w:vAlign w:val="bottom"/>
          </w:tcPr>
          <w:p>
            <w:pPr>
              <w:spacing w:after="0"/>
              <w:rPr>
                <w:sz w:val="20"/>
                <w:szCs w:val="20"/>
                <w:color w:val="auto"/>
              </w:rPr>
            </w:pPr>
          </w:p>
        </w:tc>
        <w:tc>
          <w:tcPr>
            <w:tcW w:w="21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June 30, 2014</w:t>
            </w:r>
          </w:p>
        </w:tc>
        <w:tc>
          <w:tcPr>
            <w:tcW w:w="200" w:type="dxa"/>
            <w:vAlign w:val="bottom"/>
          </w:tcPr>
          <w:p>
            <w:pPr>
              <w:spacing w:after="0"/>
              <w:rPr>
                <w:sz w:val="2"/>
                <w:szCs w:val="2"/>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w:t>
            </w:r>
          </w:p>
        </w:tc>
        <w:tc>
          <w:tcPr>
            <w:tcW w:w="1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647,792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760,756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7,205</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At December 31, 2013</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47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107,521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369,193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548,322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(447)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548,267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5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classifies its debt securities based on their contractual maturity dates. The debt securities listed at June 30, 2014 mature at various dates through August 2024. The fair values of debt security investments by contractual maturity as of June 30, 2014 and December 31, 2013 consist of the following:</w:t>
      </w:r>
    </w:p>
    <w:p>
      <w:pPr>
        <w:spacing w:after="0" w:line="25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158,376</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383,410</w:t>
            </w:r>
          </w:p>
        </w:tc>
      </w:tr>
      <w:tr>
        <w:trPr>
          <w:trHeight w:val="27"/>
        </w:trPr>
        <w:tc>
          <w:tcPr>
            <w:tcW w:w="4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 after five years through ten years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r>
      <w:tr>
        <w:trPr>
          <w:trHeight w:val="243"/>
        </w:trPr>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Maturities after ten years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7"/>
        </w:trPr>
        <w:tc>
          <w:tcPr>
            <w:tcW w:w="4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547,101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June 30, 2014 and December 31, 2013.</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7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3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At June 30, 2014</w:t>
            </w:r>
          </w:p>
        </w:tc>
        <w:tc>
          <w:tcPr>
            <w:tcW w:w="160" w:type="dxa"/>
            <w:vAlign w:val="bottom"/>
          </w:tcPr>
          <w:p>
            <w:pPr>
              <w:spacing w:after="0"/>
              <w:rPr>
                <w:sz w:val="17"/>
                <w:szCs w:val="17"/>
                <w:color w:val="auto"/>
              </w:rPr>
            </w:pPr>
          </w:p>
        </w:tc>
        <w:tc>
          <w:tcPr>
            <w:tcW w:w="12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34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36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164,180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164,180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At December 31, 2013</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49,241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0"/>
                <w:szCs w:val="20"/>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239,812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239,812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Realized gains and losses are included as a component of investment income. For both the three and six months ended June 30, 2014, total realized gains and losses on sales of marketable securities were not material. For both the three and six months ended June 30, 2013, total realized gains on sales of marketable securities were $0.5 million and there were no realized losses. Changes in the Company's accumulated other comprehensive income (loss) for the three and six months ended June 30, 2014 and 2013 related to unrealized gains and losses on available-for-sale marketable securities. For the three and six months ended June 30, 2014 and 2013, amounts reclassified from accumulated other comprehensive income (loss) into investment income in the Company's Statements of Operations were related to realized gains and losses on sales of marketable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June 30, 2014 and December 31, 2013, consist of the following:</w:t>
      </w:r>
    </w:p>
    <w:p>
      <w:pPr>
        <w:spacing w:after="0" w:line="30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 Measurements at</w:t>
            </w:r>
          </w:p>
        </w:tc>
      </w:tr>
      <w:tr>
        <w:trPr>
          <w:trHeight w:val="238"/>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198"/>
        </w:trPr>
        <w:tc>
          <w:tcPr>
            <w:tcW w:w="20" w:type="dxa"/>
            <w:vAlign w:val="bottom"/>
          </w:tcPr>
          <w:p>
            <w:pPr>
              <w:spacing w:after="0"/>
              <w:rPr>
                <w:sz w:val="17"/>
                <w:szCs w:val="17"/>
                <w:color w:val="auto"/>
              </w:rPr>
            </w:pPr>
          </w:p>
        </w:tc>
        <w:tc>
          <w:tcPr>
            <w:tcW w:w="62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At June 30, 2014</w:t>
            </w:r>
          </w:p>
        </w:tc>
        <w:tc>
          <w:tcPr>
            <w:tcW w:w="140" w:type="dxa"/>
            <w:vAlign w:val="bottom"/>
          </w:tcPr>
          <w:p>
            <w:pPr>
              <w:spacing w:after="0"/>
              <w:rPr>
                <w:sz w:val="17"/>
                <w:szCs w:val="17"/>
                <w:color w:val="auto"/>
              </w:rPr>
            </w:pPr>
          </w:p>
        </w:tc>
        <w:tc>
          <w:tcPr>
            <w:tcW w:w="11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7"/>
                <w:szCs w:val="17"/>
                <w:color w:val="auto"/>
              </w:rPr>
            </w:pPr>
          </w:p>
        </w:tc>
        <w:tc>
          <w:tcPr>
            <w:tcW w:w="12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7"/>
                <w:szCs w:val="17"/>
                <w:color w:val="auto"/>
              </w:rPr>
            </w:pPr>
          </w:p>
        </w:tc>
        <w:tc>
          <w:tcPr>
            <w:tcW w:w="108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280" w:type="dxa"/>
            <w:vAlign w:val="bottom"/>
            <w:tcBorders>
              <w:top w:val="single" w:sz="8" w:color="auto"/>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52,168</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647,792</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46,526</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6,210</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7,922</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767,592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760,618</w:t>
            </w:r>
          </w:p>
        </w:tc>
      </w:tr>
      <w:tr>
        <w:trPr>
          <w:trHeight w:val="67"/>
        </w:trPr>
        <w:tc>
          <w:tcPr>
            <w:tcW w:w="2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45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At December 31, 2013</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107,521</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369,193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23,944</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36,921</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International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2,008</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548,267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547,101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and six months ended June 30, 2014 and 2013.</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were no purchases, sales, or maturities of Level 3 marketable securities and no unrealized gains or losses related to Level 3 marketable securities for the three and six months ended June 30, 2014 and 2013. There were no transfers of marketable securities between Levels 1, 2, or 3 classifications during the three and six months ended June 30, 2014 and 2013.</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June 30, 2014 and December 31, 2013, the Company had $338.9 million and $400.0 million, respectively, in aggregate principal amount of 1.875% convertible senior notes (the "Notes") that will mature on October 1, 2016 unless earlier converted or repurchased. As described in Note 9, a portion of the Notes was surrendered for conversion during the second quarter of 2014. The fair value of the outstanding Notes was estimated to be $1,090.8 million and $1,327.2 million as of June 30, 2014 and December 31, 2013, respectively, and was determined based on Level 2 inputs, such as market and observable sources.</w:t>
      </w:r>
    </w:p>
    <w:p>
      <w:pPr>
        <w:sectPr>
          <w:pgSz w:w="11900" w:h="16838" w:orient="portrait"/>
          <w:cols w:equalWidth="0" w:num="1">
            <w:col w:w="11420"/>
          </w:cols>
          <w:pgMar w:left="240" w:top="126"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type w:val="continuous"/>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14,352</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70,354</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For the three months ended June 30, 2014 and 2013, cost of goods sold included inventory write-downs and reserves totaling $0.8 million and $1.7 million, respectively. For the six months ended June 30, 2014 and 2013, cost of goods sold included inventory write-downs and reserves totaling $1.9 million and $4.9 million,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Expenses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expenses consist of the following:</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69,429</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23,654</w:t>
            </w:r>
          </w:p>
        </w:tc>
      </w:tr>
      <w:tr>
        <w:trPr>
          <w:trHeight w:val="225"/>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sales-related charges, deductions,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royalties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29,022</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250,896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Debt</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the second quarter of 2014, $61.1 million principal amount of the Company's $400.0 million aggregate principal amount of Notes were surrendered for conversion.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 Consequently, upon settlement of the Notes during the second quarter of 2014, the Company (i) paid $61.1 million in cash, (ii) issued 521,876 shares of Common Stock, (iii) recognized a $10.8 million loss on the debt extinguishment, and (iv) allocated $156.7 million of the settlement consideration provided to the Note holders to the reacquisition of the equity component of the Notes, and recognized such amount as a reduction of stockholder's equity.</w:t>
      </w:r>
    </w:p>
    <w:p>
      <w:pPr>
        <w:spacing w:after="0" w:line="18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the initial offering of the Notes in October 2011, the Company entered into convertible note hedge and warrant transactions with multiple counterparties, which were recorded to additional paid-in capital. As a result of the Note conversions in the second quarter of 2014, the Company exercised a proportionate amount of its convertible note hedges, for which the Company received 521,876 shares of Common Stock, which was equivalent to the number of shares the Company was required to issue to settle the non-cash portion of the related Note conversions. The shares received were recorded as Treasury Stock, at cost, in the Company's Balance Sheet and Statement of Stockholders' Equity.</w:t>
      </w:r>
    </w:p>
    <w:p>
      <w:pPr>
        <w:spacing w:after="0" w:line="1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Also during the second quarter of 2014, the Company entered into agreements to reduce the number of warrants held by each of the warrant holders in proportion to the amount of Notes converted. Pursuant to the agreements, the Company paid an aggregate</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type w:val="continuous"/>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 of $143.0 million to the warrant holders to reduce the maximum number of shares of Common Stock issuable upon exercise of the warrants from 4,760,840 to 4,033,324 (subject to adjustment from time to time as provided in the applicable warrant agreements). The remaining warrants expire, and will be exercisable, at various dates during 2017.</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 recorded an income tax provision in its Statement of Operations of $110.4 million and $60.3 million for the three months ended June 30, 2014 and 2013, respectively, and $220.2 million and $103.3 million for the six months ended June 30, 2014 and 2013, respectively. The Company's effective tax rate was 54.3% and 40.8% for the three months ended June 30, 2014 and 2013, respectively, and 58.2% and 35.7% for the six months ended June 30, 2014 and 2013, respectively. The Company's effective tax rate for the three and six months ended June 30, 2014 was negatively impacted by losses incurred in foreign jurisdictions with rates lower than the federal statutory rate and expiration at the end of 2013 of the federal tax credit for increased research activities. In addition, the Company's effective tax rate for the six months ended June 30, 2014 was negatively impacted by New York State tax legislation enacted in the first quarter of 2014. This tax legislation reduced the New York State income tax rate to zero percent for "qualified manufacturers", including Regeneron, effective in 2014; however, it also resulted in the Company reducing its related deferred tax assets as a discrete item in the first quarter of 2014. As a result, this tax legislation caused a net increase in the Company's effective tax rate by 3.9% for the six months ended June 30, 2014.</w:t>
      </w:r>
    </w:p>
    <w:p>
      <w:pPr>
        <w:spacing w:after="0" w:line="24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2013 included, as a discrete item in the first quarter of 2013, the favorable impact of the enactment of The American Taxpayer Relief Act in January 2013. The American Taxpayer Relief Act included a provision to extend the income tax credit for increased research activities retroactively to the tax year ended December 31, 2012, as well as for 2013. As a result, the Company's 2012 research tax credit reduced its effective tax rate for the six months ended June 30, 2013 by 6.0%.</w:t>
      </w:r>
    </w:p>
    <w:p>
      <w:pPr>
        <w:spacing w:after="0" w:line="99" w:lineRule="exact"/>
        <w:rPr>
          <w:sz w:val="20"/>
          <w:szCs w:val="20"/>
          <w:color w:val="auto"/>
        </w:rPr>
      </w:pPr>
    </w:p>
    <w:p>
      <w:pPr>
        <w:ind w:right="120" w:firstLine="243"/>
        <w:spacing w:after="0" w:line="261" w:lineRule="auto"/>
        <w:rPr>
          <w:sz w:val="20"/>
          <w:szCs w:val="20"/>
          <w:color w:val="auto"/>
        </w:rPr>
      </w:pPr>
      <w:r>
        <w:rPr>
          <w:rFonts w:ascii="Times New Roman" w:cs="Times New Roman" w:eastAsia="Times New Roman" w:hAnsi="Times New Roman"/>
          <w:sz w:val="18"/>
          <w:szCs w:val="18"/>
          <w:color w:val="auto"/>
        </w:rPr>
        <w:t>The Company also recorded an income tax provision in its Statement of Comprehensive Income of $1.4 million for both the three and six months ended June 30, 2014 in connection with the Company’s unrealized gain on “available-for-sale” marketable securities. For both the three and six months ended June 30, 2013, no such income tax provision or benefit was required in connection with the Company’s unrealized losses on “available-for-sale” marketable securities.</w:t>
      </w:r>
    </w:p>
    <w:p>
      <w:pPr>
        <w:spacing w:after="0" w:line="113" w:lineRule="exact"/>
        <w:rPr>
          <w:sz w:val="20"/>
          <w:szCs w:val="20"/>
          <w:color w:val="auto"/>
        </w:rPr>
      </w:pPr>
    </w:p>
    <w:p>
      <w:pPr>
        <w:jc w:val="both"/>
        <w:ind w:firstLine="243"/>
        <w:spacing w:after="0" w:line="277" w:lineRule="auto"/>
        <w:rPr>
          <w:sz w:val="20"/>
          <w:szCs w:val="20"/>
          <w:color w:val="auto"/>
        </w:rPr>
      </w:pPr>
      <w:r>
        <w:rPr>
          <w:rFonts w:ascii="Times New Roman" w:cs="Times New Roman" w:eastAsia="Times New Roman" w:hAnsi="Times New Roman"/>
          <w:sz w:val="18"/>
          <w:szCs w:val="18"/>
          <w:color w:val="auto"/>
        </w:rPr>
        <w:t>Tax years subsequent to 2009 remain open to examination by federal tax authorities. The Company's 2011 federal income tax return is currently under audit by the Internal Revenue Service. During the second quarter of 2014, New York State tax authorities finalized their audit of the Company's 2009, 2010, and 2011 business corporation franchise tax returns with no adjustments</w:t>
      </w:r>
      <w:r>
        <w:rPr>
          <w:rFonts w:ascii="Times New Roman" w:cs="Times New Roman" w:eastAsia="Times New Roman" w:hAnsi="Times New Roman"/>
          <w:sz w:val="19"/>
          <w:szCs w:val="19"/>
          <w:color w:val="1F497D"/>
        </w:rPr>
        <w:t>.</w:t>
      </w:r>
    </w:p>
    <w:p>
      <w:pPr>
        <w:spacing w:after="0" w:line="21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Cash Flows</w:t>
      </w:r>
    </w:p>
    <w:p>
      <w:pPr>
        <w:spacing w:after="0" w:line="283"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Supplemental disclosure of non-cash investing and financing activities:</w:t>
      </w:r>
    </w:p>
    <w:p>
      <w:pPr>
        <w:spacing w:after="0" w:line="27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Included in accounts payable and accrued expenses at June 30, 2014 and December 31, 2013 were $35.1 million and $16.1 million, respectively, of accrued capital expenditures. Included in accounts payable and accrued expenses at June 30, 2013 and December 31, 2012 were $8.1 million and $8.6 million, respectively, of accrued capital expenditures.</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Pursuant to the application of authoritative guidance issued by the Financial Accounting Standards Board ("FASB") to the Company's lease of office and laboratory facilities in Tarrytown, New York, the Company recognized a facility lease obligation of $50.6 million and $4.7 million during the six months ended June 30, 2014 and 2013, respectively, in connection with capitalizing, on the Company's books, the landlord's costs of constructing new facilities that the Company has leased.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Company does not expect any such current legal proceedings to have a material adverse effect on the Company's business or financial condition. Costs associated with the Company's involvement in legal proceedings are expensed as incurred.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Relating to ‘287 Patent and '018 Patent</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involving its European Patent No. 1,360,287 (the "'287 Patent") and its U.S. Patent No. 8,502,018 (the "'018 Patent"), both of which concern genetically altered mice capable of producing chimeric</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6" w:right="239"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the '287 Patent Infringement Litigation and '018 Patent Infringement Litigation proceedings are at an early stage, at this time the Company is not able to predict the outcome of, or an estimate of gain, if any, related to, these proceedings.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Recently Issued Accounting Standards</w:t>
      </w:r>
    </w:p>
    <w:p>
      <w:pPr>
        <w:spacing w:after="0" w:line="14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 new standard related to revenue recognition,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4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July 2014, in connection with the Company’s antibody collaboration with Sanofi (see Note 3), the Company purchased an FDA priority review voucher from a third party for $67.5 million. The Company and Sanofi will equally share the priority review voucher's purchase price.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81" w:lineRule="exact"/>
        <w:rPr>
          <w:sz w:val="20"/>
          <w:szCs w:val="20"/>
          <w:color w:val="auto"/>
        </w:rPr>
      </w:pPr>
    </w:p>
    <w:p>
      <w:pPr>
        <w:jc w:val="both"/>
        <w:ind w:firstLine="243"/>
        <w:spacing w:after="0" w:line="247"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sarilumab, alirocumab,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colorectal cancer, and a rare inflammatory condition and have product candidates in development in other areas of high unmet medical need, including hypercholesterolemia, oncology, rheumatoid arthritis (RA), asthma, and atopic dermatitis.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total revenues were $665.7 million in the second quarter and $1,291.4 million in the first half of 2014, compared to $457.6 million in the second quarter and $897.3 million in the first half of 2013. Our net income was $92.7 million, or $0.82 per diluted share, in the second quarter and $158.2 million, or $1.40 per diluted share, in the first half of 2014, compared to net income of $87.4 million, or $0.79 per diluted share, in the second quarter and $186.3 million, or $1.69 per diluted share, in the first half of 2013. Refer to the "Results of Operations" section below for further details of our financial results.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currently have three marketed products:</w:t>
      </w:r>
    </w:p>
    <w:p>
      <w:pPr>
        <w:spacing w:after="0" w:line="275" w:lineRule="exact"/>
        <w:rPr>
          <w:sz w:val="20"/>
          <w:szCs w:val="20"/>
          <w:color w:val="auto"/>
        </w:rPr>
      </w:pPr>
    </w:p>
    <w:p>
      <w:pPr>
        <w:jc w:val="both"/>
        <w:ind w:left="660" w:hanging="328"/>
        <w:spacing w:after="0" w:line="25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EYLEA (aflibercept) Injection</w:t>
      </w:r>
      <w:r>
        <w:rPr>
          <w:rFonts w:ascii="Times New Roman" w:cs="Times New Roman" w:eastAsia="Times New Roman" w:hAnsi="Times New Roman"/>
          <w:sz w:val="18"/>
          <w:szCs w:val="18"/>
          <w:color w:val="auto"/>
        </w:rPr>
        <w:t>, known in the scientific literature as VEGF Trap-Eye, which is available in the United States, European Union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(EU), Japan, and certain other countries outside the United States for the treatment of neovascular age-related macular degeneration (wet AMD) and macular edema following central retinal vein occlusion (CRVO). In July 2014, the U.S. Food and Drug Administration (FDA) approved EYLEA for the treatment of diabetic macular edema (DME). We are collaborating with Bayer HealthCare on the global development and commercialization of EYLEA outside the United States. Regulatory applications have been submitted for EYLEA in Europe for the treatment of DME and in the United States and Europe for the treatment of macular edema following branch retinal vein occlusion (BRVO). Regulatory submissions have also been made for DME and myopic choroidal neovascularization (mCNV) in Japan.</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ZALTRAP</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(ziv-aflibercept) Injection for Intravenous Infusion</w:t>
      </w:r>
      <w:r>
        <w:rPr>
          <w:rFonts w:ascii="Times New Roman" w:cs="Times New Roman" w:eastAsia="Times New Roman" w:hAnsi="Times New Roman"/>
          <w:sz w:val="18"/>
          <w:szCs w:val="18"/>
          <w:color w:val="auto"/>
        </w:rPr>
        <w:t>, known in the scientific literature as VEGF Trap, which is available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EU, and certain other countries for treatment, in combination with 5-fluorouracil, leucovorin, irinotecan (FOLFIRI), of patients with metastatic colorectal cancer (mCRC) that is resistant to or has progressed following an oxaliplatin-containing regimen. Regulatory applications for marketing authorization of ZALTRAP for the treatment of previously treated mCRC patients in other countries have also been submitted and are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660"/>
        <w:spacing w:after="0" w:line="329" w:lineRule="auto"/>
        <w:rPr>
          <w:sz w:val="20"/>
          <w:szCs w:val="20"/>
          <w:color w:val="auto"/>
        </w:rPr>
      </w:pPr>
      <w:r>
        <w:rPr>
          <w:rFonts w:ascii="Times New Roman" w:cs="Times New Roman" w:eastAsia="Times New Roman" w:hAnsi="Times New Roman"/>
          <w:sz w:val="18"/>
          <w:szCs w:val="18"/>
          <w:color w:val="auto"/>
        </w:rPr>
        <w:t>currently under review by the respective regulatory agencies. We and Sanofi globally collaborate on the development and commercialization of ZALTRAP.</w:t>
      </w:r>
    </w:p>
    <w:p>
      <w:pPr>
        <w:spacing w:after="0" w:line="50" w:lineRule="exact"/>
        <w:rPr>
          <w:sz w:val="20"/>
          <w:szCs w:val="20"/>
          <w:color w:val="auto"/>
        </w:rPr>
      </w:pPr>
    </w:p>
    <w:p>
      <w:pPr>
        <w:jc w:val="both"/>
        <w:ind w:left="660" w:hanging="328"/>
        <w:spacing w:after="0" w:line="22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b w:val="1"/>
          <w:bCs w:val="1"/>
          <w:color w:val="auto"/>
        </w:rPr>
        <w:t xml:space="preserve"> (rilonacept) Injection for Subcutaneous Use</w:t>
      </w:r>
      <w:r>
        <w:rPr>
          <w:rFonts w:ascii="Times New Roman" w:cs="Times New Roman" w:eastAsia="Times New Roman" w:hAnsi="Times New Roman"/>
          <w:sz w:val="18"/>
          <w:szCs w:val="18"/>
          <w:color w:val="auto"/>
        </w:rPr>
        <w:t>, which is available in the United States for the treatment of Cryopyrin-Associated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Syndromes (CAPS), including Familial Cold Auto-inflammatory Syndrome (FCAS) and Muckle-Wells Syndrome (MWS), in adults and children 12 years and older.</w:t>
      </w:r>
    </w:p>
    <w:p>
      <w:pPr>
        <w:spacing w:after="0" w:line="11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16 product candidates in clinical development, all of which were discovered in our research laboratories. These consist of two Trap-based clinical programs and 14 fully human monoclonal antibody product candidates,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0408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408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408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4088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40880" cy="308610"/>
                    </a:xfrm>
                    <a:prstGeom prst="rect">
                      <a:avLst/>
                    </a:prstGeom>
                    <a:noFill/>
                  </pic:spPr>
                </pic:pic>
              </a:graphicData>
            </a:graphic>
          </wp:anchor>
        </w:drawing>
      </w:r>
    </w:p>
    <w:p>
      <w:pPr>
        <w:spacing w:after="0" w:line="47" w:lineRule="exact"/>
        <w:rPr>
          <w:sz w:val="20"/>
          <w:szCs w:val="20"/>
          <w:color w:val="auto"/>
        </w:rPr>
      </w:pPr>
    </w:p>
    <w:p>
      <w:pPr>
        <w:ind w:left="40" w:right="640"/>
        <w:spacing w:after="0" w:line="279" w:lineRule="auto"/>
        <w:rPr>
          <w:sz w:val="20"/>
          <w:szCs w:val="20"/>
          <w:color w:val="auto"/>
        </w:rPr>
      </w:pPr>
      <w:r>
        <w:rPr>
          <w:rFonts w:ascii="Times New Roman" w:cs="Times New Roman" w:eastAsia="Times New Roman" w:hAnsi="Times New Roman"/>
          <w:sz w:val="18"/>
          <w:szCs w:val="18"/>
          <w:color w:val="auto"/>
        </w:rPr>
        <w:t>In Phase 3 clinical development for the treatment of DME, macular edema following BRVO, and mCNV, in collaboration with Bayer HealthCare. As described below, EYLEA is also being studied in combination with an antibody to Platelet Derived Growth Factor Receptor Beta (PDGFR-beta).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ZALTRAP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408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Phase 3 clinical development in metastatic colorectal cancer in the Asia-Pacific region.</w:t>
      </w:r>
    </w:p>
    <w:p>
      <w:pPr>
        <w:spacing w:after="0" w:line="5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Antibody-based Clinical Programs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In Collaboration with Sanofi</w:t>
            </w:r>
          </w:p>
        </w:tc>
        <w:tc>
          <w:tcPr>
            <w:tcW w:w="1400" w:type="dxa"/>
            <w:vAlign w:val="bottom"/>
            <w:tcBorders>
              <w:top w:val="single" w:sz="8" w:color="auto"/>
            </w:tcBorders>
            <w:shd w:val="clear" w:color="auto" w:fill="CCEEFF"/>
          </w:tcPr>
          <w:p>
            <w:pPr>
              <w:spacing w:after="0"/>
              <w:rPr>
                <w:sz w:val="18"/>
                <w:szCs w:val="18"/>
                <w:color w:val="auto"/>
              </w:rPr>
            </w:pPr>
          </w:p>
        </w:tc>
        <w:tc>
          <w:tcPr>
            <w:tcW w:w="5860" w:type="dxa"/>
            <w:vAlign w:val="bottom"/>
            <w:tcBorders>
              <w:top w:val="single" w:sz="8" w:color="auto"/>
            </w:tcBorders>
            <w:gridSpan w:val="3"/>
            <w:shd w:val="clear" w:color="auto" w:fill="CCEEFF"/>
          </w:tcPr>
          <w:p>
            <w:pPr>
              <w:ind w:left="2140"/>
              <w:spacing w:after="0"/>
              <w:rPr>
                <w:sz w:val="20"/>
                <w:szCs w:val="20"/>
                <w:color w:val="auto"/>
              </w:rPr>
            </w:pPr>
            <w:r>
              <w:rPr>
                <w:rFonts w:ascii="Times New Roman" w:cs="Times New Roman" w:eastAsia="Times New Roman" w:hAnsi="Times New Roman"/>
                <w:sz w:val="18"/>
                <w:szCs w:val="18"/>
                <w:b w:val="1"/>
                <w:bCs w:val="1"/>
                <w:color w:val="auto"/>
              </w:rPr>
              <w:t>Developing Independently</w:t>
            </w:r>
          </w:p>
        </w:tc>
      </w:tr>
      <w:tr>
        <w:trPr>
          <w:trHeight w:val="48"/>
        </w:trPr>
        <w:tc>
          <w:tcPr>
            <w:tcW w:w="162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auto"/>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auto"/>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r>
        <w:trPr>
          <w:trHeight w:val="243"/>
        </w:trPr>
        <w:tc>
          <w:tcPr>
            <w:tcW w:w="5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REGN1400</w:t>
            </w:r>
          </w:p>
        </w:tc>
      </w:tr>
      <w:tr>
        <w:trPr>
          <w:trHeight w:val="27"/>
        </w:trPr>
        <w:tc>
          <w:tcPr>
            <w:tcW w:w="16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97"/>
        </w:trPr>
        <w:tc>
          <w:tcPr>
            <w:tcW w:w="5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 to the interleukin-6 receptor (IL-6R).</w:t>
            </w:r>
          </w:p>
        </w:tc>
        <w:tc>
          <w:tcPr>
            <w:tcW w:w="58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Antibody to ErbB3.</w:t>
            </w:r>
          </w:p>
        </w:tc>
      </w:tr>
      <w:tr>
        <w:trPr>
          <w:trHeight w:val="252"/>
        </w:trPr>
        <w:tc>
          <w:tcPr>
            <w:tcW w:w="5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clinical development in rheumatoid arthritis (Phase 3) and non-</w:t>
            </w:r>
          </w:p>
        </w:tc>
        <w:tc>
          <w:tcPr>
            <w:tcW w:w="58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 Phase 1 clinical development in oncology.</w:t>
            </w:r>
          </w:p>
        </w:tc>
      </w:tr>
      <w:tr>
        <w:trPr>
          <w:trHeight w:val="234"/>
        </w:trPr>
        <w:tc>
          <w:tcPr>
            <w:tcW w:w="52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infectious uveitis (Phase 2).</w:t>
            </w:r>
          </w:p>
        </w:tc>
        <w:tc>
          <w:tcPr>
            <w:tcW w:w="21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7"/>
        </w:trPr>
        <w:tc>
          <w:tcPr>
            <w:tcW w:w="16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sectPr>
          <w:pgSz w:w="11900" w:h="16838" w:orient="portrait"/>
          <w:cols w:equalWidth="0" w:num="1">
            <w:col w:w="11420"/>
          </w:cols>
          <w:pgMar w:left="240" w:top="126" w:right="2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Alirocumab (REGN727)</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Proprotein Convertase Subtilisin/Kexin type 9 (PCSK9).</w:t>
      </w:r>
    </w:p>
    <w:p>
      <w:pPr>
        <w:spacing w:after="0" w:line="63" w:lineRule="exact"/>
        <w:rPr>
          <w:sz w:val="20"/>
          <w:szCs w:val="20"/>
          <w:color w:val="auto"/>
        </w:rPr>
      </w:pPr>
    </w:p>
    <w:p>
      <w:pPr>
        <w:ind w:left="40" w:right="460"/>
        <w:spacing w:after="0" w:line="279" w:lineRule="auto"/>
        <w:rPr>
          <w:sz w:val="20"/>
          <w:szCs w:val="20"/>
          <w:color w:val="auto"/>
        </w:rPr>
      </w:pPr>
      <w:r>
        <w:rPr>
          <w:rFonts w:ascii="Times New Roman" w:cs="Times New Roman" w:eastAsia="Times New Roman" w:hAnsi="Times New Roman"/>
          <w:sz w:val="18"/>
          <w:szCs w:val="18"/>
          <w:color w:val="auto"/>
        </w:rPr>
        <w:t>In Phase 3 clinical development for low-density lipoprotein (LDL) cholesterol reduction.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Dupilumab (REGN668)</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the interleukin-4 receptor (IL-4R) alpha subunit.</w:t>
      </w:r>
    </w:p>
    <w:p>
      <w:pPr>
        <w:spacing w:after="0" w:line="63" w:lineRule="exact"/>
        <w:rPr>
          <w:sz w:val="20"/>
          <w:szCs w:val="20"/>
          <w:color w:val="auto"/>
        </w:rPr>
      </w:pPr>
    </w:p>
    <w:p>
      <w:pPr>
        <w:ind w:left="40" w:right="200"/>
        <w:spacing w:after="0" w:line="279" w:lineRule="auto"/>
        <w:rPr>
          <w:sz w:val="20"/>
          <w:szCs w:val="20"/>
          <w:color w:val="auto"/>
        </w:rPr>
      </w:pPr>
      <w:r>
        <w:rPr>
          <w:rFonts w:ascii="Times New Roman" w:cs="Times New Roman" w:eastAsia="Times New Roman" w:hAnsi="Times New Roman"/>
          <w:sz w:val="18"/>
          <w:szCs w:val="18"/>
          <w:color w:val="auto"/>
        </w:rPr>
        <w:t>In clinical development in atopic dermatitis (Phase 2b), asthma (Phase 2b), and nasal polyposis (Phase 2).</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Nesvacumab (REGN910)</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angiopoietin-2 (Ang2), a novel angiogenesis target.</w:t>
      </w:r>
    </w:p>
    <w:p>
      <w:pPr>
        <w:spacing w:after="0" w:line="63" w:lineRule="exact"/>
        <w:rPr>
          <w:sz w:val="20"/>
          <w:szCs w:val="20"/>
          <w:color w:val="auto"/>
        </w:rPr>
      </w:pPr>
    </w:p>
    <w:p>
      <w:pPr>
        <w:ind w:left="40"/>
        <w:spacing w:after="0" w:line="279" w:lineRule="auto"/>
        <w:rPr>
          <w:sz w:val="20"/>
          <w:szCs w:val="20"/>
          <w:color w:val="auto"/>
        </w:rPr>
      </w:pPr>
      <w:r>
        <w:rPr>
          <w:rFonts w:ascii="Times New Roman" w:cs="Times New Roman" w:eastAsia="Times New Roman" w:hAnsi="Times New Roman"/>
          <w:sz w:val="18"/>
          <w:szCs w:val="18"/>
          <w:color w:val="auto"/>
        </w:rPr>
        <w:t>In Phase 1 clinical development in oncology. Currently on partial clinical hold by the FDA for systemic use in oncology.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REGN1033</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to myostatin (GDF8).</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Phase 2 clinical development in skeletal muscle disorders.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Antibody in Phase 1 clinical development against an undisclosed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u w:val="single" w:color="auto"/>
          <w:color w:val="auto"/>
        </w:rPr>
        <w:t>In Collaboration with Bayer HealthCare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REGN2176-3</w:t>
      </w:r>
    </w:p>
    <w:p>
      <w:pPr>
        <w:spacing w:after="0" w:line="121" w:lineRule="exact"/>
        <w:rPr>
          <w:sz w:val="20"/>
          <w:szCs w:val="20"/>
          <w:color w:val="auto"/>
        </w:rPr>
      </w:pPr>
    </w:p>
    <w:p>
      <w:pPr>
        <w:ind w:left="40" w:right="400"/>
        <w:spacing w:after="0" w:line="282" w:lineRule="auto"/>
        <w:rPr>
          <w:sz w:val="20"/>
          <w:szCs w:val="20"/>
          <w:color w:val="auto"/>
        </w:rPr>
      </w:pPr>
      <w:r>
        <w:rPr>
          <w:rFonts w:ascii="Times New Roman" w:cs="Times New Roman" w:eastAsia="Times New Roman" w:hAnsi="Times New Roman"/>
          <w:sz w:val="18"/>
          <w:szCs w:val="18"/>
          <w:color w:val="auto"/>
        </w:rPr>
        <w:t>Combination product comprised of an antibody to PDGFR-beta co-formulated with EYLEA for use in ophthalmology.</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Phase 1 clinical development for the treatment of wet AMD.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i w:val="1"/>
          <w:iCs w:val="1"/>
          <w:color w:val="auto"/>
        </w:rPr>
        <w:t>REGN1154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36830</wp:posOffset>
            </wp:positionV>
            <wp:extent cx="7040880" cy="514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40880" cy="5143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Antibody in Phase 1 clinical development against an undisclosed target.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REGN1500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36830</wp:posOffset>
            </wp:positionV>
            <wp:extent cx="7040880" cy="514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40880" cy="5143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Antibody in Phase 1 clinical development against an undisclosed target.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REGN1193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36830</wp:posOffset>
            </wp:positionV>
            <wp:extent cx="7040880" cy="514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40880" cy="51435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Antibody in Phase 1 clinical development against an undisclosed target.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REGN1908-1909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36830</wp:posOffset>
            </wp:positionV>
            <wp:extent cx="704088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40880" cy="377190"/>
                    </a:xfrm>
                    <a:prstGeom prst="rect">
                      <a:avLst/>
                    </a:prstGeom>
                    <a:noFill/>
                  </pic:spPr>
                </pic:pic>
              </a:graphicData>
            </a:graphic>
          </wp:anchor>
        </w:drawing>
      </w:r>
    </w:p>
    <w:p>
      <w:pPr>
        <w:spacing w:after="0" w:line="47"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Antibody combination in Phase 1 clinical development against an undisclosed target.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Fasinumab (REGN475)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36830</wp:posOffset>
            </wp:positionV>
            <wp:extent cx="7040880" cy="514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40880" cy="51435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Antibody to Nerve Growth Factor (NGF).</w:t>
      </w:r>
    </w:p>
    <w:p>
      <w:pPr>
        <w:spacing w:after="0" w:line="63"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8"/>
          <w:szCs w:val="18"/>
          <w:color w:val="auto"/>
        </w:rPr>
        <w:t>In development for the treatment of pain; currently on partial clinical hold by the FDA.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Enoticumab (REGN421)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36830</wp:posOffset>
            </wp:positionV>
            <wp:extent cx="7040880" cy="3771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40880" cy="3771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Antibody to Delta-like ligand-4 (Dll4), a novel angiogenesis target.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Phase 1 clinical development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206375</wp:posOffset>
            </wp:positionV>
            <wp:extent cx="70408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0880" cy="171450"/>
                    </a:xfrm>
                    <a:prstGeom prst="rect">
                      <a:avLst/>
                    </a:prstGeom>
                    <a:noFill/>
                  </pic:spPr>
                </pic:pic>
              </a:graphicData>
            </a:graphic>
          </wp:anchor>
        </w:drawing>
      </w:r>
    </w:p>
    <w:p>
      <w:pPr>
        <w:spacing w:after="0" w:line="1604" w:lineRule="exact"/>
        <w:rPr>
          <w:sz w:val="20"/>
          <w:szCs w:val="20"/>
          <w:color w:val="auto"/>
        </w:rPr>
      </w:pPr>
    </w:p>
    <w:p>
      <w:pPr>
        <w:sectPr>
          <w:pgSz w:w="11900" w:h="16838" w:orient="portrait"/>
          <w:cols w:equalWidth="0" w:num="2">
            <w:col w:w="5300" w:space="400"/>
            <w:col w:w="5720"/>
          </w:cols>
          <w:pgMar w:left="240" w:top="126"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type w:val="continuous"/>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Development of REGN2009, which was an antibody in Phase 1 clinical development against an undisclosed target, was discontinued in the second quarter of 2014.</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228" w:lineRule="exact"/>
        <w:rPr>
          <w:sz w:val="20"/>
          <w:szCs w:val="20"/>
          <w:color w:val="auto"/>
        </w:rPr>
      </w:pPr>
    </w:p>
    <w:p>
      <w:pPr>
        <w:jc w:val="both"/>
        <w:ind w:firstLine="243"/>
        <w:spacing w:after="0" w:line="217" w:lineRule="auto"/>
        <w:rPr>
          <w:sz w:val="20"/>
          <w:szCs w:val="20"/>
          <w:color w:val="auto"/>
        </w:rPr>
      </w:pPr>
      <w:r>
        <w:rPr>
          <w:rFonts w:ascii="Times New Roman" w:cs="Times New Roman" w:eastAsia="Times New Roman" w:hAnsi="Times New Roman"/>
          <w:sz w:val="18"/>
          <w:szCs w:val="18"/>
          <w:color w:val="auto"/>
        </w:rPr>
        <w:t xml:space="preserve">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monoclonal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We continue to invest in the development of enabling technologies to assist in our efforts to identify, develop, manufacture, and commercialize new product candidates.</w:t>
      </w:r>
    </w:p>
    <w:p>
      <w:pPr>
        <w:spacing w:after="0" w:line="25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early 2014, we launched a new human genetics initiative via a wholly owned subsidiary, Regeneron Genetics Center LLC (RGC). RGC performs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intends to pursue both large population-based efforts as well as family-based approaches.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Marketed Products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(aflibercept) Injection</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Net product sales of EYLEA in the United States were $414.8 million in the second quarter and $773.8 million in the first half of 2014, compared to $329.8 million in the second quarter and $643.7 million in the first half of 2013. Bayer HealthCare records revenue from sales of EYLEA outside the United States, which were $246.8 million in the second quarter and $464.9 million in the first half of 2014, compared to $101.5 million in the second quarter and $163.5 million in the first half of 2013.</w:t>
      </w:r>
    </w:p>
    <w:p>
      <w:pPr>
        <w:spacing w:after="0" w:line="23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outside the United States, and for the treatment of macular edema secondary to CRVO in the fourth quarter of 2013 following receipt of regulatory approvals in the EU and Japan. Bayer HealthCare has additional regulatory applications for EYLEA for the treatment of wet AMD and macular edema secondary to CRVO pending in other countries.</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August 2013, we and Bayer HealthCare announced positive week 52 results from the Phase 3 VISTA-DME and VIVID-DME trials of EYLEA for the treatment of DME, as described below under "Trap-based and Late-Stage Antibody-based Clinical Programs: </w:t>
      </w:r>
      <w:r>
        <w:rPr>
          <w:rFonts w:ascii="Times New Roman" w:cs="Times New Roman" w:eastAsia="Times New Roman" w:hAnsi="Times New Roman"/>
          <w:sz w:val="18"/>
          <w:szCs w:val="18"/>
          <w:i w:val="1"/>
          <w:iCs w:val="1"/>
          <w:color w:val="auto"/>
        </w:rPr>
        <w:t>EYLEA - Ophthalmologic Diseases.</w:t>
      </w:r>
      <w:r>
        <w:rPr>
          <w:rFonts w:ascii="Times New Roman" w:cs="Times New Roman" w:eastAsia="Times New Roman" w:hAnsi="Times New Roman"/>
          <w:sz w:val="18"/>
          <w:szCs w:val="18"/>
          <w:color w:val="auto"/>
        </w:rPr>
        <w:t xml:space="preserve">" Based on the positive results of these studies, we submitted a supplemental Biologics License Application (BLA) for U.S. regulatory approval of EYLEA in DME in the fourth quarter of 2013, and the FDA approved EYLEA for the treatment of DME in July 2014. Applications for marketing approval for the treatment of DME in the EU and Japan have also been submitted by Bayer HealthCare. In addition, in February and July 2014, we and Bayer HealthCare announced positive week 100 results from the Phase 3 VISTA-DME and Phase 3 VIVID-DME trials, respectively, as described below under "Trap-based Clinical Programs: </w:t>
      </w:r>
      <w:r>
        <w:rPr>
          <w:rFonts w:ascii="Times New Roman" w:cs="Times New Roman" w:eastAsia="Times New Roman" w:hAnsi="Times New Roman"/>
          <w:sz w:val="18"/>
          <w:szCs w:val="18"/>
          <w:i w:val="1"/>
          <w:iCs w:val="1"/>
          <w:color w:val="auto"/>
        </w:rPr>
        <w:t>EYLEA - Ophthalmologic Diseases.</w:t>
      </w:r>
      <w:r>
        <w:rPr>
          <w:rFonts w:ascii="Times New Roman" w:cs="Times New Roman" w:eastAsia="Times New Roman" w:hAnsi="Times New Roman"/>
          <w:sz w:val="18"/>
          <w:szCs w:val="18"/>
          <w:color w:val="auto"/>
        </w:rPr>
        <w:t>" In June 2014, EYLEA was recommended for approval by the European Committee for Medicinal Products for Human Use (CHMP) for the treatment of DME; the decision of the European Commission is expected in the second half of 2014.</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In October 2013, we announced positive week 24 results from the Phase 3 VIBRANT trial of EYLEA for the treatment of macular edema following BRVO, as described below under "Trap-based Clinical Programs: </w:t>
      </w:r>
      <w:r>
        <w:rPr>
          <w:rFonts w:ascii="Times New Roman" w:cs="Times New Roman" w:eastAsia="Times New Roman" w:hAnsi="Times New Roman"/>
          <w:sz w:val="18"/>
          <w:szCs w:val="18"/>
          <w:i w:val="1"/>
          <w:iCs w:val="1"/>
          <w:color w:val="auto"/>
        </w:rPr>
        <w:t>EYLEA - Ophthalmologic Diseases.</w:t>
      </w:r>
      <w:r>
        <w:rPr>
          <w:rFonts w:ascii="Times New Roman" w:cs="Times New Roman" w:eastAsia="Times New Roman" w:hAnsi="Times New Roman"/>
          <w:sz w:val="18"/>
          <w:szCs w:val="18"/>
          <w:color w:val="auto"/>
        </w:rPr>
        <w:t>" Based on the positive results of this study, a supplemental BLA for U.S. regulatory approval of EYLEA in macular edema following BRVO was submitted, and the target date for an FDA decision on the supplemental BLA is October 23, 2014. In addition, Bayer HealthCare has submitted an application to the European Medicines Agency (EMA) seeking marketing authorization in the EU for EYLEA for the treatment of macular edema following BRVO.</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type w:val="continuous"/>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ZALTRAP (ziv-aflibercept) Injection for Intravenous Infusion</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and Sanofi globally collaborate on the development and commercialization of ZALTRAP, and share profits and losses from commercialization of ZALTRAP, except for Japan, where we are entitled to receive a percentage of the sales of ZALTRAP. ZALTRAP net product sales, which are recorded by Sanofi, commenced in the United States in August 2012 and in Europe in the first quarter of 2013, and were $21.2 million in the second quarter and $42.8 million in the first half of 2014, compared to $18.6 million in the second quarter and $32.7 million in the first half of 2013. Regulatory applications for marketing authorization of ZALTRAP for the treatment of previously treated mCRC patients in other countries have also been submitted and are currently under review by the respective regulatory agencies.</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ARCALYST (rilonacept) Injection for Subcutaneous Use</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ARCALYST (rilonacept) Injection for Subcutaneous Use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totaled $3.2 million in the second quarter and $6.6 million in the first half of 2014, compared to $4.1 million in the second quarter and $8.9 million in the first half of 2013.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Trap-based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EYLEA - Ophthalmologic Diseases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EYLEA is being evaluated in Phase 3 programs in patients with DME and macular edema following BRVO.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Wet AMD</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Phase 3 SIGHT Trial. </w:t>
      </w:r>
      <w:r>
        <w:rPr>
          <w:rFonts w:ascii="Times New Roman" w:cs="Times New Roman" w:eastAsia="Times New Roman" w:hAnsi="Times New Roman"/>
          <w:sz w:val="18"/>
          <w:szCs w:val="18"/>
          <w:color w:val="auto"/>
        </w:rPr>
        <w:t>In the fourth quarter of 2011, we and Bayer HealthCare initiated a Phase 3 trial in China evaluating the efficacy and safety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EYLEA in wet AMD (SIGHT). In the trial, EYLEA 2 milligrams (mg) dosed every two months achieved the primary endpoint of a significantly greater improvement in best-corrected visual acuity (BCVA) from baseline compared to photodynamic therapy (PDT) at 28 weeks (14 letters for EYLEA vs. 3.9 letters for PDT, p&lt;0.0001). The safety results were consistent with results from prior studies in wet AMD.</w:t>
      </w:r>
    </w:p>
    <w:p>
      <w:pPr>
        <w:spacing w:after="0" w:line="234"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RE-VIEW Study</w:t>
      </w:r>
      <w:r>
        <w:rPr>
          <w:rFonts w:ascii="Times New Roman" w:cs="Times New Roman" w:eastAsia="Times New Roman" w:hAnsi="Times New Roman"/>
          <w:sz w:val="18"/>
          <w:szCs w:val="18"/>
          <w:color w:val="auto"/>
        </w:rPr>
        <w:t>. In the fourth quarter of 2012, we initiated a study (RE-VIEW) to fulfill a post-marketing requirement by the FDA, which is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 of EYLEA on corneal endothelium. The trial is fully enrolled.</w:t>
      </w: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DME</w:t>
      </w:r>
    </w:p>
    <w:p>
      <w:pPr>
        <w:spacing w:after="0" w:line="277"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i w:val="1"/>
          <w:iCs w:val="1"/>
          <w:color w:val="auto"/>
        </w:rPr>
        <w:t>Phase 3 VISTA-DME and VIVID-DME Trials</w:t>
      </w:r>
      <w:r>
        <w:rPr>
          <w:rFonts w:ascii="Times New Roman" w:cs="Times New Roman" w:eastAsia="Times New Roman" w:hAnsi="Times New Roman"/>
          <w:sz w:val="18"/>
          <w:szCs w:val="18"/>
          <w:color w:val="auto"/>
        </w:rPr>
        <w:t>. We are conducting the VISTA-DME study in the United States. Bayer HealthCare is conducting the VIVID-DME study in Europe, Japan, and Australia. Patients in both trials were randomized to receive either EYLEA 2 mg monthly, EYLEA 2 mg every two months (after 5 initial monthly injections), or the comparator treatment of laser photocoagulation.</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6" w:right="239" w:bottom="1440" w:gutter="0" w:footer="0" w:header="0"/>
          <w:type w:val="continuous"/>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August 2013, we and Bayer HealthCare announced that in the Phase 3 VISTA-DME and VIVID-DME trials of EYLEA for the treatment of DME, EYLEA 2 mg dosed monthly and EYLEA 2 mg dosed every two months (after 5 initial monthly injections) achieved the primary endpoint of a significantly greater improvement in BCVA from baseline compared to laser photocoagulation at 52 weeks. Both EYLEA treatment arms demonstrated similar improvements in BCVA. Based on the positive results of these studies, during the fourth quarter of 2013, we submitted a supplemental BLA for U.S. regulatory approval of EYLEA in DME and in July 2014, the FDA approved EYLEA for the treatment of DME. Bayer HealthCare also submitted applications for marketing approval for the treatment of DME in the EU in the fourth quarter of 2013 and Japan in the first quarter of 2014. In June 2014, EYLEA was recommended for approval by the CHMP for the treatment of DME.</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February 2014, we and Bayer HealthCare announced that in the Phase 3 VISTA-DME trial of EYLEA for the treatment of DME, EYLEA 2 mg dosed monthly and EYLEA 2 mg dosed every two months (after 5 initial monthly injections) showed a sustained improvement from baseline in BCVA at week 100, compared to laser photocoagulation. After two years, patients receiving EYLEA 2 mg monthly had a mean change from baseline in BCVA of 11.5 letters and patients receiving EYLEA 2 mg every other month (after 5 initial monthly injections) had a mean change from baseline in BCVA of 11.1 letters, compared to patients receiving laser photocoagulation who had a mean change from baseline in BCVA of 0.9 letters.</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VISTA-DME trial, EYLEA was generally well tolerated with a similar overall incidence of adverse events (AEs), ocular serious AEs, and non-ocular serious AEs across the treatment groups and the laser control group. The most frequent ocular treatment emergent AEs (TEAEs) observed included conjunctival hemorrhage, eye pain, and vitreous floaters. The most frequent non-ocular TEAEs included hypertension, nasopharyngitis, anemia, and urinary tract infection, which occurred with similar frequency in the treatment groups and the laser control group. Arterial thromboembolic events as defined by the Anti-Platelet Trialists' Collaboration (non-fatal stroke, non-fatal myocardial infarction, and vascular death) were similar across the treatment groups and the laser control group with events occurring in 13 out of 155 patients in the EYLEA 2 mg dosed monthly group, 11 out of 152 patients in the EYLEA 2 mg dosed every two months group, and 9 out of 154 patients in the laser treatment group. Eight out of 155 patients died in the EYLEA 2 mg dosed monthly group, 4 out of 152 patients in the EYLEA 2 mg dosed every two months group, and 3 out of 154 patients in the laser treatment group.</w:t>
      </w:r>
    </w:p>
    <w:p>
      <w:pPr>
        <w:spacing w:after="0" w:line="23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July 2014, we announced that in the Phase 3 VIVID-DME trial, EYLEA 2 mg dosed monthly and EYLEA 2 mg dosed every two months (after 5 initial monthly injections) showed a sustained improvement from baseline in BCVA at week 100 (2 years), compared to laser photocoagulation. After two years, patients receiving EYLEA 2 mg monthly had a mean change from baseline in BCVA of 11.4 letters and patients receiving EYLEA 2 mg every two months had a mean change from baseline in BCVA of 9.4 letters, compared to patients receiving laser photocoagulation who had a mean change from baseline in BCVA of 0.7 letters. Additionally, 31.1% of patients receiving EYLEA every two months achieved an increase of greater than or equal to 15 letters, or approximately 3 lines of vision, from baseline (P = 0.0001), and 38.2% receiving EYLEA every month achieved an increase of greater than or equal to 15 letters from baseline (P less than 0.0001 vs. laser), compared with 12.1% of patients in the laser control arm achieving similar vision gains.</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the VIVID-DME trial, EYLEA had a similar overall incidence of AEs, ocular serious AEs, and non-ocular serious AEs across the EYLEA treatment groups and the laser control group. The most frequent ocular AEs observed in the VIVID-DME trial included conjunctival hemorrhage, cataract, and increased intraocular pressure. The most frequent non-ocular AEs included nasopharyngitis and hypertension. Arterial thromboembolic events as defined by the Anti-Platelet Trialists' Collaboration (non-fatal stroke, non-fatal myocardial infarction, and vascular death) were similar across the treatment groups and the laser control group. Four out of 136 patients died in the EYLEA 2 mg dosed monthly group, 6 out of 135 patients in the EYLEA 2 mg dosed every two months group, and 1 out of 133 patients in the laser treatment group.</w:t>
      </w:r>
    </w:p>
    <w:p>
      <w:pPr>
        <w:spacing w:after="0" w:line="188"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Full two-year data from the VIVID-DME trial will be presented at upcoming medical conferences. Both the VIVID-DME and VISTA-DME trials will continue as planned up to 148 weeks.</w:t>
      </w:r>
    </w:p>
    <w:p>
      <w:pPr>
        <w:spacing w:after="0" w:line="160"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Phase 3 VIVID-Japan and VIVID EAST-DME Studies. </w:t>
      </w:r>
      <w:r>
        <w:rPr>
          <w:rFonts w:ascii="Times New Roman" w:cs="Times New Roman" w:eastAsia="Times New Roman" w:hAnsi="Times New Roman"/>
          <w:sz w:val="18"/>
          <w:szCs w:val="18"/>
          <w:color w:val="auto"/>
        </w:rPr>
        <w:t>An additional Phase 3 safety study in Japan (VIVID-Japan) was initiated in the first quarter of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required for approval in Japan. In the first quarter of 2014, Bayer HealthCare reported positive results from the VIVID-Japan study, which did not change the overall safety profile for EYLEA in DME, and submitted an application for marketing authorization of EYLEA for the treatment of DME in Japan. In February 2013, we and Bayer HealthCare also initiated another Phase 3 study to evaluate the efficacy and safety of EYLEA in DME in Russia, China, and other Asian countries (VIVID EAST-DME). This trial is fully enrolled.</w:t>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Macular Edema Following BRVO</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Phase 3 VIBRANT Study</w:t>
      </w:r>
      <w:r>
        <w:rPr>
          <w:rFonts w:ascii="Times New Roman" w:cs="Times New Roman" w:eastAsia="Times New Roman" w:hAnsi="Times New Roman"/>
          <w:sz w:val="18"/>
          <w:szCs w:val="18"/>
          <w:color w:val="auto"/>
        </w:rPr>
        <w:t>. In October 2013, we reported positive top-line results from the VIBRANT trial. The study achieved its primary endpoint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statistically significant difference for EYLEA dose 2 mg monthly versus laser in proportion of patients who gained at least 15 letters of visual acuity at 24 weeks versus baseline. The incidence of serious AEs was similar in both study arms. The most common ocular AEs in the EYLEA treated patients were conjunctival hemorrhage and eye pain. There were no</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cases of intraocular inflammation. There was one ocular SAE in a patient in the EYLEA group, which was a traumatic cataract. Based on the positive results of the VIBRANT study, a supplemental BLA for U.S. regulatory approval of EYLEA in BRVO was submitted; the target date for an FDA decision on the supplemental BLA is October 23, 2014.</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January 2014, Bayer HealthCare exercised its right to opt-in to the global development and commercialization of EYLEA outside the United States for the treatment of macular edema following BRVO as described below under "Collaborations with Bayer HealthCare - </w:t>
      </w:r>
      <w:r>
        <w:rPr>
          <w:rFonts w:ascii="Times New Roman" w:cs="Times New Roman" w:eastAsia="Times New Roman" w:hAnsi="Times New Roman"/>
          <w:sz w:val="18"/>
          <w:szCs w:val="18"/>
          <w:i w:val="1"/>
          <w:iCs w:val="1"/>
          <w:color w:val="auto"/>
        </w:rPr>
        <w:t>EYLEA outside the United States</w:t>
      </w:r>
      <w:r>
        <w:rPr>
          <w:rFonts w:ascii="Times New Roman" w:cs="Times New Roman" w:eastAsia="Times New Roman" w:hAnsi="Times New Roman"/>
          <w:sz w:val="18"/>
          <w:szCs w:val="18"/>
          <w:color w:val="auto"/>
        </w:rPr>
        <w:t>." Bayer HealthCare has also submitted an application to the EMA seeking marketing authorization in the EU for EYLEA for the treatment of macular edema following BRVO.</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27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i w:val="1"/>
          <w:iCs w:val="1"/>
          <w:color w:val="auto"/>
        </w:rPr>
        <w:t>Phase 3 MYRROR Study</w:t>
      </w:r>
      <w:r>
        <w:rPr>
          <w:rFonts w:ascii="Times New Roman" w:cs="Times New Roman" w:eastAsia="Times New Roman" w:hAnsi="Times New Roman"/>
          <w:sz w:val="18"/>
          <w:szCs w:val="18"/>
          <w:color w:val="auto"/>
        </w:rPr>
        <w:t>. In June 2013, we and Bayer HealthCare announced positive top-line results for EYLEA from the Phase 3 MYRROR study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mCNV. In this trial, patients receiving EYLEA at an initial dose of 2 mg, followed by treatment on an as-needed (PRN) basis, achieved a statistically significant mean improvement in BCVA from baseline to week 24 versus the sham control. The most common AEs observed in the MYRROR trial that occurred with a frequency of 2% or more were conjunctival hemorrhage, dry eye, eye pain, headache, and nasopharyngitis. Bayer HealthCare submitted an application for regulatory approval for this indication in Japan in the fourth quarter of 2013.</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ZALTRAP (ziv-aflibercept) - Oncology</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ZALTRAP is a fusion protein that is designed to bind all forms of VEGF-A, VEGF-B, and PlGF, and prevent their interaction with cell surface receptors. VEGF-A (and to a lesser degree, PlGF) is required for angiogenesis that is needed for tumors to grow. ZALTRAP is in Phase 3 clinical development in metastatic colorectal cancer in the Asia-Pacific region.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Late-Stage Antibody-based Clinical Programs</w:t>
      </w: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Sarilumab (REGN88; IL-6R Antibody) for inflammatory diseases</w:t>
      </w:r>
    </w:p>
    <w:p>
      <w:pPr>
        <w:spacing w:after="0" w:line="2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right="20" w:firstLine="216"/>
        <w:spacing w:after="0" w:line="282" w:lineRule="auto"/>
        <w:rPr>
          <w:sz w:val="20"/>
          <w:szCs w:val="20"/>
          <w:color w:val="auto"/>
        </w:rPr>
      </w:pPr>
      <w:r>
        <w:rPr>
          <w:rFonts w:ascii="Times New Roman" w:cs="Times New Roman" w:eastAsia="Times New Roman" w:hAnsi="Times New Roman"/>
          <w:sz w:val="18"/>
          <w:szCs w:val="18"/>
          <w:color w:val="auto"/>
        </w:rPr>
        <w:t xml:space="preserve">IL-6 is a key cytokine involved in the pathogenesis of RA, causing inflammation and joint destruction. Sarilumab is a fully human monoclonal antibody to IL-6R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Rheumatoid Arthritis</w:t>
      </w:r>
    </w:p>
    <w:p>
      <w:pPr>
        <w:spacing w:after="0" w:line="27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Phase 3 SARIL-RA-MOBILITY Trial</w:t>
      </w:r>
      <w:r>
        <w:rPr>
          <w:rFonts w:ascii="Times New Roman" w:cs="Times New Roman" w:eastAsia="Times New Roman" w:hAnsi="Times New Roman"/>
          <w:sz w:val="18"/>
          <w:szCs w:val="18"/>
          <w:color w:val="auto"/>
        </w:rPr>
        <w:t>. In the fourth quarter of 2013, we and Sanofi announced that in the SARIL-RA-MOBILITY Phase 3 clinical trial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adult patients with active RA who were inadequate responders to MTX therapy, sarilumab treatment in combination with MTX improved disease signs and symptoms as well as physical function, and inhibited progression of joint damage. The 52 week SARIL-RA-MOBILITY Phase 3 trial enrolled approximately 1,200 patients with active, moderate-to-severe rheumatoid arthritis, and who were inadequate responders to MTX therapy. Patients were randomized to one of three subcutaneous treatment groups, all in combination with MTX and dosed every other week: sarilumab 200 mg, sarilumab 150 mg, or placebo. Both sarilumab groups showed clinically relevant and statistically significant improvements compared to the placebo group in all three co-primary endpoints (p &lt; 0.0001).</w:t>
      </w:r>
    </w:p>
    <w:p>
      <w:pPr>
        <w:spacing w:after="0" w:line="23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SARIL-RA-MOBILITY trial, infections were the most frequently reported adverse events and were reported with a higher incidence in the sarilumab groups compared to placebo, all in combination with MTX. Among patients treated with sarilumab, a dose dependent decrease in mean neutrophil counts was observed. Serious infections were not associated with grades 3 and 4 neutropenia in this study. Increases in mean LDL cholesterol and transaminases were observed.</w:t>
      </w:r>
    </w:p>
    <w:p>
      <w:pPr>
        <w:spacing w:after="0" w:line="23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June 2014, efficacy and safety data from the SARIL-RA-MOBILITY study was presented at the annual meeting of The European League Against Rheumatism (EULAR).</w:t>
      </w:r>
    </w:p>
    <w:p>
      <w:pPr>
        <w:spacing w:after="0" w:line="21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Additional Phase 3 Studies</w:t>
      </w:r>
      <w:r>
        <w:rPr>
          <w:rFonts w:ascii="Times New Roman" w:cs="Times New Roman" w:eastAsia="Times New Roman" w:hAnsi="Times New Roman"/>
          <w:sz w:val="18"/>
          <w:szCs w:val="18"/>
          <w:color w:val="auto"/>
        </w:rPr>
        <w:t>. We and Sanofi have also initiated additional Phase 3 studies, SARIL-RA-TARGET, SARIL-RA-COMPARE, and SARIL-RA-ASCERTAIN. The broad SARIL-RA clinical development program is focused on adult populations with moderate-to-severe RA who are inadequate responders to either MTX or tumor necrosis factor alpha (TNF-alpha) inhibitor therapy. SARIL-RA-TARGET is a randomized, double-blind, placebo-controlled study evaluating sarilumab in combination with non-biologic, disease-modifying anti-rheumatic drugs (DMARDS) in moderate-to-severe active RA patients with inadequate responses to, or who are intolerant of, one or more TNF-alpha inhibitors. The SARIL-RA-COMPARE study is evaluating the safety and efficacy of sarilumab plus MTX compared to etanercept (a TNF-alpha inhibitor) plus MTX in adult patients with moderate-to-severe RA who demonstrate an inadequate response to adalimumab as their first TNF-alpha inhibitor therapy. The SARIL-RA-ASCERTAIN study is a safety study evaluating the safety and tolerability of sarilumab versus a calibrator, tocilizumab, both in combination with MTX, in patients with RA who are inadequate responders to, or intolerant of, TNF-alpha inhibitors.</w:t>
      </w:r>
    </w:p>
    <w:p>
      <w:pPr>
        <w:sectPr>
          <w:pgSz w:w="11900" w:h="16838" w:orient="portrait"/>
          <w:cols w:equalWidth="0" w:num="1">
            <w:col w:w="11420"/>
          </w:cols>
          <w:pgMar w:left="240" w:top="126"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6" w:right="239" w:bottom="1440" w:gutter="0" w:footer="0" w:header="0"/>
          <w:type w:val="continuous"/>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Patients who complete SARIL-RA-MOBILITY, SARIL-RA-TARGET, or SARIL-RA-ASCERTAIN are offered enrollment into the ongoing SARIL-RA-EXTEND, which is an open-label, long-term safety study of sarilumab.</w:t>
      </w:r>
    </w:p>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Non-infectious Uveitis</w:t>
      </w:r>
    </w:p>
    <w:p>
      <w:pPr>
        <w:spacing w:after="0" w:line="277"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Phase 2 SARIL-NIU-SATURN Study</w:t>
      </w:r>
      <w:r>
        <w:rPr>
          <w:rFonts w:ascii="Times New Roman" w:cs="Times New Roman" w:eastAsia="Times New Roman" w:hAnsi="Times New Roman"/>
          <w:sz w:val="18"/>
          <w:szCs w:val="18"/>
          <w:color w:val="auto"/>
        </w:rPr>
        <w:t>. A Phase 2 study, SARIL-NIU-SATURN, was initiated in the fourth quarter of 2013 and is a placebo-controlled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proof-of-concept study evaluating the safety and efficacy of sarilumab in non-infectious uveitis.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Alirocumab (REGN727; PCSK9 Antibody) for LDL cholesterol reduction</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that ultimately results in an increase in LDL receptors to increase the uptake of plasma LDL lipoproteins. PCSK9 is a secreted protein that plays a key role in modulating LDL cholesterol (LDL-C) levels in the body. PCSK9 binds to and induces the destruction of the LDL receptor, thereby interfering with cellular uptake and increasing circulating levels of LDL cholesterol. In a landmark study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March 2006, patients with lower than normal PCSK9 levels due to a genetic abnormality not only had significantly lower levels of LDL-C, but also a significant reduction in the risk of coronary heart disease. We used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generate a fully human monoclonal antibody inhibitor of PCSK9, called alirocumab, that is intended to lower LDL cholesterol.</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Clinical Programs</w:t>
      </w:r>
    </w:p>
    <w:p>
      <w:pPr>
        <w:spacing w:after="0" w:line="27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i w:val="1"/>
          <w:iCs w:val="1"/>
          <w:color w:val="auto"/>
        </w:rPr>
        <w:t>Phase 2 Studies</w:t>
      </w:r>
      <w:r>
        <w:rPr>
          <w:rFonts w:ascii="Times New Roman" w:cs="Times New Roman" w:eastAsia="Times New Roman" w:hAnsi="Times New Roman"/>
          <w:sz w:val="18"/>
          <w:szCs w:val="18"/>
          <w:color w:val="auto"/>
        </w:rPr>
        <w:t>. Alirocumab has been studied in three Phase 2 clinical studies, two in patients with primary hypercholesterolemia and one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heterozygous familial hypercholesterolemia (heFH). In the Phase 2 studies, alirocumab significantly reduced LDL-C from baseline up to 72% on top of standard of care statin therapy. In the Phase 2 program, injection site reactions were the most common AEs with alirocumab, and were rare. Rare cases of hypersensitivity reaction were also reported. SAEs were reported in 1.8% of patients in the active treatment arms and 2.6% of patients in the placebo groups.</w:t>
      </w:r>
    </w:p>
    <w:p>
      <w:pPr>
        <w:spacing w:after="0" w:line="18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the first quarter of 2014, the first Phase 2 study with alirocumab in Japanese patients met its primary endpoint. The results demonstrated that the mean LDL-C percentage reduction from baseline to week 12, the primary efficacy endpoint of the study, was significantly greater in patients randomized to receive one of three doses of alirocumab administered every other week (Q2W) - 150 mg, 75 mg, and 50 mg, in combination with statin therapy, compared to patients receiving placebo. At week 12, the mean percentage reduction in LDL-C from baseline in patients receiving alirocumab 50 mg Q2W was 55%, alirocumab 75 mg Q2W was 62% and alirocumab 150 mg Q2W was 72%, compared to 3% in the placebo group. TEAEs in this study were reported by 52% of patients in the alirocumab 50 mg group, 48% of patients in the 75 mg group, and 64% of patients in the 150 mg group, compared to 32% in the placebo group. The most frequently reported TEAEs were nasopharyngitis, injection site reaction, back pain, cystitis and ligament sprain.</w:t>
      </w:r>
    </w:p>
    <w:p>
      <w:pPr>
        <w:spacing w:after="0" w:line="18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Phase 3 ODYSSEY Program</w:t>
      </w:r>
      <w:r>
        <w:rPr>
          <w:rFonts w:ascii="Times New Roman" w:cs="Times New Roman" w:eastAsia="Times New Roman" w:hAnsi="Times New Roman"/>
          <w:sz w:val="18"/>
          <w:szCs w:val="18"/>
          <w:color w:val="auto"/>
        </w:rPr>
        <w:t>. We and Sanofi initiated the global Phase 3 ODYSSEY program for alirocumab in the second quarter of 2012.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ODYSSEY program is expected to enroll more than 23,500 patients. This includes eleven clinical trials evaluating the effect of alirocumab, dosed every two weeks, on lowering LDL cholesterol. In addition, the 18,000 patient ODYSSEY OUTCOMES trial, assessing reduction in serious cardiovascular events, is currently enrolling patients, while the other trials exploring every two week dosing in the ODYSSEY program are fully enrolled. LDL cholesterol reduction is expected to be the primary efficacy endpoint for initial regulatory filings. Additionally, the ODYSSEY program includes two trials of alirocumab dosed every four weeks, ODYSSEY CHOICE I, which was initiated in the fourth quarter of 2013, and ODYSSEY CHOICE II, which was initiated in the first quarter of 2014; both of these trials are fully enrolled. Patients in the ODYSSEY CHOICE I trial receive alirocumab 300 mg in combination with statins each month and patients in the CHOICE II trial receive alirocumab 150 mg monotherapy and in combination with non-statin lipid lowering therapy each month. The ODYSSEY studies are being conducted in clinical centers around the world including North America, Western and Eastern Europe, South America, Australia, and Asia.</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first trial to report data from the Phase 3 ODYSSEY program was the ODYSSEY MONO trial (in the fourth quarter of 2013), which evaluated the efficacy and safety of alirocumab monotherapy versus ezetimibe monotherapy in patients with primary hypercholesterolemia. The study achieved its primary efficacy endpoint and demonstrated that patients randomized to receive alirocumab monotherapy experienced a mean reduction in LDL-C levels of 47.2% from baseline to week 24, compared to 15.6% in patients receiving ezetimibe monotherapy (p&lt;0.0001). The percentage of patients who reported TEAEs was 78.4% in the ezetimibe group and 69.2% in the alirocumab group. The most common class of AEs was infections (39.2% with ezetimibe vs. 42.3% with alirocumab), which included nasopharyngitis, influenza, and upper respiratory tract infection. Injection-site reactions occurred in less than 2% of patients in both groups. Muscle-related AEs occurred in 3.9% of patients treated with ezetimibe and 3.8% of patients treated with alirocumab.</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6" w:right="239" w:bottom="1440" w:gutter="0" w:footer="0" w:header="0"/>
          <w:type w:val="continuous"/>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July 2014, we and Sanofi reported positive, top-line results from nine Phase 3 ODYSSEY studies. All nine studies (ODYSSEY LONG TERM, FH I, FH II, HIGH FH, COMBO I, COMBO II, OPTIONS I, OPTIONS II and ALTERNATIVE), met their primary efficacy endpoint of a greater percent reduction from baseline in LDL-C at 24 weeks compared to placebo or active comparator. In all nine studies, the mean percent reduction in LDL-C from baseline at 24 weeks in alirocumab-treated patients was consistent with results seen in previous alirocumab trials. All patients received alirocumab in addition to standard-of care lipid-lowering therapy, with the exception of some patients in ODYSSEY ALTERNATIVE. All trials included patients with LDL-C not at goal with or without a documented history of cardiovascular disease (CVD). The trials evaluated two distinct dosing regimens: 150 mg every two weeks or 75 mg every two weeks increasing to 150 mg if needed to reach protocol-specified LDL-C targets. A majority of patients in these trials were able to reach their LDL-C goals while remaining on the 75 mg dose. The 75 mg and the 150 mg dose was delivered with a single, self-administered one-milliliter (mL) injection.</w:t>
      </w:r>
    </w:p>
    <w:p>
      <w:pPr>
        <w:spacing w:after="0" w:line="23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2,341-patient ongoing ODYSSEY LONG TERM trial evaluated the long-term safety and efficacy of alirocumab compared to placebo. Both treatment groups received statins and some patients also received additional lipid-lowering therapies. The trial met its primary efficacy endpoint at 24 weeks. A pre-specified interim safety analysis was performed when all patients reached one year and approximately 25% of patients reached 18 months of treatment. A lower rate of adjudicated major cardiovascular events (cardiac death, myocardial infarction, stroke, and unstable angina requiring hospitalization) was observed in the alirocumab arm compared to placebo in a post-hoc analysis (p-value of less than 0.05). The potential of alirocumab to demonstrate cardiovascular benefit is being prospectively assessed in the ongoing 18,000-patient ODYSSEY OUTCOMES trial.</w:t>
      </w:r>
    </w:p>
    <w:p>
      <w:pPr>
        <w:spacing w:after="0" w:line="24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ODYSSEY ALTERNATIVE trial evaluated patients with a history of intolerance to two or more statins, who were randomized to receive alirocumab, ezetimibe or atorvastatin 20 mg (a calibrator arm). This trial met its primary efficacy endpoint of a greater percent reduction from baseline in LDL-C at 24 weeks with alirocumab compared to ezetimibe. In the ALTERNATIVE trial, rates of discontinuation due to AEs were 25.4% for atorvastatin, 24.8% for ezetimibe and 18.3% for alirocumab; these differences between treatment groups were not statistically significant.</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Alirocumab was generally well tolerated in the nine ODYSSEY trials. The most common AEs were nasopharyngitis and upper respiratory tract infection, which were generally balanced between treatment groups. Injection site reactions were more frequent in the alirocumab group compared to placebo. Serious AEs and deaths were generally balanced between treatment groups as were other key AEs including musculoskeletal, neurocognitive and liver-related events.</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July 2014, we and Sanofi also announced that the companies intend to use an FDA rare pediatric disease priority review voucher in connection with the planned BLA submission for alirocumab. The priority review voucher entitles the holder to designate a human drug application for priority review. The FDA's goal for reviewing a human drug application with priority review is to take action within 6 months instead of 10 months under standard review. We purchased the voucher from a third party, which had received it through the FDA’s Rare Pediatric Disease Priority Review Voucher Program. We and Sanofi will equally share the voucher’s purchase price of $67.5 million.</w:t>
      </w:r>
    </w:p>
    <w:p>
      <w:pPr>
        <w:spacing w:after="0" w:line="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Dupilumab (REGN668; IL-4R Antibody) for allergic and immune conditions</w:t>
      </w: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Overview</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and nasal polyposis. Dupilumab is a fully human monoclonal antibody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that is designed to bind to IL-4R alpha subunit and block signaling from both IL-4 and IL-13.</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Atopic Dermatitis</w:t>
      </w:r>
    </w:p>
    <w:p>
      <w:pPr>
        <w:spacing w:after="0" w:line="27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Phase 2a Trial. </w:t>
      </w:r>
      <w:r>
        <w:rPr>
          <w:rFonts w:ascii="Times New Roman" w:cs="Times New Roman" w:eastAsia="Times New Roman" w:hAnsi="Times New Roman"/>
          <w:sz w:val="18"/>
          <w:szCs w:val="18"/>
          <w:color w:val="auto"/>
        </w:rPr>
        <w:t>Data from four Phase 1 and Phase 2 studies of dupilumab in adults with moderate-to-severe atopic dermatitis, a severe chronic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eczema, were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July 2014. In the Phase 2a study of 109 patients with moderate-to-severe atopic dermatitis, dupilumab 300 mg administered weekly was associated with rapid and marked sustained improvements in several endpoints such as Eczema Severe Score Index (EASI), Scoring of Atopic Dermatitis (SCORAD), Investigator’s Global Assessment Score (IGA), baseline Body Surface Area (BSA), and pruritus. After 12 weeks of treatment, patients receiving dupilumab achieved statistically superior clinical outcomes compared to patients in the placebo group in all measures of disease activity and pruritus. There were notably fewer patients with skin infections associated with dupilumab treatment (5.5%), compared with placebo (24.1%). There were no infection related serious AEs or eczema herpeticum in the dupilumab group. In the placebo group, three patients with skin infections and four patients with atopic dermatitis exacerbations required hospitalization. The most common TEAEs were nasopharyngitis, headache, and conjunctivitis.</w:t>
      </w:r>
    </w:p>
    <w:p>
      <w:pPr>
        <w:spacing w:after="0" w:line="243" w:lineRule="exact"/>
        <w:rPr>
          <w:sz w:val="20"/>
          <w:szCs w:val="20"/>
          <w:color w:val="auto"/>
        </w:rPr>
      </w:pPr>
    </w:p>
    <w:p>
      <w:pPr>
        <w:jc w:val="both"/>
        <w:ind w:firstLine="243"/>
        <w:spacing w:after="0" w:line="284" w:lineRule="auto"/>
        <w:rPr>
          <w:sz w:val="20"/>
          <w:szCs w:val="20"/>
          <w:color w:val="auto"/>
        </w:rPr>
      </w:pPr>
      <w:r>
        <w:rPr>
          <w:rFonts w:ascii="Times New Roman" w:cs="Times New Roman" w:eastAsia="Times New Roman" w:hAnsi="Times New Roman"/>
          <w:sz w:val="18"/>
          <w:szCs w:val="18"/>
          <w:i w:val="1"/>
          <w:iCs w:val="1"/>
          <w:color w:val="auto"/>
        </w:rPr>
        <w:t>Phase 2b Trial</w:t>
      </w:r>
      <w:r>
        <w:rPr>
          <w:rFonts w:ascii="Times New Roman" w:cs="Times New Roman" w:eastAsia="Times New Roman" w:hAnsi="Times New Roman"/>
          <w:sz w:val="18"/>
          <w:szCs w:val="18"/>
          <w:color w:val="auto"/>
        </w:rPr>
        <w:t>. In the second quarter of 2013, a Phase 2b trial in atopic dermatitis was initiated. In July 2014, we and Sanofi announced positive results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Phase 2b dose-ranging study of dupilumab in adult patients with moderate-to-severe atopic</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dermatitis. All doses of dupilumab met the primary endpoint of a greater improvement in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 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4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Dupilumab-treated patients showed highly statistically significant and dose-dependent improvements in additional key efficacy measures compared to placebo after 16 weeks of treatment:</w:t>
      </w:r>
    </w:p>
    <w:p>
      <w:pPr>
        <w:spacing w:after="0" w:line="162" w:lineRule="exact"/>
        <w:rPr>
          <w:sz w:val="20"/>
          <w:szCs w:val="20"/>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to 33% of dupilumab-treated patients achieved clearing or near-clearing of skin lesions, as measured by an IGA score of 0 or 1, compared to 2% with placebo (p=0.02 to p&lt;0.0001).</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10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 atopic dermatitis at baseline. In the year preceding enrollment in the study, approximately 35% of patients received an oral corticosteroid and approximately 20% received a systemic non-steroid immunosuppressant for AD. Approximately 60% of patients had another allergic condition, including approximately 40% of patients who had a history of asthma. The follow-up period of the study is ongoing and patients will be followed for 16 weeks after treatment.</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Asthma</w:t>
      </w:r>
    </w:p>
    <w:p>
      <w:pPr>
        <w:spacing w:after="0" w:line="27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i w:val="1"/>
          <w:iCs w:val="1"/>
          <w:color w:val="auto"/>
        </w:rPr>
        <w:t>Phase 2a Trial</w:t>
      </w:r>
      <w:r>
        <w:rPr>
          <w:rFonts w:ascii="Times New Roman" w:cs="Times New Roman" w:eastAsia="Times New Roman" w:hAnsi="Times New Roman"/>
          <w:sz w:val="18"/>
          <w:szCs w:val="18"/>
          <w:color w:val="auto"/>
        </w:rPr>
        <w:t>. Data from a Phase 2a trial in asthma patients with elevated eosinophils were presented at the American Thoracic Society in May 2013,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were also published in the </w:t>
      </w:r>
      <w:r>
        <w:rPr>
          <w:rFonts w:ascii="Times New Roman" w:cs="Times New Roman" w:eastAsia="Times New Roman" w:hAnsi="Times New Roman"/>
          <w:sz w:val="18"/>
          <w:szCs w:val="18"/>
          <w:i w:val="1"/>
          <w:iCs w:val="1"/>
          <w:color w:val="auto"/>
        </w:rPr>
        <w:t>New England Journal of Medicine</w:t>
      </w:r>
      <w:r>
        <w:rPr>
          <w:rFonts w:ascii="Times New Roman" w:cs="Times New Roman" w:eastAsia="Times New Roman" w:hAnsi="Times New Roman"/>
          <w:sz w:val="18"/>
          <w:szCs w:val="18"/>
          <w:color w:val="auto"/>
        </w:rPr>
        <w:t xml:space="preserve"> in June 2013. In this study, patients receiving dupilumab at 300 mg weekly for 12 weeks experienced an 87% reduction in the incidence of asthma exacerbations compared to patients receiving placebo (p&lt;0.0001). Clinically meaningful and statistically significant improvements were observed for lung function and other asthma control parameters, such as forced expiratory volume over one second (FEV</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color w:val="auto"/>
        </w:rPr>
        <w:t>). TEAEs were reported by a similar proportion of patients in both treatment groups (76.9% placebo; 80.8% dupilumab). AEs were generally non-specific and of mild-to-moderate intensity. The most common AEs for placebo and dupilumab were injection-site reaction, nasopharyngitis, upper respiratory tract infection, headache, and nausea.</w:t>
      </w:r>
    </w:p>
    <w:p>
      <w:pPr>
        <w:spacing w:after="0" w:line="2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2b Trial</w:t>
      </w:r>
      <w:r>
        <w:rPr>
          <w:rFonts w:ascii="Times New Roman" w:cs="Times New Roman" w:eastAsia="Times New Roman" w:hAnsi="Times New Roman"/>
          <w:sz w:val="18"/>
          <w:szCs w:val="18"/>
          <w:color w:val="auto"/>
        </w:rPr>
        <w:t>. In the second quarter of 2013, a Phase 2b trial in asthma was initiated and is fully enrolled.</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Nasal Polyposis</w:t>
      </w:r>
    </w:p>
    <w:p>
      <w:pPr>
        <w:spacing w:after="0" w:line="2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Phase 2a Study</w:t>
      </w:r>
      <w:r>
        <w:rPr>
          <w:rFonts w:ascii="Times New Roman" w:cs="Times New Roman" w:eastAsia="Times New Roman" w:hAnsi="Times New Roman"/>
          <w:sz w:val="18"/>
          <w:szCs w:val="18"/>
          <w:color w:val="auto"/>
        </w:rPr>
        <w:t>. In the third quarter of 2013, a Phase 2a trial in nasal polyposis was initiated and is fully enrolled.</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Antibody-based Clinical Programs</w:t>
      </w:r>
    </w:p>
    <w:p>
      <w:pPr>
        <w:spacing w:after="0" w:line="2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Each of the antibodies in the table below was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478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Overview</w:t>
            </w:r>
          </w:p>
        </w:tc>
        <w:tc>
          <w:tcPr>
            <w:tcW w:w="456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Clinical Status</w:t>
            </w:r>
          </w:p>
        </w:tc>
      </w:tr>
      <w:tr>
        <w:trPr>
          <w:trHeight w:val="27"/>
        </w:trPr>
        <w:tc>
          <w:tcPr>
            <w:tcW w:w="1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14"/>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Enoticumab</w:t>
            </w: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many clinical settings, positively or negatively regulating</w:t>
            </w: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Phase 1 clinical development.</w:t>
            </w:r>
          </w:p>
        </w:tc>
      </w:tr>
      <w:tr>
        <w:trPr>
          <w:trHeight w:val="216"/>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(REGN421; Dll4</w:t>
            </w: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blood vessel growth could have important therapeutic</w:t>
            </w:r>
          </w:p>
        </w:tc>
        <w:tc>
          <w:tcPr>
            <w:tcW w:w="4560" w:type="dxa"/>
            <w:vAlign w:val="bottom"/>
            <w:shd w:val="clear" w:color="auto" w:fill="CCEEFF"/>
          </w:tcPr>
          <w:p>
            <w:pPr>
              <w:spacing w:after="0"/>
              <w:rPr>
                <w:sz w:val="18"/>
                <w:szCs w:val="18"/>
                <w:color w:val="auto"/>
              </w:rPr>
            </w:pPr>
          </w:p>
        </w:tc>
      </w:tr>
      <w:tr>
        <w:trPr>
          <w:trHeight w:val="216"/>
        </w:trPr>
        <w:tc>
          <w:tcPr>
            <w:tcW w:w="2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 for advanced</w:t>
            </w: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as could the repair of damaged and leaky vessels.</w:t>
            </w:r>
          </w:p>
        </w:tc>
        <w:tc>
          <w:tcPr>
            <w:tcW w:w="4560" w:type="dxa"/>
            <w:vAlign w:val="bottom"/>
            <w:shd w:val="clear" w:color="auto" w:fill="CCEEFF"/>
          </w:tcPr>
          <w:p>
            <w:pPr>
              <w:spacing w:after="0"/>
              <w:rPr>
                <w:sz w:val="18"/>
                <w:szCs w:val="18"/>
                <w:color w:val="auto"/>
              </w:rPr>
            </w:pPr>
          </w:p>
        </w:tc>
      </w:tr>
      <w:tr>
        <w:trPr>
          <w:trHeight w:val="220"/>
        </w:trPr>
        <w:tc>
          <w:tcPr>
            <w:tcW w:w="2080" w:type="dxa"/>
            <w:vAlign w:val="bottom"/>
            <w:gridSpan w:val="2"/>
            <w:shd w:val="clear" w:color="auto" w:fill="CCEEFF"/>
          </w:tcPr>
          <w:p>
            <w:pPr>
              <w:ind w:left="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malignancies</w:t>
            </w:r>
            <w:r>
              <w:rPr>
                <w:rFonts w:ascii="Times New Roman" w:cs="Times New Roman" w:eastAsia="Times New Roman" w:hAnsi="Times New Roman"/>
                <w:sz w:val="25"/>
                <w:szCs w:val="25"/>
                <w:b w:val="1"/>
                <w:bCs w:val="1"/>
                <w:i w:val="1"/>
                <w:iCs w:val="1"/>
                <w:color w:val="auto"/>
                <w:vertAlign w:val="superscript"/>
              </w:rPr>
              <w:t>**</w:t>
            </w: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VEGF was the first growth factor shown to be specific for</w:t>
            </w:r>
          </w:p>
        </w:tc>
        <w:tc>
          <w:tcPr>
            <w:tcW w:w="4560" w:type="dxa"/>
            <w:vAlign w:val="bottom"/>
            <w:shd w:val="clear" w:color="auto" w:fill="CCEEFF"/>
          </w:tcPr>
          <w:p>
            <w:pPr>
              <w:spacing w:after="0"/>
              <w:rPr>
                <w:sz w:val="19"/>
                <w:szCs w:val="19"/>
                <w:color w:val="auto"/>
              </w:rPr>
            </w:pPr>
          </w:p>
        </w:tc>
      </w:tr>
      <w:tr>
        <w:trPr>
          <w:trHeight w:val="216"/>
        </w:trPr>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blood vessels, by virtue of having its receptor primarily</w:t>
            </w:r>
          </w:p>
        </w:tc>
        <w:tc>
          <w:tcPr>
            <w:tcW w:w="4560" w:type="dxa"/>
            <w:vAlign w:val="bottom"/>
            <w:shd w:val="clear" w:color="auto" w:fill="CCEEFF"/>
          </w:tcPr>
          <w:p>
            <w:pPr>
              <w:spacing w:after="0"/>
              <w:rPr>
                <w:sz w:val="18"/>
                <w:szCs w:val="18"/>
                <w:color w:val="auto"/>
              </w:rPr>
            </w:pPr>
          </w:p>
        </w:tc>
      </w:tr>
      <w:tr>
        <w:trPr>
          <w:trHeight w:val="216"/>
        </w:trPr>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expressed on blood vessel cells. Enoticumab is a fully human</w:t>
            </w:r>
          </w:p>
        </w:tc>
        <w:tc>
          <w:tcPr>
            <w:tcW w:w="4560" w:type="dxa"/>
            <w:vAlign w:val="bottom"/>
            <w:shd w:val="clear" w:color="auto" w:fill="CCEEFF"/>
          </w:tcPr>
          <w:p>
            <w:pPr>
              <w:spacing w:after="0"/>
              <w:rPr>
                <w:sz w:val="18"/>
                <w:szCs w:val="18"/>
                <w:color w:val="auto"/>
              </w:rPr>
            </w:pPr>
          </w:p>
        </w:tc>
      </w:tr>
      <w:tr>
        <w:trPr>
          <w:trHeight w:val="234"/>
        </w:trPr>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monoclonal antibody to Dll4.</w:t>
            </w:r>
          </w:p>
        </w:tc>
        <w:tc>
          <w:tcPr>
            <w:tcW w:w="4560" w:type="dxa"/>
            <w:vAlign w:val="bottom"/>
            <w:shd w:val="clear" w:color="auto" w:fill="CCEEFF"/>
          </w:tcPr>
          <w:p>
            <w:pPr>
              <w:spacing w:after="0"/>
              <w:rPr>
                <w:sz w:val="20"/>
                <w:szCs w:val="20"/>
                <w:color w:val="auto"/>
              </w:rPr>
            </w:pPr>
          </w:p>
        </w:tc>
      </w:tr>
      <w:tr>
        <w:trPr>
          <w:trHeight w:val="414"/>
        </w:trPr>
        <w:tc>
          <w:tcPr>
            <w:tcW w:w="1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July 2014, Sanofi elected not to continue co-development</w:t>
            </w:r>
          </w:p>
        </w:tc>
        <w:tc>
          <w:tcPr>
            <w:tcW w:w="4560" w:type="dxa"/>
            <w:vAlign w:val="bottom"/>
            <w:shd w:val="clear" w:color="auto" w:fill="CCEEFF"/>
          </w:tcPr>
          <w:p>
            <w:pPr>
              <w:spacing w:after="0"/>
              <w:rPr>
                <w:sz w:val="24"/>
                <w:szCs w:val="24"/>
                <w:color w:val="auto"/>
              </w:rPr>
            </w:pPr>
          </w:p>
        </w:tc>
      </w:tr>
      <w:tr>
        <w:trPr>
          <w:trHeight w:val="234"/>
        </w:trPr>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enoticumab, and we have sole global rights.</w:t>
            </w:r>
          </w:p>
        </w:tc>
        <w:tc>
          <w:tcPr>
            <w:tcW w:w="4560" w:type="dxa"/>
            <w:vAlign w:val="bottom"/>
            <w:shd w:val="clear" w:color="auto" w:fill="CCEEFF"/>
          </w:tcPr>
          <w:p>
            <w:pPr>
              <w:spacing w:after="0"/>
              <w:rPr>
                <w:sz w:val="20"/>
                <w:szCs w:val="20"/>
                <w:color w:val="auto"/>
              </w:rPr>
            </w:pPr>
          </w:p>
        </w:tc>
      </w:tr>
      <w:tr>
        <w:trPr>
          <w:trHeight w:val="27"/>
        </w:trPr>
        <w:tc>
          <w:tcPr>
            <w:tcW w:w="1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560" w:type="dxa"/>
            <w:vAlign w:val="bottom"/>
            <w:shd w:val="clear" w:color="auto" w:fill="CCEEFF"/>
          </w:tcPr>
          <w:p>
            <w:pPr>
              <w:spacing w:after="0"/>
              <w:rPr>
                <w:sz w:val="2"/>
                <w:szCs w:val="2"/>
                <w:color w:val="auto"/>
              </w:rPr>
            </w:pPr>
          </w:p>
        </w:tc>
      </w:tr>
    </w:tbl>
    <w:p>
      <w:pPr>
        <w:spacing w:after="0" w:line="5" w:lineRule="exact"/>
        <w:rPr>
          <w:sz w:val="20"/>
          <w:szCs w:val="20"/>
          <w:color w:val="auto"/>
        </w:rPr>
      </w:pPr>
    </w:p>
    <w:p>
      <w:pPr>
        <w:sectPr>
          <w:pgSz w:w="11900" w:h="16838" w:orient="portrait"/>
          <w:cols w:equalWidth="0" w:num="1">
            <w:col w:w="11420"/>
          </w:cols>
          <w:pgMar w:left="240" w:top="126" w:right="239" w:bottom="1440" w:gutter="0" w:footer="0" w:header="0"/>
        </w:sect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Nesvacumab</w:t>
      </w:r>
      <w:r>
        <w:rPr>
          <w:sz w:val="20"/>
          <w:szCs w:val="20"/>
          <w:color w:val="auto"/>
        </w:rPr>
        <w:tab/>
      </w:r>
      <w:r>
        <w:rPr>
          <w:rFonts w:ascii="Times New Roman" w:cs="Times New Roman" w:eastAsia="Times New Roman" w:hAnsi="Times New Roman"/>
          <w:sz w:val="18"/>
          <w:szCs w:val="18"/>
          <w:color w:val="auto"/>
        </w:rPr>
        <w:t>The angiopoietins, which were discovered at Regeneron, are</w:t>
      </w:r>
    </w:p>
    <w:p>
      <w:pPr>
        <w:spacing w:after="0" w:line="31"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(REGN910; Ang2</w:t>
      </w:r>
      <w:r>
        <w:rPr>
          <w:sz w:val="20"/>
          <w:szCs w:val="20"/>
          <w:color w:val="auto"/>
        </w:rPr>
        <w:tab/>
      </w:r>
      <w:r>
        <w:rPr>
          <w:rFonts w:ascii="Times New Roman" w:cs="Times New Roman" w:eastAsia="Times New Roman" w:hAnsi="Times New Roman"/>
          <w:sz w:val="17"/>
          <w:szCs w:val="17"/>
          <w:color w:val="auto"/>
        </w:rPr>
        <w:t>ligands for the endothelial cell receptor Tie2 and are essential</w:t>
      </w: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Antibody) for oncology</w:t>
      </w:r>
      <w:r>
        <w:rPr>
          <w:rFonts w:ascii="Times New Roman" w:cs="Times New Roman" w:eastAsia="Times New Roman" w:hAnsi="Times New Roman"/>
          <w:sz w:val="25"/>
          <w:szCs w:val="25"/>
          <w:b w:val="1"/>
          <w:bCs w:val="1"/>
          <w:i w:val="1"/>
          <w:iCs w:val="1"/>
          <w:color w:val="auto"/>
          <w:vertAlign w:val="superscript"/>
        </w:rPr>
        <w:t>*</w:t>
      </w:r>
      <w:r>
        <w:rPr>
          <w:sz w:val="20"/>
          <w:szCs w:val="20"/>
          <w:color w:val="auto"/>
        </w:rPr>
        <w:tab/>
      </w:r>
      <w:r>
        <w:rPr>
          <w:rFonts w:ascii="Times New Roman" w:cs="Times New Roman" w:eastAsia="Times New Roman" w:hAnsi="Times New Roman"/>
          <w:sz w:val="17"/>
          <w:szCs w:val="17"/>
          <w:color w:val="auto"/>
        </w:rPr>
        <w:t>for vascular development and angiogenesis. Unlike other</w:t>
      </w: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(on partial clinical</w:t>
      </w:r>
      <w:r>
        <w:rPr>
          <w:sz w:val="20"/>
          <w:szCs w:val="20"/>
          <w:color w:val="auto"/>
        </w:rPr>
        <w:tab/>
      </w:r>
      <w:r>
        <w:rPr>
          <w:rFonts w:ascii="Times New Roman" w:cs="Times New Roman" w:eastAsia="Times New Roman" w:hAnsi="Times New Roman"/>
          <w:sz w:val="18"/>
          <w:szCs w:val="18"/>
          <w:color w:val="auto"/>
        </w:rPr>
        <w:t>family members, Ang2 is strongly upregulated by endothelial</w:t>
      </w:r>
    </w:p>
    <w:p>
      <w:pPr>
        <w:spacing w:after="0" w:line="7" w:lineRule="exact"/>
        <w:rPr>
          <w:sz w:val="20"/>
          <w:szCs w:val="20"/>
          <w:color w:val="auto"/>
        </w:r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hold)</w:t>
      </w:r>
      <w:r>
        <w:rPr>
          <w:sz w:val="20"/>
          <w:szCs w:val="20"/>
          <w:color w:val="auto"/>
        </w:rPr>
        <w:tab/>
      </w:r>
      <w:r>
        <w:rPr>
          <w:rFonts w:ascii="Times New Roman" w:cs="Times New Roman" w:eastAsia="Times New Roman" w:hAnsi="Times New Roman"/>
          <w:sz w:val="18"/>
          <w:szCs w:val="18"/>
          <w:color w:val="auto"/>
        </w:rPr>
        <w:t>cells at sites of angiogenesis and vascular remodeling,</w:t>
      </w:r>
    </w:p>
    <w:p>
      <w:pPr>
        <w:spacing w:after="0" w:line="9" w:lineRule="exact"/>
        <w:rPr>
          <w:sz w:val="20"/>
          <w:szCs w:val="20"/>
          <w:color w:val="auto"/>
        </w:rPr>
      </w:pPr>
    </w:p>
    <w:p>
      <w:pPr>
        <w:ind w:left="2100" w:right="220"/>
        <w:spacing w:after="0" w:line="254" w:lineRule="auto"/>
        <w:rPr>
          <w:sz w:val="20"/>
          <w:szCs w:val="20"/>
          <w:color w:val="auto"/>
        </w:rPr>
      </w:pPr>
      <w:r>
        <w:rPr>
          <w:rFonts w:ascii="Times New Roman" w:cs="Times New Roman" w:eastAsia="Times New Roman" w:hAnsi="Times New Roman"/>
          <w:sz w:val="18"/>
          <w:szCs w:val="18"/>
          <w:color w:val="auto"/>
        </w:rPr>
        <w:t>including tumors. Enhanced anti-tumor effects have been observed in preclinical models with combined blockade of both VEGF and Ang2. Nesvacumab is a fully human monoclonal antibody that is designed to block Ang2.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313" w:lineRule="auto"/>
        <w:rPr>
          <w:sz w:val="20"/>
          <w:szCs w:val="20"/>
          <w:color w:val="auto"/>
        </w:rPr>
      </w:pPr>
      <w:r>
        <w:rPr>
          <w:rFonts w:ascii="Times New Roman" w:cs="Times New Roman" w:eastAsia="Times New Roman" w:hAnsi="Times New Roman"/>
          <w:sz w:val="17"/>
          <w:szCs w:val="17"/>
          <w:color w:val="auto"/>
        </w:rPr>
        <w:t>In Phase 1 clinical development in oncology. Currently on partial clinical hold by the FDA for systemic use in oncology.</w:t>
      </w:r>
    </w:p>
    <w:p>
      <w:pPr>
        <w:spacing w:after="0" w:line="1485" w:lineRule="exact"/>
        <w:rPr>
          <w:sz w:val="20"/>
          <w:szCs w:val="20"/>
          <w:color w:val="auto"/>
        </w:rPr>
      </w:pPr>
    </w:p>
    <w:p>
      <w:pPr>
        <w:sectPr>
          <w:pgSz w:w="11900" w:h="16838" w:orient="portrait"/>
          <w:cols w:equalWidth="0" w:num="2">
            <w:col w:w="6540" w:space="340"/>
            <w:col w:w="4540"/>
          </w:cols>
          <w:pgMar w:left="240" w:top="126" w:right="239" w:bottom="1440" w:gutter="0" w:footer="0" w:header="0"/>
          <w:type w:val="continuous"/>
        </w:sect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REGN1033 (GDF8</w:t>
      </w:r>
      <w:r>
        <w:rPr>
          <w:sz w:val="20"/>
          <w:szCs w:val="20"/>
          <w:color w:val="auto"/>
        </w:rPr>
        <w:tab/>
      </w:r>
      <w:r>
        <w:rPr>
          <w:rFonts w:ascii="Times New Roman" w:cs="Times New Roman" w:eastAsia="Times New Roman" w:hAnsi="Times New Roman"/>
          <w:sz w:val="18"/>
          <w:szCs w:val="18"/>
          <w:color w:val="auto"/>
        </w:rPr>
        <w:t>REGN1033 is a fully human monoclonal antibody to GDF8.</w:t>
      </w: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Antibody)</w:t>
      </w:r>
      <w:r>
        <w:rPr>
          <w:rFonts w:ascii="Times New Roman" w:cs="Times New Roman" w:eastAsia="Times New Roman" w:hAnsi="Times New Roman"/>
          <w:sz w:val="25"/>
          <w:szCs w:val="25"/>
          <w:b w:val="1"/>
          <w:bCs w:val="1"/>
          <w:i w:val="1"/>
          <w:iCs w:val="1"/>
          <w:color w:val="auto"/>
          <w:vertAlign w:val="superscript"/>
        </w:rPr>
        <w:t>*</w:t>
      </w:r>
      <w:r>
        <w:rPr>
          <w:sz w:val="20"/>
          <w:szCs w:val="20"/>
          <w:color w:val="auto"/>
        </w:rPr>
        <w:tab/>
      </w:r>
      <w:r>
        <w:rPr>
          <w:rFonts w:ascii="Times New Roman" w:cs="Times New Roman" w:eastAsia="Times New Roman" w:hAnsi="Times New Roman"/>
          <w:sz w:val="18"/>
          <w:szCs w:val="18"/>
          <w:color w:val="auto"/>
        </w:rPr>
        <w:t>Myostatin has been validated as a target to increase muscle</w:t>
      </w:r>
    </w:p>
    <w:p>
      <w:pPr>
        <w:ind w:left="2100"/>
        <w:spacing w:after="0" w:line="259" w:lineRule="auto"/>
        <w:rPr>
          <w:sz w:val="20"/>
          <w:szCs w:val="20"/>
          <w:color w:val="auto"/>
        </w:rPr>
      </w:pPr>
      <w:r>
        <w:rPr>
          <w:rFonts w:ascii="Times New Roman" w:cs="Times New Roman" w:eastAsia="Times New Roman" w:hAnsi="Times New Roman"/>
          <w:sz w:val="18"/>
          <w:szCs w:val="18"/>
          <w:color w:val="auto"/>
        </w:rPr>
        <w:t>mass and strength through genetic mutations in both animals and humans that abrogate its bioactivity.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 Phase 2 clinical development.</w:t>
      </w:r>
    </w:p>
    <w:p>
      <w:pPr>
        <w:spacing w:after="0" w:line="704" w:lineRule="exact"/>
        <w:rPr>
          <w:sz w:val="20"/>
          <w:szCs w:val="20"/>
          <w:color w:val="auto"/>
        </w:rPr>
      </w:pPr>
    </w:p>
    <w:p>
      <w:pPr>
        <w:sectPr>
          <w:pgSz w:w="11900" w:h="16838" w:orient="portrait"/>
          <w:cols w:equalWidth="0" w:num="2">
            <w:col w:w="6480" w:space="400"/>
            <w:col w:w="4540"/>
          </w:cols>
          <w:pgMar w:left="240" w:top="126" w:right="239" w:bottom="1440" w:gutter="0" w:footer="0" w:header="0"/>
          <w:type w:val="continuous"/>
        </w:sect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REGN2222</w:t>
      </w:r>
      <w:r>
        <w:rPr>
          <w:rFonts w:ascii="Times New Roman" w:cs="Times New Roman" w:eastAsia="Times New Roman" w:hAnsi="Times New Roman"/>
          <w:sz w:val="25"/>
          <w:szCs w:val="25"/>
          <w:b w:val="1"/>
          <w:bCs w:val="1"/>
          <w:i w:val="1"/>
          <w:iCs w:val="1"/>
          <w:color w:val="auto"/>
          <w:vertAlign w:val="superscript"/>
        </w:rPr>
        <w:t>*</w:t>
      </w:r>
      <w:r>
        <w:rPr>
          <w:sz w:val="20"/>
          <w:szCs w:val="20"/>
          <w:color w:val="auto"/>
        </w:rPr>
        <w:tab/>
      </w:r>
      <w:r>
        <w:rPr>
          <w:rFonts w:ascii="Times New Roman" w:cs="Times New Roman" w:eastAsia="Times New Roman" w:hAnsi="Times New Roman"/>
          <w:sz w:val="17"/>
          <w:szCs w:val="17"/>
          <w:color w:val="auto"/>
        </w:rPr>
        <w:t>REGN 2222 is a fully human monoclonal antibody against an</w:t>
      </w:r>
    </w:p>
    <w:p>
      <w:pPr>
        <w:ind w:left="2100"/>
        <w:spacing w:after="0"/>
        <w:rPr>
          <w:sz w:val="20"/>
          <w:szCs w:val="20"/>
          <w:color w:val="auto"/>
        </w:rPr>
      </w:pPr>
      <w:r>
        <w:rPr>
          <w:rFonts w:ascii="Times New Roman" w:cs="Times New Roman" w:eastAsia="Times New Roman" w:hAnsi="Times New Roman"/>
          <w:sz w:val="18"/>
          <w:szCs w:val="18"/>
          <w:color w:val="auto"/>
        </w:rPr>
        <w:t>undisclosed target.</w:t>
      </w:r>
    </w:p>
    <w:p>
      <w:pPr>
        <w:spacing w:after="0" w:line="20" w:lineRule="exact"/>
        <w:rPr>
          <w:sz w:val="20"/>
          <w:szCs w:val="20"/>
          <w:color w:val="auto"/>
        </w:rPr>
      </w:pPr>
      <w:r>
        <w:rPr>
          <w:sz w:val="20"/>
          <w:szCs w:val="20"/>
          <w:color w:val="auto"/>
        </w:rPr>
        <w:br w:type="column"/>
      </w:r>
    </w:p>
    <w:p>
      <w:pPr>
        <w:ind w:right="180"/>
        <w:spacing w:after="0" w:line="276" w:lineRule="auto"/>
        <w:rPr>
          <w:sz w:val="20"/>
          <w:szCs w:val="20"/>
          <w:color w:val="auto"/>
        </w:rPr>
      </w:pPr>
      <w:r>
        <w:rPr>
          <w:rFonts w:ascii="Times New Roman" w:cs="Times New Roman" w:eastAsia="Times New Roman" w:hAnsi="Times New Roman"/>
          <w:sz w:val="18"/>
          <w:szCs w:val="18"/>
          <w:color w:val="auto"/>
        </w:rPr>
        <w:t>In the second quarter of 2014, we initiated a Phase 1 clinical study.</w:t>
      </w:r>
    </w:p>
    <w:p>
      <w:pPr>
        <w:spacing w:after="0" w:line="1" w:lineRule="exact"/>
        <w:rPr>
          <w:sz w:val="20"/>
          <w:szCs w:val="20"/>
          <w:color w:val="auto"/>
        </w:rPr>
      </w:pPr>
    </w:p>
    <w:p>
      <w:pPr>
        <w:sectPr>
          <w:pgSz w:w="11900" w:h="16838" w:orient="portrait"/>
          <w:cols w:equalWidth="0" w:num="2">
            <w:col w:w="6540" w:space="340"/>
            <w:col w:w="454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REGN1400</w:t>
            </w: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REGN1400 is a fully human monoclonal antibody against</w:t>
            </w: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Phase 1 clinical development.</w:t>
            </w:r>
          </w:p>
        </w:tc>
      </w:tr>
      <w:tr>
        <w:trPr>
          <w:trHeight w:val="216"/>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(ErbB3 Antibody) for</w:t>
            </w: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ErbB3.</w:t>
            </w:r>
          </w:p>
        </w:tc>
        <w:tc>
          <w:tcPr>
            <w:tcW w:w="4720" w:type="dxa"/>
            <w:vAlign w:val="bottom"/>
            <w:shd w:val="clear" w:color="auto" w:fill="CCEEFF"/>
          </w:tcPr>
          <w:p>
            <w:pPr>
              <w:spacing w:after="0"/>
              <w:rPr>
                <w:sz w:val="18"/>
                <w:szCs w:val="18"/>
                <w:color w:val="auto"/>
              </w:rPr>
            </w:pPr>
          </w:p>
        </w:tc>
      </w:tr>
      <w:tr>
        <w:trPr>
          <w:trHeight w:val="245"/>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tc>
        <w:tc>
          <w:tcPr>
            <w:tcW w:w="48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1"/>
                <w:szCs w:val="21"/>
                <w:color w:val="auto"/>
              </w:rPr>
            </w:pPr>
          </w:p>
        </w:tc>
      </w:tr>
      <w:tr>
        <w:trPr>
          <w:trHeight w:val="225"/>
        </w:trPr>
        <w:tc>
          <w:tcPr>
            <w:tcW w:w="1860" w:type="dxa"/>
            <w:vAlign w:val="bottom"/>
          </w:tcPr>
          <w:p>
            <w:pPr>
              <w:ind w:left="40"/>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REGN1154</w:t>
            </w:r>
            <w:r>
              <w:rPr>
                <w:rFonts w:ascii="Times New Roman" w:cs="Times New Roman" w:eastAsia="Times New Roman" w:hAnsi="Times New Roman"/>
                <w:sz w:val="25"/>
                <w:szCs w:val="25"/>
                <w:b w:val="1"/>
                <w:bCs w:val="1"/>
                <w:i w:val="1"/>
                <w:iCs w:val="1"/>
                <w:color w:val="auto"/>
                <w:vertAlign w:val="superscript"/>
              </w:rPr>
              <w:t>**</w:t>
            </w:r>
          </w:p>
        </w:tc>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REGN1154 is a fully human monoclonal antibody against an</w:t>
            </w: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Our Phase 1 clinical study in Australia has been completed.</w:t>
            </w:r>
          </w:p>
        </w:tc>
      </w:tr>
      <w:tr>
        <w:trPr>
          <w:trHeight w:val="234"/>
        </w:trPr>
        <w:tc>
          <w:tcPr>
            <w:tcW w:w="1860" w:type="dxa"/>
            <w:vAlign w:val="bottom"/>
          </w:tcPr>
          <w:p>
            <w:pPr>
              <w:spacing w:after="0"/>
              <w:rPr>
                <w:sz w:val="20"/>
                <w:szCs w:val="20"/>
                <w:color w:val="auto"/>
              </w:rPr>
            </w:pPr>
          </w:p>
        </w:tc>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undisclosed target.</w:t>
            </w:r>
          </w:p>
        </w:tc>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are currently evaluating next steps for this program.</w:t>
            </w:r>
          </w:p>
        </w:tc>
      </w:tr>
      <w:tr>
        <w:trPr>
          <w:trHeight w:val="27"/>
        </w:trPr>
        <w:tc>
          <w:tcPr>
            <w:tcW w:w="18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25"/>
        </w:trPr>
        <w:tc>
          <w:tcPr>
            <w:tcW w:w="1860" w:type="dxa"/>
            <w:vAlign w:val="bottom"/>
            <w:shd w:val="clear" w:color="auto" w:fill="CCEEFF"/>
          </w:tcPr>
          <w:p>
            <w:pPr>
              <w:ind w:left="40"/>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REGN1500</w:t>
            </w:r>
            <w:r>
              <w:rPr>
                <w:rFonts w:ascii="Times New Roman" w:cs="Times New Roman" w:eastAsia="Times New Roman" w:hAnsi="Times New Roman"/>
                <w:sz w:val="25"/>
                <w:szCs w:val="25"/>
                <w:b w:val="1"/>
                <w:bCs w:val="1"/>
                <w:i w:val="1"/>
                <w:iCs w:val="1"/>
                <w:color w:val="auto"/>
                <w:vertAlign w:val="superscript"/>
              </w:rPr>
              <w:t>**</w:t>
            </w: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REGN1500 is a fully human monoclonal antibody against an</w:t>
            </w:r>
          </w:p>
        </w:tc>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Phase 1 clinical development.</w:t>
            </w:r>
          </w:p>
        </w:tc>
      </w:tr>
      <w:tr>
        <w:trPr>
          <w:trHeight w:val="234"/>
        </w:trPr>
        <w:tc>
          <w:tcPr>
            <w:tcW w:w="1860" w:type="dxa"/>
            <w:vAlign w:val="bottom"/>
            <w:shd w:val="clear" w:color="auto" w:fill="CCEEFF"/>
          </w:tcPr>
          <w:p>
            <w:pPr>
              <w:spacing w:after="0"/>
              <w:rPr>
                <w:sz w:val="20"/>
                <w:szCs w:val="20"/>
                <w:color w:val="auto"/>
              </w:rPr>
            </w:pPr>
          </w:p>
        </w:tc>
        <w:tc>
          <w:tcPr>
            <w:tcW w:w="4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undisclosed target.</w:t>
            </w:r>
          </w:p>
        </w:tc>
        <w:tc>
          <w:tcPr>
            <w:tcW w:w="4720" w:type="dxa"/>
            <w:vAlign w:val="bottom"/>
            <w:shd w:val="clear" w:color="auto" w:fill="CCEEFF"/>
          </w:tcPr>
          <w:p>
            <w:pPr>
              <w:spacing w:after="0"/>
              <w:rPr>
                <w:sz w:val="20"/>
                <w:szCs w:val="20"/>
                <w:color w:val="auto"/>
              </w:rPr>
            </w:pPr>
          </w:p>
        </w:tc>
      </w:tr>
      <w:tr>
        <w:trPr>
          <w:trHeight w:val="27"/>
        </w:trPr>
        <w:tc>
          <w:tcPr>
            <w:tcW w:w="186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472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REGN1193</w:t>
      </w:r>
      <w:r>
        <w:rPr>
          <w:rFonts w:ascii="Times New Roman" w:cs="Times New Roman" w:eastAsia="Times New Roman" w:hAnsi="Times New Roman"/>
          <w:sz w:val="25"/>
          <w:szCs w:val="25"/>
          <w:b w:val="1"/>
          <w:bCs w:val="1"/>
          <w:i w:val="1"/>
          <w:iCs w:val="1"/>
          <w:color w:val="auto"/>
          <w:vertAlign w:val="superscript"/>
        </w:rPr>
        <w:t>**</w:t>
      </w:r>
      <w:r>
        <w:rPr>
          <w:sz w:val="20"/>
          <w:szCs w:val="20"/>
          <w:color w:val="auto"/>
        </w:rPr>
        <w:tab/>
      </w:r>
      <w:r>
        <w:rPr>
          <w:rFonts w:ascii="Times New Roman" w:cs="Times New Roman" w:eastAsia="Times New Roman" w:hAnsi="Times New Roman"/>
          <w:sz w:val="17"/>
          <w:szCs w:val="17"/>
          <w:color w:val="auto"/>
        </w:rPr>
        <w:t>REGN1193 is a fully human monoclonal antibody against an</w:t>
      </w:r>
    </w:p>
    <w:p>
      <w:pPr>
        <w:ind w:left="2100"/>
        <w:spacing w:after="0"/>
        <w:rPr>
          <w:sz w:val="20"/>
          <w:szCs w:val="20"/>
          <w:color w:val="auto"/>
        </w:rPr>
      </w:pPr>
      <w:r>
        <w:rPr>
          <w:rFonts w:ascii="Times New Roman" w:cs="Times New Roman" w:eastAsia="Times New Roman" w:hAnsi="Times New Roman"/>
          <w:sz w:val="18"/>
          <w:szCs w:val="18"/>
          <w:color w:val="auto"/>
        </w:rPr>
        <w:t>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 Phase 1 clinical development.</w:t>
      </w:r>
    </w:p>
    <w:p>
      <w:pPr>
        <w:spacing w:after="0" w:line="248" w:lineRule="exact"/>
        <w:rPr>
          <w:sz w:val="20"/>
          <w:szCs w:val="20"/>
          <w:color w:val="auto"/>
        </w:rPr>
      </w:pPr>
    </w:p>
    <w:p>
      <w:pPr>
        <w:sectPr>
          <w:pgSz w:w="11900" w:h="16838" w:orient="portrait"/>
          <w:cols w:equalWidth="0" w:num="2">
            <w:col w:w="6500" w:space="380"/>
            <w:col w:w="4540"/>
          </w:cols>
          <w:pgMar w:left="240" w:top="126" w:right="239" w:bottom="1440" w:gutter="0" w:footer="0" w:header="0"/>
          <w:type w:val="continuous"/>
        </w:sectPr>
      </w:pPr>
    </w:p>
    <w:p>
      <w:pPr>
        <w:ind w:left="40"/>
        <w:spacing w:after="0"/>
        <w:tabs>
          <w:tab w:leader="none" w:pos="2080" w:val="left"/>
        </w:tabs>
        <w:rPr>
          <w:sz w:val="20"/>
          <w:szCs w:val="20"/>
          <w:color w:val="auto"/>
        </w:rPr>
      </w:pPr>
      <w:r>
        <w:rPr>
          <w:rFonts w:ascii="Times New Roman" w:cs="Times New Roman" w:eastAsia="Times New Roman" w:hAnsi="Times New Roman"/>
          <w:sz w:val="18"/>
          <w:szCs w:val="18"/>
          <w:b w:val="1"/>
          <w:bCs w:val="1"/>
          <w:i w:val="1"/>
          <w:iCs w:val="1"/>
          <w:color w:val="auto"/>
        </w:rPr>
        <w:t>REGN1908-1909</w:t>
      </w:r>
      <w:r>
        <w:rPr>
          <w:rFonts w:ascii="Times New Roman" w:cs="Times New Roman" w:eastAsia="Times New Roman" w:hAnsi="Times New Roman"/>
          <w:sz w:val="25"/>
          <w:szCs w:val="25"/>
          <w:b w:val="1"/>
          <w:bCs w:val="1"/>
          <w:i w:val="1"/>
          <w:iCs w:val="1"/>
          <w:color w:val="auto"/>
          <w:vertAlign w:val="superscript"/>
        </w:rPr>
        <w:t>**</w:t>
      </w:r>
      <w:r>
        <w:rPr>
          <w:sz w:val="20"/>
          <w:szCs w:val="20"/>
          <w:color w:val="auto"/>
        </w:rPr>
        <w:tab/>
      </w:r>
      <w:r>
        <w:rPr>
          <w:rFonts w:ascii="Times New Roman" w:cs="Times New Roman" w:eastAsia="Times New Roman" w:hAnsi="Times New Roman"/>
          <w:sz w:val="18"/>
          <w:szCs w:val="18"/>
          <w:color w:val="auto"/>
        </w:rPr>
        <w:t>REGN1908-1909 is a fully human monoclonal antibody</w:t>
      </w:r>
    </w:p>
    <w:p>
      <w:pPr>
        <w:ind w:left="2100"/>
        <w:spacing w:after="0"/>
        <w:rPr>
          <w:sz w:val="20"/>
          <w:szCs w:val="20"/>
          <w:color w:val="auto"/>
        </w:rPr>
      </w:pPr>
      <w:r>
        <w:rPr>
          <w:rFonts w:ascii="Times New Roman" w:cs="Times New Roman" w:eastAsia="Times New Roman" w:hAnsi="Times New Roman"/>
          <w:sz w:val="18"/>
          <w:szCs w:val="18"/>
          <w:color w:val="auto"/>
        </w:rPr>
        <w:t>combination against an undisclosed target.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Phase 1 clinical development.</w:t>
      </w:r>
    </w:p>
    <w:p>
      <w:pPr>
        <w:spacing w:after="0" w:line="286" w:lineRule="exact"/>
        <w:rPr>
          <w:sz w:val="20"/>
          <w:szCs w:val="20"/>
          <w:color w:val="auto"/>
        </w:rPr>
      </w:pPr>
    </w:p>
    <w:p>
      <w:pPr>
        <w:sectPr>
          <w:pgSz w:w="11900" w:h="16838" w:orient="portrait"/>
          <w:cols w:equalWidth="0" w:num="2">
            <w:col w:w="6160" w:space="720"/>
            <w:col w:w="4540"/>
          </w:cols>
          <w:pgMar w:left="240" w:top="126" w:right="239" w:bottom="1440" w:gutter="0" w:footer="0" w:header="0"/>
          <w:type w:val="continuous"/>
        </w:sectPr>
      </w:pPr>
    </w:p>
    <w:p>
      <w:pPr>
        <w:ind w:left="4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REGN2176-3 (PDGFR-beta Antibody in combination with EYLEA) for ophthalmology</w:t>
      </w:r>
      <w:r>
        <w:rPr>
          <w:rFonts w:ascii="Times New Roman" w:cs="Times New Roman" w:eastAsia="Times New Roman" w:hAnsi="Times New Roman"/>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8"/>
          <w:szCs w:val="18"/>
          <w:color w:val="auto"/>
        </w:rPr>
        <w:t>REGN2176-3 is a combination product comprised of an antibody to PDGFR-beta co-formulated with EYLEA for use in ophthalmology.</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In February 2014, we initiated a Phase 1 clinical study for the treatment of wet AMD.</w:t>
      </w:r>
    </w:p>
    <w:p>
      <w:pPr>
        <w:spacing w:after="0" w:line="652" w:lineRule="exact"/>
        <w:rPr>
          <w:sz w:val="20"/>
          <w:szCs w:val="20"/>
          <w:color w:val="auto"/>
        </w:rPr>
      </w:pPr>
    </w:p>
    <w:p>
      <w:pPr>
        <w:sectPr>
          <w:pgSz w:w="11900" w:h="16838" w:orient="portrait"/>
          <w:cols w:equalWidth="0" w:num="3">
            <w:col w:w="1800" w:space="300"/>
            <w:col w:w="4400" w:space="380"/>
            <w:col w:w="4540"/>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Fasinumab is a fully human monoclonal antibody to NGF</w:t>
            </w:r>
          </w:p>
        </w:tc>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 are currently no ongoing trials with fasinumab that are</w:t>
            </w:r>
          </w:p>
        </w:tc>
      </w:tr>
      <w:tr>
        <w:trPr>
          <w:trHeight w:val="216"/>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(REGN475; NGF</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which is designed to block pain sensitization in neurons.</w:t>
            </w:r>
          </w:p>
        </w:tc>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either enrolling or treating patients.</w:t>
            </w:r>
          </w:p>
        </w:tc>
      </w:tr>
      <w:tr>
        <w:trPr>
          <w:trHeight w:val="216"/>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 for pain (on</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Preclinical experiments indicate that fasinumab specifically</w:t>
            </w:r>
          </w:p>
        </w:tc>
        <w:tc>
          <w:tcPr>
            <w:tcW w:w="4680" w:type="dxa"/>
            <w:vAlign w:val="bottom"/>
            <w:shd w:val="clear" w:color="auto" w:fill="CCEEFF"/>
          </w:tcPr>
          <w:p>
            <w:pPr>
              <w:spacing w:after="0"/>
              <w:rPr>
                <w:sz w:val="18"/>
                <w:szCs w:val="18"/>
                <w:color w:val="auto"/>
              </w:rPr>
            </w:pPr>
          </w:p>
        </w:tc>
      </w:tr>
      <w:tr>
        <w:trPr>
          <w:trHeight w:val="220"/>
        </w:trPr>
        <w:tc>
          <w:tcPr>
            <w:tcW w:w="1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partial clinical hold)</w:t>
            </w: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binds to and blocks NGF activity and does not bind to or</w:t>
            </w:r>
          </w:p>
        </w:tc>
        <w:tc>
          <w:tcPr>
            <w:tcW w:w="4680" w:type="dxa"/>
            <w:vAlign w:val="bottom"/>
            <w:shd w:val="clear" w:color="auto" w:fill="CCEEFF"/>
          </w:tcPr>
          <w:p>
            <w:pPr>
              <w:spacing w:after="0"/>
              <w:rPr>
                <w:sz w:val="19"/>
                <w:szCs w:val="19"/>
                <w:color w:val="auto"/>
              </w:rPr>
            </w:pPr>
          </w:p>
        </w:tc>
      </w:tr>
      <w:tr>
        <w:trPr>
          <w:trHeight w:val="216"/>
        </w:trPr>
        <w:tc>
          <w:tcPr>
            <w:tcW w:w="1900" w:type="dxa"/>
            <w:vAlign w:val="bottom"/>
            <w:shd w:val="clear" w:color="auto" w:fill="CCEEFF"/>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block cell signaling for the closely related neurotrophins NT-3</w:t>
            </w:r>
          </w:p>
        </w:tc>
        <w:tc>
          <w:tcPr>
            <w:tcW w:w="4680" w:type="dxa"/>
            <w:vAlign w:val="bottom"/>
            <w:shd w:val="clear" w:color="auto" w:fill="CCEEFF"/>
          </w:tcPr>
          <w:p>
            <w:pPr>
              <w:spacing w:after="0"/>
              <w:rPr>
                <w:sz w:val="18"/>
                <w:szCs w:val="18"/>
                <w:color w:val="auto"/>
              </w:rPr>
            </w:pPr>
          </w:p>
        </w:tc>
      </w:tr>
      <w:tr>
        <w:trPr>
          <w:trHeight w:val="234"/>
        </w:trPr>
        <w:tc>
          <w:tcPr>
            <w:tcW w:w="1900" w:type="dxa"/>
            <w:vAlign w:val="bottom"/>
            <w:shd w:val="clear" w:color="auto" w:fill="CCEEFF"/>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BDNF.</w:t>
            </w:r>
          </w:p>
        </w:tc>
        <w:tc>
          <w:tcPr>
            <w:tcW w:w="4680" w:type="dxa"/>
            <w:vAlign w:val="bottom"/>
            <w:shd w:val="clear" w:color="auto" w:fill="CCEEFF"/>
          </w:tcPr>
          <w:p>
            <w:pPr>
              <w:spacing w:after="0"/>
              <w:rPr>
                <w:sz w:val="20"/>
                <w:szCs w:val="20"/>
                <w:color w:val="auto"/>
              </w:rPr>
            </w:pPr>
          </w:p>
        </w:tc>
      </w:tr>
      <w:tr>
        <w:trPr>
          <w:trHeight w:val="27"/>
        </w:trPr>
        <w:tc>
          <w:tcPr>
            <w:tcW w:w="19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r>
    </w:tbl>
    <w:p>
      <w:pPr>
        <w:spacing w:after="0" w:line="261" w:lineRule="exact"/>
        <w:rPr>
          <w:sz w:val="20"/>
          <w:szCs w:val="20"/>
          <w:color w:val="auto"/>
        </w:rPr>
      </w:pPr>
    </w:p>
    <w:p>
      <w:pPr>
        <w:ind w:left="100" w:hanging="65"/>
        <w:spacing w:after="0"/>
        <w:tabs>
          <w:tab w:leader="none" w:pos="10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Being developed in collaboration with Sanofi.</w:t>
      </w:r>
    </w:p>
    <w:p>
      <w:pPr>
        <w:spacing w:after="0" w:line="42" w:lineRule="exact"/>
        <w:rPr>
          <w:sz w:val="20"/>
          <w:szCs w:val="20"/>
          <w:color w:val="auto"/>
        </w:rPr>
      </w:pPr>
    </w:p>
    <w:p>
      <w:pPr>
        <w:ind w:left="40" w:right="300" w:hanging="5"/>
        <w:spacing w:after="0" w:line="261" w:lineRule="auto"/>
        <w:tabs>
          <w:tab w:leader="none" w:pos="166"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or elected not to continue co-development of, the program and we have sole global rights. Under the terms of our agreement, Sanofi is entitled to receive a mid-single digit royalty on any future sales of the product candidate.</w:t>
      </w:r>
    </w:p>
    <w:p>
      <w:pPr>
        <w:ind w:left="200" w:hanging="165"/>
        <w:spacing w:after="0"/>
        <w:tabs>
          <w:tab w:leader="none" w:pos="2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Being developed in collaboration with Bayer HealthCare.</w:t>
      </w:r>
    </w:p>
    <w:p>
      <w:pPr>
        <w:sectPr>
          <w:pgSz w:w="11900" w:h="16838" w:orient="portrait"/>
          <w:cols w:equalWidth="0" w:num="1">
            <w:col w:w="11420"/>
          </w:cols>
          <w:pgMar w:left="240" w:top="126" w:right="239" w:bottom="1440" w:gutter="0" w:footer="0" w:header="0"/>
          <w:type w:val="continuous"/>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6" w:right="239" w:bottom="1440" w:gutter="0" w:footer="0" w:header="0"/>
          <w:type w:val="continuous"/>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34" w:lineRule="exact"/>
        <w:rPr>
          <w:sz w:val="20"/>
          <w:szCs w:val="20"/>
          <w:color w:val="auto"/>
        </w:rPr>
      </w:pPr>
    </w:p>
    <w:p>
      <w:pPr>
        <w:jc w:val="both"/>
        <w:ind w:firstLine="243"/>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VelociSuite.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 VelociGene, VelociMouse</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and VelociMab</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mouse platform is utilized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fully human monoclonal antibodies.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was generated by exploiting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technology (see below), in a process in which six megabases of mouse immune gene loci were replaced, or "humanized," with corresponding human immune gene loci.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mice can be used to generate efficiently fully human monoclonal antibodies to targets of therapeutic interest.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and our entire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to produce our next generation of drug candidates for preclinical and clinical development.</w:t>
      </w:r>
    </w:p>
    <w:p>
      <w:pPr>
        <w:spacing w:after="0" w:line="24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offers the opportunity to humanize targets by replacing the mouse gene with the human homolog. Thus,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scientists to rapidly identify the physical and biological effects of deleting or over-expressing the target gene, as well as to characterize and test potential therapeutic molecules.</w:t>
      </w:r>
    </w:p>
    <w:p>
      <w:pPr>
        <w:spacing w:after="0" w:line="237"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technology are suitable for direct phenotyping or other studies. We have also developed our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18"/>
          <w:szCs w:val="18"/>
          <w:color w:val="auto"/>
        </w:rPr>
        <w:t xml:space="preserve"> platform for the rapid screening of antibodies and rapid generation of expression cell lines for our Traps and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human monoclonal antibodies.</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We have utilized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we expect to advance into clinical development later in 2014, targets CD20 and CD3.</w:t>
      </w:r>
    </w:p>
    <w:p>
      <w:pPr>
        <w:spacing w:after="0" w:line="232"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Regeneron Genetics Center. </w:t>
      </w:r>
      <w:r>
        <w:rPr>
          <w:rFonts w:ascii="Times New Roman" w:cs="Times New Roman" w:eastAsia="Times New Roman" w:hAnsi="Times New Roman"/>
          <w:sz w:val="18"/>
          <w:szCs w:val="18"/>
          <w:color w:val="auto"/>
        </w:rPr>
        <w:t>In early 2014, we launched a new human genetics initiative via a wholly owned subsidiary, Regeneron Genetics Center LLC.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RGC leverages de-identified clinical and molecular data from human volunteers for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intends to pursue both large population-based efforts as well as family-based approaches.</w:t>
      </w:r>
    </w:p>
    <w:p>
      <w:pPr>
        <w:sectPr>
          <w:pgSz w:w="11900" w:h="16838" w:orient="portrait"/>
          <w:cols w:equalWidth="0" w:num="1">
            <w:col w:w="11420"/>
          </w:cols>
          <w:pgMar w:left="240" w:top="126"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6" w:right="239" w:bottom="1440" w:gutter="0" w:footer="0" w:header="0"/>
          <w:type w:val="continuous"/>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Central to the work of RGC is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Sanofi</w:t>
      </w:r>
    </w:p>
    <w:p>
      <w:pPr>
        <w:spacing w:after="0" w:line="2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ZALTRAP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September 2003, we and Sanofi have been parties to a global collaboration for the development and commercialization of ZALTRAP.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current terms of our collaboration agreement we and Sanofi share co-promotion rights and share profits and losses from commercialization of ZALTRAP outside of Japan. In Japan, we are entitled to receive a percentage of approximately 35% on sales of ZALTRAP, subject to certain potential adjustments.</w:t>
      </w:r>
    </w:p>
    <w:p>
      <w:pPr>
        <w:spacing w:after="0" w:line="23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Under the collaboration agreement, agreed upon worldwide development expenses incurred by both companies during the term of the agreement are funded by Sanofi. If the collaboration becomes profitable, we will be obligated to reimburse Sanofi out of our share of ZALTRAP profits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for the foreseeable future, our share of any ZALTRAP profits will be used to reimburse Sanofi for this repayment obligation.</w:t>
      </w:r>
    </w:p>
    <w:p>
      <w:pPr>
        <w:spacing w:after="0" w:line="2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Antibodies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November 2007, we and Sanofi have been parties to a global, strategic collaboration to discover, develop, and commercialize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monoclonal antibodies. The collaboration is governed by a Discovery and Preclinical Development Agreement and a License and Collaboration Agreement (each as amended). Pursuant to the collaboration, Sanofi is funding up to $160 million per year of our antibody discovery activities over the period from 2010-2017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4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Sanofi will lead commercialization activities for products developed under the license agreement, subject to our right to co-promote such products.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EYLEA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October 2006, we and Bayer HealthCare have been parties to a license and collaboration agreement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an agreement under which we are entitled to receive a tiered percentage of between 33.5% and 40.0% of EYLEA net sales in Japan. In certain specified circumstances, the Japan arrangement may revert to a profit share arrangement.</w:t>
      </w:r>
    </w:p>
    <w:p>
      <w:pPr>
        <w:spacing w:after="0" w:line="10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January 2014, Bayer HealthCare decided to participate in the global development and commercialization of EYLEA outside the United States for the treatment of macular edema following BRVO. In connection with this decision, Bayer HealthCare</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6" w:right="239" w:bottom="1440" w:gutter="0" w:footer="0" w:header="0"/>
          <w:type w:val="continuous"/>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reimbursed us for a defined share of the EYLEA global development costs that we had incurred prior to February 2014 for the BRVO indication. In addition, all future agreed upon global EYLEA development expenses incurred in connection with BRVO are being shared equally, and profits or losses on sales of EYLEA outside of the United States for the treatment of macular edema following BRVO will also be shared (for countries other than Japan). As described above, we are entitled to receive a tiered percentage of EYLEA net sales in Japan.</w:t>
      </w:r>
    </w:p>
    <w:p>
      <w:pPr>
        <w:spacing w:after="0" w:line="9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Since inception of the agreement, we have received $110.0 million of development milestone payments and $90.0 million of sales milestone payments from Bayer HealthCare. In addition, we may earn up to $75.0 million in additional sales milestone payments if twelve-month sales of EYLEA outside the United States achieve certain specified levels.</w:t>
      </w:r>
    </w:p>
    <w:p>
      <w:pPr>
        <w:spacing w:after="0" w:line="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PDGFR-beta antibody outside the United States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January 2014, we entered into an agreement with Bayer HealthCare governing the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first quarter of 2014. Further, in connection with our initial development of the PDGFR-beta antibody through completion of the first proof-of-concept study, we are eligible to receive up to $15.0 million in future development milestone payments from Bayer HealthCare, although certain of these development milestone payments could be reduced by half if Bayer HealthCare does not opt-in to the collaboration.</w:t>
      </w:r>
    </w:p>
    <w:p>
      <w:pPr>
        <w:spacing w:after="0" w:line="1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European Union or Japan, share profits and losses from sales outside the United States equally with us, and be responsible for the payment of royalties on sales outside the United States to Sanofi.</w:t>
      </w:r>
    </w:p>
    <w:p>
      <w:pPr>
        <w:spacing w:after="0" w:line="1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13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1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Collaboration with Avalanche Biotechnologies, Inc.</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May 2014, we entered into a research collaboration and license agreement with Avalanche Biotechnologies, Inc. to discover, develop, and commercialize novel gene therapy products for the treatment of ophthalmologic diseases. In connection with the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agreement, we made a $2.0 million upfront payment and a $6.0 million pre-payment of collaboration research costs, and are obligated to pay potential additional research costs, an aggregate amount of up to $80.0 million per product upon meeting certain potential development and regulatory milestones (for products directed to as many as eight therapeutic targets, or up to an aggregate of $640.0 million), and royalties on any future sales of such products. We also purchased an aggregate of $5.0 million of Avalanche preferred stock. Under the agreement, we will collaborate with Avalanche to conduct research for the discovery of novel gene therapy vectors. Subsequent to the filing of an IND with the FDA for a product candidate, we may exercise our right to obtain exclusive worldwide rights to further research, develop, and commercialize such product candidates directed to the applicable therapeutic target. In addition, Avalanche has the option to share in development costs and profits for products directed toward up to two therapeutic targets of its choice.</w:t>
      </w:r>
    </w:p>
    <w:p>
      <w:pPr>
        <w:spacing w:after="0" w:line="10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July 2014, Avalanche commenced an initial public offering of its common stock and thereby triggered our obligation under the research collaboration and license agreement to purchase up to $10.0 million of Avalanche common stock in a concurrent private placement. As part of the concurrent private placement, we have agreed, subject to customary closing conditions, to purchase from Avalanche at the closing of its initial public offering 588,235 shares of Avalanche common stock for an aggregate purchase price of $10.0 million. In addition, at the closing of its initial public offering, Avalanche preferred stock, including the Avalanche preferred stock held by us, will automatically convert on a one-for-one basis into Avalanche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2014 to date were, and plans for the next twelve months are, as follows: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Trap-based Clinical Programs:</w:t>
      </w:r>
    </w:p>
    <w:p>
      <w:pPr>
        <w:spacing w:after="0" w:line="171" w:lineRule="exact"/>
        <w:rPr>
          <w:sz w:val="20"/>
          <w:szCs w:val="20"/>
          <w:color w:val="auto"/>
        </w:rPr>
      </w:pPr>
    </w:p>
    <w:p>
      <w:pPr>
        <w:ind w:left="1940"/>
        <w:spacing w:after="0"/>
        <w:tabs>
          <w:tab w:leader="none" w:pos="7320" w:val="left"/>
        </w:tabs>
        <w:rPr>
          <w:sz w:val="20"/>
          <w:szCs w:val="20"/>
          <w:color w:val="auto"/>
        </w:rPr>
      </w:pPr>
      <w:r>
        <w:rPr>
          <w:rFonts w:ascii="Times New Roman" w:cs="Times New Roman" w:eastAsia="Times New Roman" w:hAnsi="Times New Roman"/>
          <w:sz w:val="18"/>
          <w:szCs w:val="18"/>
          <w:b w:val="1"/>
          <w:bCs w:val="1"/>
          <w:color w:val="auto"/>
        </w:rPr>
        <w:t>2014 Events to Date</w:t>
      </w:r>
      <w:r>
        <w:rPr>
          <w:sz w:val="20"/>
          <w:szCs w:val="20"/>
          <w:color w:val="auto"/>
        </w:rPr>
        <w:tab/>
      </w:r>
      <w:r>
        <w:rPr>
          <w:rFonts w:ascii="Times New Roman" w:cs="Times New Roman" w:eastAsia="Times New Roman" w:hAnsi="Times New Roman"/>
          <w:sz w:val="17"/>
          <w:szCs w:val="17"/>
          <w:b w:val="1"/>
          <w:bCs w:val="1"/>
          <w:color w:val="auto"/>
        </w:rPr>
        <w:t>2014-2015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p>
      <w:pPr>
        <w:sectPr>
          <w:pgSz w:w="11900" w:h="16838" w:orient="portrait"/>
          <w:cols w:equalWidth="0" w:num="1">
            <w:col w:w="11400"/>
          </w:cols>
          <w:pgMar w:left="240" w:top="126" w:right="259" w:bottom="1440" w:gutter="0" w:footer="0" w:header="0"/>
        </w:sectPr>
      </w:pPr>
    </w:p>
    <w:p>
      <w:pPr>
        <w:spacing w:after="0" w:line="67" w:lineRule="exact"/>
        <w:rPr>
          <w:sz w:val="20"/>
          <w:szCs w:val="20"/>
          <w:color w:val="auto"/>
        </w:rPr>
      </w:pPr>
    </w:p>
    <w:p>
      <w:pPr>
        <w:ind w:left="260" w:hanging="202"/>
        <w:spacing w:after="0" w:line="26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received regulatory approval for EYLEA in certain countries for the treatment of patients with wet AMD and continued to pursue regulatory applications for marketing approval in additional countries</w:t>
      </w:r>
    </w:p>
    <w:p>
      <w:pPr>
        <w:spacing w:after="0" w:line="71" w:lineRule="exact"/>
        <w:rPr>
          <w:rFonts w:ascii="Times New Roman" w:cs="Times New Roman" w:eastAsia="Times New Roman" w:hAnsi="Times New Roman"/>
          <w:sz w:val="18"/>
          <w:szCs w:val="18"/>
          <w:color w:val="auto"/>
        </w:rPr>
      </w:pPr>
    </w:p>
    <w:p>
      <w:pPr>
        <w:ind w:left="260" w:right="80" w:hanging="202"/>
        <w:spacing w:after="0" w:line="26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received regulatory approval for EYLEA in certain countries for the treatment of patients with macular edema secondary to CRVO and continued to pursue regulatory applications for marketing approval in additional countries</w:t>
      </w:r>
    </w:p>
    <w:p>
      <w:pPr>
        <w:spacing w:after="0" w:line="17" w:lineRule="exact"/>
        <w:rPr>
          <w:rFonts w:ascii="Times New Roman" w:cs="Times New Roman" w:eastAsia="Times New Roman" w:hAnsi="Times New Roman"/>
          <w:sz w:val="18"/>
          <w:szCs w:val="18"/>
          <w:color w:val="auto"/>
        </w:rPr>
      </w:pPr>
    </w:p>
    <w:p>
      <w:pPr>
        <w:ind w:left="260" w:right="200" w:hanging="202"/>
        <w:spacing w:after="0" w:line="266"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opted-in to the global development and commercialization outside the United States for the treatment of macular edema following BRVO</w:t>
      </w:r>
    </w:p>
    <w:p>
      <w:pPr>
        <w:spacing w:after="0" w:line="14" w:lineRule="exact"/>
        <w:rPr>
          <w:rFonts w:ascii="Times New Roman" w:cs="Times New Roman" w:eastAsia="Times New Roman" w:hAnsi="Times New Roman"/>
          <w:sz w:val="18"/>
          <w:szCs w:val="18"/>
          <w:color w:val="auto"/>
        </w:rPr>
      </w:pPr>
    </w:p>
    <w:p>
      <w:pPr>
        <w:ind w:left="260" w:right="60" w:hanging="202"/>
        <w:spacing w:after="0" w:line="28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two-year results from the Phase 3 VISTA-DME and VIVID-DME studies</w:t>
      </w:r>
    </w:p>
    <w:p>
      <w:pPr>
        <w:spacing w:after="0" w:line="1" w:lineRule="exact"/>
        <w:rPr>
          <w:rFonts w:ascii="Times New Roman" w:cs="Times New Roman" w:eastAsia="Times New Roman" w:hAnsi="Times New Roman"/>
          <w:sz w:val="18"/>
          <w:szCs w:val="18"/>
          <w:color w:val="auto"/>
        </w:rPr>
      </w:pPr>
    </w:p>
    <w:p>
      <w:pPr>
        <w:jc w:val="both"/>
        <w:ind w:left="260" w:right="60" w:hanging="202"/>
        <w:spacing w:after="0" w:line="266"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reported positive results from the VIVID-Japan study and submitted an application for marketing authorization of EYLEA for the treatment of DME in Japan</w:t>
      </w:r>
    </w:p>
    <w:p>
      <w:pPr>
        <w:spacing w:after="0" w:line="14" w:lineRule="exact"/>
        <w:rPr>
          <w:rFonts w:ascii="Times New Roman" w:cs="Times New Roman" w:eastAsia="Times New Roman" w:hAnsi="Times New Roman"/>
          <w:sz w:val="18"/>
          <w:szCs w:val="18"/>
          <w:color w:val="auto"/>
        </w:rPr>
      </w:pPr>
    </w:p>
    <w:p>
      <w:pPr>
        <w:ind w:left="260" w:right="340" w:hanging="202"/>
        <w:spacing w:after="0" w:line="28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EYLEA was recommended for approval by the CHMP for the treatment of DME</w:t>
      </w:r>
    </w:p>
    <w:p>
      <w:pPr>
        <w:spacing w:after="0" w:line="1" w:lineRule="exact"/>
        <w:rPr>
          <w:rFonts w:ascii="Times New Roman" w:cs="Times New Roman" w:eastAsia="Times New Roman" w:hAnsi="Times New Roman"/>
          <w:sz w:val="18"/>
          <w:szCs w:val="18"/>
          <w:color w:val="auto"/>
        </w:rPr>
      </w:pPr>
    </w:p>
    <w:p>
      <w:pPr>
        <w:ind w:left="260" w:right="40" w:hanging="202"/>
        <w:spacing w:after="0" w:line="28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BLA accepted for regulatory approval in the United States for the treatment of macular edema following BRVO</w:t>
      </w:r>
    </w:p>
    <w:p>
      <w:pPr>
        <w:spacing w:after="0" w:line="1" w:lineRule="exact"/>
        <w:rPr>
          <w:rFonts w:ascii="Times New Roman" w:cs="Times New Roman" w:eastAsia="Times New Roman" w:hAnsi="Times New Roman"/>
          <w:sz w:val="18"/>
          <w:szCs w:val="18"/>
          <w:color w:val="auto"/>
        </w:rPr>
      </w:pPr>
    </w:p>
    <w:p>
      <w:pPr>
        <w:ind w:left="260" w:right="580" w:hanging="202"/>
        <w:spacing w:after="0" w:line="28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positive week 52 results from the Phase 3 BRVO VIBRANT study</w:t>
      </w:r>
    </w:p>
    <w:p>
      <w:pPr>
        <w:spacing w:after="0" w:line="1" w:lineRule="exact"/>
        <w:rPr>
          <w:rFonts w:ascii="Times New Roman" w:cs="Times New Roman" w:eastAsia="Times New Roman" w:hAnsi="Times New Roman"/>
          <w:sz w:val="18"/>
          <w:szCs w:val="18"/>
          <w:color w:val="auto"/>
        </w:rPr>
      </w:pPr>
    </w:p>
    <w:p>
      <w:pPr>
        <w:ind w:left="260" w:right="260" w:hanging="202"/>
        <w:spacing w:after="0" w:line="281"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results from the Phase 3 SIGHT study in wet AMD in China</w:t>
      </w:r>
    </w:p>
    <w:p>
      <w:pPr>
        <w:spacing w:after="0" w:line="1" w:lineRule="exact"/>
        <w:rPr>
          <w:rFonts w:ascii="Times New Roman" w:cs="Times New Roman" w:eastAsia="Times New Roman" w:hAnsi="Times New Roman"/>
          <w:sz w:val="18"/>
          <w:szCs w:val="18"/>
          <w:color w:val="auto"/>
        </w:rPr>
      </w:pPr>
    </w:p>
    <w:p>
      <w:pPr>
        <w:ind w:left="260" w:right="20" w:hanging="202"/>
        <w:spacing w:after="0" w:line="266"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submitted an application to the EMA seeking marketing authorization in the EU for EYLEA for the treatment of macular edema following BRVO</w:t>
      </w:r>
    </w:p>
    <w:p>
      <w:pPr>
        <w:spacing w:after="0" w:line="14" w:lineRule="exact"/>
        <w:rPr>
          <w:rFonts w:ascii="Times New Roman" w:cs="Times New Roman" w:eastAsia="Times New Roman" w:hAnsi="Times New Roman"/>
          <w:sz w:val="18"/>
          <w:szCs w:val="18"/>
          <w:color w:val="auto"/>
        </w:rPr>
      </w:pPr>
    </w:p>
    <w:p>
      <w:pPr>
        <w:ind w:left="260" w:hanging="20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approved EYLEA for the treatment of DME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265" w:right="160" w:hanging="265"/>
        <w:spacing w:after="0" w:line="28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to file for China regulatory approval for the treatment of wet AMD</w:t>
      </w:r>
    </w:p>
    <w:p>
      <w:pPr>
        <w:spacing w:after="0" w:line="1" w:lineRule="exact"/>
        <w:rPr>
          <w:rFonts w:ascii="Times New Roman" w:cs="Times New Roman" w:eastAsia="Times New Roman" w:hAnsi="Times New Roman"/>
          <w:sz w:val="18"/>
          <w:szCs w:val="18"/>
          <w:color w:val="auto"/>
        </w:rPr>
      </w:pPr>
    </w:p>
    <w:p>
      <w:pPr>
        <w:ind w:left="265" w:right="100" w:hanging="265"/>
        <w:spacing w:after="0" w:line="28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Bayer HealthCare to file for additional ex-US regulatory approvals in DME and mCNV</w:t>
      </w:r>
    </w:p>
    <w:p>
      <w:pPr>
        <w:spacing w:after="0" w:line="1" w:lineRule="exact"/>
        <w:rPr>
          <w:rFonts w:ascii="Times New Roman" w:cs="Times New Roman" w:eastAsia="Times New Roman" w:hAnsi="Times New Roman"/>
          <w:sz w:val="18"/>
          <w:szCs w:val="18"/>
          <w:color w:val="auto"/>
        </w:rPr>
      </w:pPr>
    </w:p>
    <w:p>
      <w:pPr>
        <w:ind w:left="265" w:hanging="265"/>
        <w:spacing w:after="0"/>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agency decision on application in Japan for mCNV</w:t>
      </w:r>
    </w:p>
    <w:p>
      <w:pPr>
        <w:spacing w:after="0" w:line="117" w:lineRule="exact"/>
        <w:rPr>
          <w:rFonts w:ascii="Times New Roman" w:cs="Times New Roman" w:eastAsia="Times New Roman" w:hAnsi="Times New Roman"/>
          <w:sz w:val="18"/>
          <w:szCs w:val="18"/>
          <w:color w:val="auto"/>
        </w:rPr>
      </w:pPr>
    </w:p>
    <w:p>
      <w:pPr>
        <w:ind w:left="265" w:right="160" w:hanging="265"/>
        <w:spacing w:after="0" w:line="313" w:lineRule="auto"/>
        <w:tabs>
          <w:tab w:leader="none" w:pos="26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Bayer HealthCare to file for additional ex-US regulatory approvals outside the United States for the treatment of macular edema following BRVO</w:t>
      </w:r>
    </w:p>
    <w:p>
      <w:pPr>
        <w:spacing w:after="0" w:line="84" w:lineRule="exact"/>
        <w:rPr>
          <w:rFonts w:ascii="Times New Roman" w:cs="Times New Roman" w:eastAsia="Times New Roman" w:hAnsi="Times New Roman"/>
          <w:sz w:val="17"/>
          <w:szCs w:val="17"/>
          <w:color w:val="auto"/>
        </w:rPr>
      </w:pPr>
    </w:p>
    <w:p>
      <w:pPr>
        <w:ind w:left="265" w:right="420" w:hanging="265"/>
        <w:spacing w:after="0" w:line="266"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agency decisions on applications in the United States and outside the United States for the treatment of macular edema following BRVO, and outside the United States for the treatment of 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2610485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129" w:lineRule="exact"/>
        <w:rPr>
          <w:sz w:val="20"/>
          <w:szCs w:val="20"/>
          <w:color w:val="auto"/>
        </w:rPr>
      </w:pPr>
    </w:p>
    <w:p>
      <w:pPr>
        <w:sectPr>
          <w:pgSz w:w="11900" w:h="16838" w:orient="portrait"/>
          <w:cols w:equalWidth="0" w:num="2">
            <w:col w:w="5080" w:space="515"/>
            <w:col w:w="5805"/>
          </w:cols>
          <w:pgMar w:left="240" w:top="126" w:right="25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ZALTRAP</w:t>
      </w:r>
    </w:p>
    <w:p>
      <w:pPr>
        <w:sectPr>
          <w:pgSz w:w="11900" w:h="16838" w:orient="portrait"/>
          <w:cols w:equalWidth="0" w:num="1">
            <w:col w:w="11400"/>
          </w:cols>
          <w:pgMar w:left="240" w:top="126" w:right="259" w:bottom="1440" w:gutter="0" w:footer="0" w:header="0"/>
          <w:type w:val="continuous"/>
        </w:sectPr>
      </w:pPr>
    </w:p>
    <w:p>
      <w:pPr>
        <w:spacing w:after="0" w:line="79" w:lineRule="exact"/>
        <w:rPr>
          <w:sz w:val="20"/>
          <w:szCs w:val="20"/>
          <w:color w:val="auto"/>
        </w:rPr>
      </w:pPr>
    </w:p>
    <w:p>
      <w:pPr>
        <w:ind w:left="260" w:right="115" w:hanging="202"/>
        <w:spacing w:after="0" w:line="266"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received regulatory approval in additional countries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265" w:right="320" w:hanging="265"/>
        <w:spacing w:after="0" w:line="266"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agency decisions outside the United States on additional applications for ZALTRAP in the treatment of previously treated mCRC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75" w:space="720"/>
            <w:col w:w="5805"/>
          </w:cols>
          <w:pgMar w:left="240" w:top="126" w:right="259" w:bottom="1440" w:gutter="0" w:footer="0" w:header="0"/>
          <w:type w:val="continuous"/>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6" w:right="259" w:bottom="1440" w:gutter="0" w:footer="0" w:header="0"/>
          <w:type w:val="continuous"/>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Antibody-based Clinical Programs:</w:t>
            </w:r>
          </w:p>
        </w:tc>
        <w:tc>
          <w:tcPr>
            <w:tcW w:w="468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453"/>
        </w:trPr>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68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2014 Events to Date</w:t>
            </w:r>
          </w:p>
        </w:tc>
        <w:tc>
          <w:tcPr>
            <w:tcW w:w="406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2014-2015 Plans (next 12 months)</w:t>
            </w:r>
          </w:p>
        </w:tc>
      </w:tr>
      <w:tr>
        <w:trPr>
          <w:trHeight w:val="27"/>
        </w:trPr>
        <w:tc>
          <w:tcPr>
            <w:tcW w:w="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8"/>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Sarilumab (IL-6R Antibody)</w:t>
            </w: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Ÿ  Obtained positive results from Phase 1b RA trial in</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Continue enrollment in Phase 3 SARIL-RA</w:t>
            </w:r>
          </w:p>
        </w:tc>
      </w:tr>
      <w:tr>
        <w:trPr>
          <w:trHeight w:val="234"/>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Japan</w:t>
            </w: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program</w:t>
            </w:r>
          </w:p>
        </w:tc>
      </w:tr>
      <w:tr>
        <w:trPr>
          <w:trHeight w:val="252"/>
        </w:trPr>
        <w:tc>
          <w:tcPr>
            <w:tcW w:w="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Ÿ  Positive results from Phase 3 SARIL-RA-</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Continue patient enrollment in SARIL-NIU-</w:t>
            </w:r>
          </w:p>
        </w:tc>
      </w:tr>
      <w:tr>
        <w:trPr>
          <w:trHeight w:val="216"/>
        </w:trPr>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6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MOBILITY trial were presented at EULAR 2014</w:t>
            </w: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SATURN Phase 2 study in non-infectious uveitis</w:t>
            </w:r>
          </w:p>
        </w:tc>
      </w:tr>
      <w:tr>
        <w:trPr>
          <w:trHeight w:val="234"/>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conference</w:t>
            </w:r>
          </w:p>
        </w:tc>
        <w:tc>
          <w:tcPr>
            <w:tcW w:w="4060" w:type="dxa"/>
            <w:vAlign w:val="bottom"/>
          </w:tcPr>
          <w:p>
            <w:pPr>
              <w:spacing w:after="0"/>
              <w:rPr>
                <w:sz w:val="20"/>
                <w:szCs w:val="20"/>
                <w:color w:val="auto"/>
              </w:rPr>
            </w:pPr>
          </w:p>
        </w:tc>
      </w:tr>
      <w:tr>
        <w:trPr>
          <w:trHeight w:val="270"/>
        </w:trPr>
        <w:tc>
          <w:tcPr>
            <w:tcW w:w="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Report results from additional Phase 3 trials</w:t>
            </w:r>
          </w:p>
        </w:tc>
      </w:tr>
      <w:tr>
        <w:trPr>
          <w:trHeight w:val="270"/>
        </w:trPr>
        <w:tc>
          <w:tcPr>
            <w:tcW w:w="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Initiate additional clinical studies</w:t>
            </w:r>
          </w:p>
        </w:tc>
      </w:tr>
      <w:tr>
        <w:trPr>
          <w:trHeight w:val="27"/>
        </w:trPr>
        <w:tc>
          <w:tcPr>
            <w:tcW w:w="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8"/>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Alirocumab (PCSK9 Antibody)</w:t>
            </w:r>
          </w:p>
        </w:tc>
        <w:tc>
          <w:tcPr>
            <w:tcW w:w="46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Ÿ  Initiated Phase 3 ODYSSEY CHOICE II trial</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Continue enrollment of Phase 3 ODYSSEY</w:t>
            </w:r>
          </w:p>
        </w:tc>
      </w:tr>
      <w:tr>
        <w:trPr>
          <w:trHeight w:val="234"/>
        </w:trPr>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OUTCOMES trial</w:t>
            </w:r>
          </w:p>
        </w:tc>
      </w:tr>
    </w:tbl>
    <w:p>
      <w:pPr>
        <w:spacing w:after="0" w:line="36" w:lineRule="exact"/>
        <w:rPr>
          <w:sz w:val="20"/>
          <w:szCs w:val="20"/>
          <w:color w:val="auto"/>
        </w:rPr>
      </w:pPr>
    </w:p>
    <w:p>
      <w:pPr>
        <w:sectPr>
          <w:pgSz w:w="11900" w:h="16838" w:orient="portrait"/>
          <w:cols w:equalWidth="0" w:num="1">
            <w:col w:w="11420"/>
          </w:cols>
          <w:pgMar w:left="240" w:top="126" w:right="239" w:bottom="1440" w:gutter="0" w:footer="0" w:header="0"/>
        </w:sectPr>
      </w:pPr>
    </w:p>
    <w:p>
      <w:pPr>
        <w:ind w:left="3580" w:hanging="261"/>
        <w:spacing w:after="0" w:line="281" w:lineRule="auto"/>
        <w:tabs>
          <w:tab w:leader="none" w:pos="3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in the ODYSSEY CHOICE I and CHOICE II trials</w:t>
      </w:r>
    </w:p>
    <w:p>
      <w:pPr>
        <w:spacing w:after="0" w:line="1" w:lineRule="exact"/>
        <w:rPr>
          <w:rFonts w:ascii="Times New Roman" w:cs="Times New Roman" w:eastAsia="Times New Roman" w:hAnsi="Times New Roman"/>
          <w:sz w:val="18"/>
          <w:szCs w:val="18"/>
          <w:color w:val="auto"/>
        </w:rPr>
      </w:pPr>
    </w:p>
    <w:p>
      <w:pPr>
        <w:ind w:left="3580" w:hanging="261"/>
        <w:spacing w:after="0"/>
        <w:tabs>
          <w:tab w:leader="none" w:pos="3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3 program in Japan</w:t>
      </w:r>
    </w:p>
    <w:p>
      <w:pPr>
        <w:spacing w:after="0" w:line="20" w:lineRule="exact"/>
        <w:rPr>
          <w:sz w:val="20"/>
          <w:szCs w:val="20"/>
          <w:color w:val="auto"/>
        </w:rPr>
      </w:pPr>
      <w:r>
        <w:rPr>
          <w:sz w:val="20"/>
          <w:szCs w:val="20"/>
          <w:color w:val="auto"/>
        </w:rPr>
        <w:br w:type="column"/>
      </w:r>
    </w:p>
    <w:p>
      <w:pPr>
        <w:ind w:left="268" w:right="80" w:hanging="268"/>
        <w:spacing w:after="0" w:line="281" w:lineRule="auto"/>
        <w:tabs>
          <w:tab w:leader="none" w:pos="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results from additional Phase 3 ODYSSEY trials</w:t>
      </w:r>
    </w:p>
    <w:p>
      <w:pPr>
        <w:spacing w:after="0" w:line="1" w:lineRule="exact"/>
        <w:rPr>
          <w:rFonts w:ascii="Times New Roman" w:cs="Times New Roman" w:eastAsia="Times New Roman" w:hAnsi="Times New Roman"/>
          <w:sz w:val="18"/>
          <w:szCs w:val="18"/>
          <w:color w:val="auto"/>
        </w:rPr>
      </w:pPr>
    </w:p>
    <w:p>
      <w:pPr>
        <w:ind w:left="268" w:hanging="268"/>
        <w:spacing w:after="0"/>
        <w:tabs>
          <w:tab w:leader="none" w:pos="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for regulatory approvals in the U.S. and EU</w:t>
      </w:r>
    </w:p>
    <w:p>
      <w:pPr>
        <w:spacing w:after="0" w:line="63" w:lineRule="exact"/>
        <w:rPr>
          <w:sz w:val="20"/>
          <w:szCs w:val="20"/>
          <w:color w:val="auto"/>
        </w:rPr>
      </w:pPr>
    </w:p>
    <w:p>
      <w:pPr>
        <w:sectPr>
          <w:pgSz w:w="11900" w:h="16838" w:orient="portrait"/>
          <w:cols w:equalWidth="0" w:num="2">
            <w:col w:w="7060" w:space="372"/>
            <w:col w:w="3988"/>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Reported positive topline results from nine Phase 3</w:t>
            </w:r>
          </w:p>
        </w:tc>
        <w:tc>
          <w:tcPr>
            <w:tcW w:w="4060" w:type="dxa"/>
            <w:vAlign w:val="bottom"/>
          </w:tcPr>
          <w:p>
            <w:pPr>
              <w:spacing w:after="0"/>
              <w:rPr>
                <w:sz w:val="18"/>
                <w:szCs w:val="18"/>
                <w:color w:val="auto"/>
              </w:rPr>
            </w:pPr>
          </w:p>
        </w:tc>
      </w:tr>
      <w:tr>
        <w:trPr>
          <w:trHeight w:val="234"/>
        </w:trPr>
        <w:tc>
          <w:tcPr>
            <w:tcW w:w="2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ODYSSEY studies</w:t>
            </w:r>
          </w:p>
        </w:tc>
        <w:tc>
          <w:tcPr>
            <w:tcW w:w="4060" w:type="dxa"/>
            <w:vAlign w:val="bottom"/>
          </w:tcPr>
          <w:p>
            <w:pPr>
              <w:spacing w:after="0"/>
              <w:rPr>
                <w:sz w:val="20"/>
                <w:szCs w:val="20"/>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18"/>
        </w:trPr>
        <w:tc>
          <w:tcPr>
            <w:tcW w:w="2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Dupilumab (IL-4R Antibody)</w:t>
            </w:r>
          </w:p>
        </w:tc>
        <w:tc>
          <w:tcPr>
            <w:tcW w:w="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Ÿ</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Reported positive Phase 2a data in atopic</w:t>
            </w:r>
          </w:p>
        </w:tc>
        <w:tc>
          <w:tcPr>
            <w:tcW w:w="4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Ÿ  Initiate Phase 3 trial in atopic dermatitis</w:t>
            </w:r>
          </w:p>
        </w:tc>
      </w:tr>
      <w:tr>
        <w:trPr>
          <w:trHeight w:val="234"/>
        </w:trPr>
        <w:tc>
          <w:tcPr>
            <w:tcW w:w="2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dermatitis</w:t>
            </w:r>
          </w:p>
        </w:tc>
        <w:tc>
          <w:tcPr>
            <w:tcW w:w="4060" w:type="dxa"/>
            <w:vAlign w:val="bottom"/>
          </w:tcPr>
          <w:p>
            <w:pPr>
              <w:spacing w:after="0"/>
              <w:rPr>
                <w:sz w:val="20"/>
                <w:szCs w:val="20"/>
                <w:color w:val="auto"/>
              </w:rPr>
            </w:pPr>
          </w:p>
        </w:tc>
      </w:tr>
    </w:tbl>
    <w:p>
      <w:pPr>
        <w:spacing w:after="0" w:line="36" w:lineRule="exact"/>
        <w:rPr>
          <w:sz w:val="20"/>
          <w:szCs w:val="20"/>
          <w:color w:val="auto"/>
        </w:rPr>
      </w:pPr>
    </w:p>
    <w:p>
      <w:pPr>
        <w:sectPr>
          <w:pgSz w:w="11900" w:h="16838" w:orient="portrait"/>
          <w:cols w:equalWidth="0" w:num="1">
            <w:col w:w="11420"/>
          </w:cols>
          <w:pgMar w:left="240" w:top="126" w:right="239" w:bottom="1440" w:gutter="0" w:footer="0" w:header="0"/>
          <w:type w:val="continuous"/>
        </w:sectPr>
      </w:pPr>
    </w:p>
    <w:p>
      <w:pPr>
        <w:ind w:left="3580" w:right="100" w:hanging="261"/>
        <w:spacing w:after="0" w:line="281" w:lineRule="auto"/>
        <w:tabs>
          <w:tab w:leader="none" w:pos="3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positive results from Phase 2b study in atopic dermatitis</w:t>
      </w:r>
    </w:p>
    <w:p>
      <w:pPr>
        <w:spacing w:after="0" w:line="1" w:lineRule="exact"/>
        <w:rPr>
          <w:rFonts w:ascii="Times New Roman" w:cs="Times New Roman" w:eastAsia="Times New Roman" w:hAnsi="Times New Roman"/>
          <w:sz w:val="18"/>
          <w:szCs w:val="18"/>
          <w:color w:val="auto"/>
        </w:rPr>
      </w:pPr>
    </w:p>
    <w:p>
      <w:pPr>
        <w:ind w:left="3580" w:hanging="261"/>
        <w:spacing w:after="0" w:line="281" w:lineRule="auto"/>
        <w:tabs>
          <w:tab w:leader="none" w:pos="3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of Phase 2b asthma study</w:t>
      </w:r>
    </w:p>
    <w:p>
      <w:pPr>
        <w:spacing w:after="0" w:line="1" w:lineRule="exact"/>
        <w:rPr>
          <w:rFonts w:ascii="Times New Roman" w:cs="Times New Roman" w:eastAsia="Times New Roman" w:hAnsi="Times New Roman"/>
          <w:sz w:val="18"/>
          <w:szCs w:val="18"/>
          <w:color w:val="auto"/>
        </w:rPr>
      </w:pPr>
    </w:p>
    <w:p>
      <w:pPr>
        <w:ind w:left="3580" w:right="160" w:hanging="261"/>
        <w:spacing w:after="0" w:line="282" w:lineRule="auto"/>
        <w:tabs>
          <w:tab w:leader="none" w:pos="3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patient enrollment of Phase 2a nasal polyposis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68" w:right="280" w:hanging="268"/>
        <w:spacing w:after="0" w:line="282" w:lineRule="auto"/>
        <w:tabs>
          <w:tab w:leader="none" w:pos="2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results from Phase 2 trials in asthma and nasal polyposis</w:t>
      </w:r>
    </w:p>
    <w:p>
      <w:pPr>
        <w:spacing w:after="0" w:line="981" w:lineRule="exact"/>
        <w:rPr>
          <w:sz w:val="20"/>
          <w:szCs w:val="20"/>
          <w:color w:val="auto"/>
        </w:rPr>
      </w:pPr>
    </w:p>
    <w:p>
      <w:pPr>
        <w:sectPr>
          <w:pgSz w:w="11900" w:h="16838" w:orient="portrait"/>
          <w:cols w:equalWidth="0" w:num="2">
            <w:col w:w="7180" w:space="252"/>
            <w:col w:w="3988"/>
          </w:cols>
          <w:pgMar w:left="240" w:top="126"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Enoticumab (Dll4 Antibody)</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Completed patient enrollment of Phase 1</w:t>
            </w:r>
          </w:p>
        </w:tc>
        <w:tc>
          <w:tcPr>
            <w:tcW w:w="4080" w:type="dxa"/>
            <w:vAlign w:val="bottom"/>
          </w:tcPr>
          <w:p>
            <w:pPr>
              <w:spacing w:after="0"/>
              <w:rPr>
                <w:sz w:val="19"/>
                <w:szCs w:val="19"/>
                <w:color w:val="auto"/>
              </w:rPr>
            </w:pPr>
          </w:p>
        </w:tc>
      </w:tr>
      <w:tr>
        <w:trPr>
          <w:trHeight w:val="234"/>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expansion study</w:t>
            </w: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Nesvacumab (Ang2 Antibody)</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partial clinical hold by the FDA for systemic</w:t>
            </w:r>
          </w:p>
        </w:tc>
        <w:tc>
          <w:tcPr>
            <w:tcW w:w="408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in oncology</w:t>
            </w: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REGN1033 (GDF8 Antibody)</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and Phase</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Complete patient enrollment in Phase 1 and Phase</w:t>
            </w:r>
          </w:p>
        </w:tc>
      </w:tr>
      <w:tr>
        <w:trPr>
          <w:trHeight w:val="234"/>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2a studies</w:t>
            </w:r>
          </w:p>
        </w:tc>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2a programs</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REGN2009 (target not disclosed)</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Development discontinued</w:t>
            </w: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REGN2222 (target not disclosed)</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Initiated Phase 1 program</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REGN1400 (ErbB3 Antibody)</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REGN1154 (target not disclosed)</w:t>
            </w:r>
          </w:p>
        </w:tc>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Determine future development plan</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REGN1500 (target not disclosed)</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Complete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REGN1193 (target not disclosed)</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Continued patient enrollment in Phase 1 program</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Continue patient enrollment in Phase 1 program</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8"/>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 (target not disclosed)</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Completed patient enrollment of First in Human</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Initiate Phase 1b trial</w:t>
            </w:r>
          </w:p>
        </w:tc>
      </w:tr>
      <w:tr>
        <w:trPr>
          <w:trHeight w:val="234"/>
        </w:trPr>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study</w:t>
            </w:r>
          </w:p>
        </w:tc>
        <w:tc>
          <w:tcPr>
            <w:tcW w:w="4080" w:type="dxa"/>
            <w:vAlign w:val="bottom"/>
          </w:tcPr>
          <w:p>
            <w:pPr>
              <w:spacing w:after="0"/>
              <w:rPr>
                <w:sz w:val="20"/>
                <w:szCs w:val="20"/>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14"/>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REGN2176-3 (PDGFR-beta Antibody in</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Initiated Phase 1 program</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Complete Phase 1 study</w:t>
            </w:r>
          </w:p>
        </w:tc>
      </w:tr>
      <w:tr>
        <w:trPr>
          <w:trHeight w:val="292"/>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combination with EYLEA)</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Completed patient enrollment of Phase 1 study</w:t>
            </w:r>
          </w:p>
        </w:tc>
        <w:tc>
          <w:tcPr>
            <w:tcW w:w="4080" w:type="dxa"/>
            <w:vAlign w:val="bottom"/>
          </w:tcPr>
          <w:p>
            <w:pPr>
              <w:spacing w:after="0"/>
              <w:rPr>
                <w:sz w:val="24"/>
                <w:szCs w:val="24"/>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Ÿ</w:t>
            </w:r>
          </w:p>
        </w:tc>
        <w:tc>
          <w:tcPr>
            <w:tcW w:w="3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partial clinical hold by the FDA</w:t>
            </w:r>
          </w:p>
        </w:tc>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Ÿ  Determine future development plan</w:t>
            </w:r>
          </w:p>
        </w:tc>
      </w:tr>
      <w:tr>
        <w:trPr>
          <w:trHeight w:val="27"/>
        </w:trPr>
        <w:tc>
          <w:tcPr>
            <w:tcW w:w="3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669"/>
        </w:trPr>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35</w:t>
            </w:r>
          </w:p>
        </w:tc>
        <w:tc>
          <w:tcPr>
            <w:tcW w:w="4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June 30, 2014 and 2013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for the three months ended June 30, 2014 and 2013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Revenues for the three months ended June 30, 2014 and 2013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In November 2011, we received marketing approval from the FDA for EYLEA for the treatment of wet AMD, at which time EYLEA product sales commenced. In addition, in September 2012, we received marketing approval from the FDA for EYLEA for the treatment of macular edema following CRVO. For the three months ended June 30, 2014, EYLEA net product sales increased to $414.8 million from $329.8 million for the three months ended June 30, 2013 due to higher sales volume. For the three months ended June 30, 2014 and 2013, we also recognized ARCALYST net product sales of $3.2 million and $4.1 million, respectively.</w:t>
      </w:r>
    </w:p>
    <w:p>
      <w:pPr>
        <w:spacing w:after="0" w:line="23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2014 and 2013, we recorded 73% and 76%, respectively, of our total gross product revenue from sales to Besse Medical, a subsidiary of AmerisourceBergen Corporation.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(including Medicaid), distribution-related fees, prompt pay discounts, and other sales-related deductions. The following table summarizes the provisions, and credits/payments, for sales-related deductions for the three months ended June 30, 2014 and 2013.</w:t>
      </w:r>
    </w:p>
    <w:p>
      <w:pPr>
        <w:spacing w:after="0" w:line="38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Chargebacks</w:t>
            </w: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r>
      <w:tr>
        <w:trPr>
          <w:trHeight w:val="225"/>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consisted primarily of reimbursement for research and development expenses that we incurred in connection with the companies' antibody collaboration. In addition, Sanofi collaboration revenue for the three months ended June 30, 2013 was reduced by two $10.0 million up-front payments to Sanofi in connection with our acquisition from Sanofi of full exclusive rights to two families of novel antibodies, as described below.</w:t>
      </w:r>
    </w:p>
    <w:p>
      <w:pPr>
        <w:spacing w:after="0" w:line="383"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ZALTRAP</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commercialization expenses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Up-front payments to Sanofi for acquisition of rights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related to two antibodies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Antibody</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jc w:val="right"/>
              <w:ind w:right="86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4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48"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share of losses in connection with</w:t>
            </w:r>
          </w:p>
        </w:tc>
        <w:tc>
          <w:tcPr>
            <w:tcW w:w="160" w:type="dxa"/>
            <w:vAlign w:val="bottom"/>
          </w:tcPr>
          <w:p>
            <w:pPr>
              <w:spacing w:after="0"/>
              <w:rPr>
                <w:sz w:val="17"/>
                <w:szCs w:val="17"/>
                <w:color w:val="auto"/>
              </w:rPr>
            </w:pPr>
          </w:p>
        </w:tc>
        <w:tc>
          <w:tcPr>
            <w:tcW w:w="2500" w:type="dxa"/>
            <w:vAlign w:val="bottom"/>
            <w:gridSpan w:val="4"/>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commercialization of ZALTRAP</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960" w:type="dxa"/>
            <w:vAlign w:val="bottom"/>
            <w:gridSpan w:val="2"/>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recorded by Sanofi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Regeneron's share of collaboration losses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share of the loss in the second quarter of 2014 and 2013 represents our share of the costs of launching and commercializing ZALTRAP, partly offset by net product sales. Sanofi provides us with an estimate of our share of the profit or loss from commercialization of ZALTRAP for the most recent fiscal quarter; these estimates are reconciled to actual results in the subsequent fiscal quarter, and our portion of the profit or loss is adjusted accordingly, as necessary.</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second quarter of 2014, Sanofi's reimbursement of our antibody research and development expenses consisted of $42.9 million under our discovery agreement and $95.0 million of development costs under our license agreement, compared to $43.7 million and $61.6 million, respectively, in the second quarter of 2013. The higher reimbursement of development costs in the second quarter of 2014, compared to the same period in 2013, was primarily due to increased development activities for dupilumab, sarilumab, and alirocumab.</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Effective in the second quarter of 2014, we and Sanofi began sharing pre-launch commercialization expenses related to alirocumab in accordance with the companies’ antibody collaboration agreement.</w:t>
      </w:r>
    </w:p>
    <w:p>
      <w:pPr>
        <w:spacing w:after="0" w:line="16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family of receptors and ligands in ophthalmology and all other indications and to antibodies targeting the Ang2 receptor and ligand in ophthalmology. With respect to PDGF antibodies, we made a $10.0 million up-front payment to Sanofi in the second quarter of 2013. With respect to Ang2 antibodies in ophthalmology, we also made a $10.0 million up-front payment to Sanofi in the second quarter of 2013.</w:t>
      </w:r>
    </w:p>
    <w:p>
      <w:pPr>
        <w:spacing w:after="0" w:line="23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Other Sanofi antibody revenue includes recognition of deferred revenue from an $85.0 million up-front payment and other payments. As of June 30, 2014, $56.2 million of the up-front and other payments was deferred and will be recognized as revenue in future periods.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collaboration revenue we earned from Bayer HealthCare, as detailed below, primarily consisted of recognition of our share of profits in connection with commercialization of EYLEA outside the United States, recognition of sales milestones achieved, and reimbursement of other Regeneron EYLEA expenses.</w:t>
      </w:r>
    </w:p>
    <w:p>
      <w:pPr>
        <w:spacing w:after="0" w:line="244"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Bayer HealthCare Collaboration Revenue</w:t>
            </w: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milestones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PDGFR-beta antibody</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Bayer HealthCare commenced sales of EYLEA outside the United States for the treatment of wet AMD in the fourth quarter of 2012 and for the treatment of macular edema secondary to CRVO in the fourth quarter of 2013. Regeneron's net profit in connection with commercialization of EYLEA outside the United States is summarized below.</w:t>
      </w:r>
    </w:p>
    <w:p>
      <w:pPr>
        <w:spacing w:after="0" w:line="379"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Net Profit from EYLEA Sales Outside the</w:t>
            </w:r>
          </w:p>
        </w:tc>
        <w:tc>
          <w:tcPr>
            <w:tcW w:w="140" w:type="dxa"/>
            <w:vAlign w:val="bottom"/>
          </w:tcPr>
          <w:p>
            <w:pPr>
              <w:spacing w:after="0"/>
              <w:rPr>
                <w:sz w:val="18"/>
                <w:szCs w:val="18"/>
                <w:color w:val="auto"/>
              </w:rPr>
            </w:pPr>
          </w:p>
        </w:tc>
        <w:tc>
          <w:tcPr>
            <w:tcW w:w="2460" w:type="dxa"/>
            <w:vAlign w:val="bottom"/>
            <w:gridSpan w:val="4"/>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40" w:type="dxa"/>
            <w:vAlign w:val="bottom"/>
            <w:gridSpan w:val="2"/>
            <w:vMerge w:val="restart"/>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United States</w:t>
            </w:r>
          </w:p>
        </w:tc>
        <w:tc>
          <w:tcPr>
            <w:tcW w:w="14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of EYLEA development expenses incurred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Bayer HealthCare in accordance with Regeneron's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obligation</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14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second quarter of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second quarter of 2014, we earned, and recorded as revenue, a $15.0 million sales milestone from Bayer HealthCare upon total aggregate net sales of EYLEA outside the United States exceeding $700 million over a twelve-month period.</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 xml:space="preserve">Other EYLEA revenue principally consists of (i) reimbursement of other Regeneron EYLEA expenses, primarily related to Bayer HealthCare's share of royalties payable to Genentech which commenced in May 2013 pursuant to the license and settlement agreement as described below under "Liquidity and Capital Resources - </w:t>
      </w:r>
      <w:r>
        <w:rPr>
          <w:rFonts w:ascii="Times New Roman" w:cs="Times New Roman" w:eastAsia="Times New Roman" w:hAnsi="Times New Roman"/>
          <w:sz w:val="18"/>
          <w:szCs w:val="18"/>
          <w:i w:val="1"/>
          <w:iCs w:val="1"/>
          <w:color w:val="auto"/>
        </w:rPr>
        <w:t>License and Settlement Agreements with Genentech -</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1440" w:gutter="0" w:footer="0" w:header="0"/>
          <w:type w:val="continuous"/>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EYLEA</w:t>
      </w:r>
      <w:r>
        <w:rPr>
          <w:rFonts w:ascii="Times New Roman" w:cs="Times New Roman" w:eastAsia="Times New Roman" w:hAnsi="Times New Roman"/>
          <w:sz w:val="18"/>
          <w:szCs w:val="18"/>
          <w:color w:val="auto"/>
        </w:rPr>
        <w:t>", in connection with sales of EYLEA outside the United States, and (ii) recognition of deferred revenue related to EYLEA up-front and 2007 non-substantive milestone payments from Bayer HealthCare. As of June 30, 2014, $17.8 million of the EYLEA up-front and 2007 milestone payments was deferred and will be recognized ratably as revenue in future periods.</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with Bayer HealthCare - </w:t>
      </w:r>
      <w:r>
        <w:rPr>
          <w:rFonts w:ascii="Times New Roman" w:cs="Times New Roman" w:eastAsia="Times New Roman" w:hAnsi="Times New Roman"/>
          <w:sz w:val="18"/>
          <w:szCs w:val="18"/>
          <w:i w:val="1"/>
          <w:iCs w:val="1"/>
          <w:color w:val="auto"/>
        </w:rPr>
        <w:t>PDGFR-beta antibody 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United States.</w:t>
      </w:r>
      <w:r>
        <w:rPr>
          <w:rFonts w:ascii="Times New Roman" w:cs="Times New Roman" w:eastAsia="Times New Roman" w:hAnsi="Times New Roman"/>
          <w:sz w:val="18"/>
          <w:szCs w:val="18"/>
          <w:color w:val="auto"/>
        </w:rPr>
        <w:t>" Other PDGFR-beta antibody revenue consists of recognition of deferred revenue related to the PDGFR-beta up-front and non-substantive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received in the first quarter of 2014. As of June 30, 2014, $25.6 million of the PDGFR-beta up-front and 2014 milestone payments was deferred and will be recognized ratably as revenue in future periods.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second quarter of both 2014 and 2013, we recognized $5.9 million of technology licensing and other revenue related to this agreement. As of June 30, 2014, $92.8 million of the August 2010 technology licensing payment received from Astellas was deferred and will be recognized as revenue in future periods.</w:t>
      </w:r>
    </w:p>
    <w:p>
      <w:pPr>
        <w:spacing w:after="0" w:line="23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Under a June 2009 agreement with Novartis, we receive royalties on worldwide sales of Novartis' canakinumab. In the second quarter of 2014 and 2013, technology licensing and other revenue included $1.9 million and $1.1 million, respectively, of royalties from Novartis.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$443.3 million in the second quarter of 2014 from $299.5 million in the second quarter of 2013. Our average headcount in the second quarter of 2014 increased to 2,549 from 2,083 in the same period in 2013,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Operating expenses in the second quarter of 2014 and 2013 included a total of $70.5 million and $44.4 million, respectively, of non-cash compensation expense related to employee stock option and restricted stock awards (Non-cash Compensation Expense). The increase in total Non-cash Compensation Expense in the second quarter of 2014 was primarily attributable to the higher fair market value of our Common Stock on the date of our annual employee option grants made in December 2013 compared to recent prior years.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$294.5 million in the second quarter of 2014 from $187.5 million in the same period of 2013. The following table summarizes the major categories of our research and development expenses for the three months ended June 30, 2014 and 2013:</w:t>
      </w:r>
    </w:p>
    <w:p>
      <w:pPr>
        <w:spacing w:after="0" w:line="230"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160" w:type="dxa"/>
            <w:vAlign w:val="bottom"/>
          </w:tcPr>
          <w:p>
            <w:pPr>
              <w:spacing w:after="0"/>
              <w:rPr>
                <w:sz w:val="17"/>
                <w:szCs w:val="17"/>
                <w:color w:val="auto"/>
              </w:rPr>
            </w:pPr>
          </w:p>
        </w:tc>
        <w:tc>
          <w:tcPr>
            <w:tcW w:w="25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17"/>
                <w:szCs w:val="17"/>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64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5"/>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HealthCare and Sanofi</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840" w:hanging="130"/>
        <w:spacing w:after="0"/>
        <w:tabs>
          <w:tab w:leader="none" w:pos="184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35" w:lineRule="exact"/>
        <w:rPr>
          <w:rFonts w:ascii="Times New Roman" w:cs="Times New Roman" w:eastAsia="Times New Roman" w:hAnsi="Times New Roman"/>
          <w:sz w:val="16"/>
          <w:szCs w:val="16"/>
          <w:color w:val="auto"/>
        </w:rPr>
      </w:pPr>
    </w:p>
    <w:p>
      <w:pPr>
        <w:ind w:left="820" w:hanging="164"/>
        <w:spacing w:after="0" w:line="229" w:lineRule="auto"/>
        <w:tabs>
          <w:tab w:leader="none" w:pos="850"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Includes Non-cash Compensation Expense of $37.3 million for the three months ended June 30, 2014 and $24.7 million for the three months ended June 30, 2013.</w:t>
      </w:r>
    </w:p>
    <w:p>
      <w:pPr>
        <w:jc w:val="both"/>
        <w:ind w:left="820" w:hanging="164"/>
        <w:spacing w:after="0" w:line="228" w:lineRule="auto"/>
        <w:tabs>
          <w:tab w:leader="none" w:pos="876"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$6.5 million for the three months ended June 30, 2014 and $3.0 million for the three months ended June 30, 2013.</w:t>
      </w:r>
    </w:p>
    <w:p>
      <w:pPr>
        <w:spacing w:after="0" w:line="1" w:lineRule="exact"/>
        <w:rPr>
          <w:rFonts w:ascii="Times New Roman" w:cs="Times New Roman" w:eastAsia="Times New Roman" w:hAnsi="Times New Roman"/>
          <w:sz w:val="25"/>
          <w:szCs w:val="25"/>
          <w:color w:val="auto"/>
          <w:vertAlign w:val="superscript"/>
        </w:rPr>
      </w:pPr>
    </w:p>
    <w:p>
      <w:pPr>
        <w:jc w:val="both"/>
        <w:ind w:left="820" w:hanging="164"/>
        <w:spacing w:after="0" w:line="232" w:lineRule="auto"/>
        <w:tabs>
          <w:tab w:leader="none" w:pos="861"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Under our collaborations with Bayer HealthCare and Sanofi, in periods when Bayer HealthCare or Sanofi incurs certain development expenses, we also recognize, as additional research and development expense, the portion of our collaboration partners' development expenses that we are obligated to reimburse. Our collaboration partners provide us with estimated development expenses for the most recent fiscal quarter. Bayer HealthCare and Sanofi’s estimates are reconciled to their actual expenses for such quarter in the subsequent fiscal quarter, and our portion of our collaboration partners' development expenses that we are obligated to reimburse is adjusted accordingly.</w:t>
      </w:r>
    </w:p>
    <w:p>
      <w:pPr>
        <w:spacing w:after="0" w:line="25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due primarily to higher costs for clinical studies of dupilumab, alirocumab, and REGN1033. Clinical manufacturing costs increased primarily due to higher costs related to manufacturing clinical supplies of sarilumab and alirocumab. Cost-sharing of Bayer HealthCare and Sanofi development expenses increased primarily due to our obligation to fund 20% of Sanofi's Phase 3 alirocumab and sarilumab development costs, which commenced during the fourth quarter of 2013.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57"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Project Costs</w:t>
            </w:r>
          </w:p>
        </w:tc>
        <w:tc>
          <w:tcPr>
            <w:tcW w:w="280" w:type="dxa"/>
            <w:vAlign w:val="bottom"/>
          </w:tcPr>
          <w:p>
            <w:pPr>
              <w:spacing w:after="0"/>
              <w:rPr>
                <w:sz w:val="17"/>
                <w:szCs w:val="17"/>
                <w:color w:val="auto"/>
              </w:rPr>
            </w:pPr>
          </w:p>
        </w:tc>
        <w:tc>
          <w:tcPr>
            <w:tcW w:w="146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Alirocumab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5"/>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4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3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$102.4 million in the second quarter of 2014 from $72.5 million in the second quarter of 2013 primarily due to higher Non-cash Compensation Expense principally for the reason described under "Expenses" above, higher headcount and headcount-related costs, higher legal costs primarily resulting from patent enforcement, and higher commercialization expenses related to EYLEA and pre-commercialization costs related to late-stage antibody product candidates. Selling, general, and administrative expenses included $26.2 million and $16.3 million of Non-cash Compensation Expense in the second quarter of 2014 and 2013,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Cost of goods sold was $29.9 million in the second quarter of 2014 and $27.3 million in the second quarter of 2013. Cost of goods sold primarily consisted of royalties, as well as costs in connection with producing EYLEA and ARCALYST commercial supplies.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Manufacturing</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manufacture commercial supplies of product for our collaborators. Cost of collaboration manufacturing increased to $16.4 million in the second quarter of 2014 from $12.3 million in the second quarter of 2013 primarily due to royalties payable in connection with higher sales of EYLEA outside the United States. Cost of collaboration manufacturing also includes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Interest expense in the second quarter of 2014 and 2013 primarily includes interest associated with our 1.875% convertible senior notes, including amortization of the note discount and debt issuance costs, and interest associated with our facility lease obligations. The slight decrease in the second quarter of 2014 compared to the same period in 2013 was primarily due to the conversion of $61.1 million principal amount of the $400.0 million aggregate principal amount of the notes. In addition, we recognized a $10.8 million loss in the second quarter of 2014 in connection with these note conversions.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4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second quarter of 2014 and 2013, we recorded income tax expense of $110.4 million and $60.3 million, respectively. The effective tax rate was 54.3% and 40.8% for the second quarter of 2014 and 2013, respectively. The second quarter 2014 effective tax rate was negatively impacted by losses incurred in foreign jurisdictions with rates lower than the federal statutory rate and expiration at the end of 2013 of the federal tax credit for increased research activities.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Six Months Ended June 30, 2014 and 2013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 for the six months ended June 30, 2014 and 2013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Revenues for the six months ended June 30, 2014 and 2013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2"/>
                <w:szCs w:val="22"/>
                <w:color w:val="auto"/>
              </w:rPr>
            </w:pPr>
          </w:p>
        </w:tc>
        <w:tc>
          <w:tcPr>
            <w:tcW w:w="4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type w:val="continuous"/>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product sales consist of U.S. sales of EYLEA and ARCALYST. For the six months ended June 30, 2014, EYLEA net product sales increased to $773.8 million from $643.7 million for the six months ended June 30, 2013 due to higher sales volume. For the six months ended June 30, 2014 and 2013, we also recognized ARCALYST net product sales of $6.6 million and $8.9 million, respectively.</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2014 and 2013, we recorded 76% and 77%, respectively, of our total gross product revenue from sales to Besse Medical, a subsidiary of AmerisourceBergen Corporation.</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and chargebacks under governmental programs (including Medicaid), distribution-related fees, prompt pay discounts, and other sales-related deductions. The following table summarizes the provisions, and credits/payments, for sales-related deductions for the six months ended June 30, 2014 and 2013.</w:t>
      </w:r>
    </w:p>
    <w:p>
      <w:pPr>
        <w:spacing w:after="0" w:line="38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Other Sales-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Rebates &amp;</w:t>
            </w: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Chargebacks</w:t>
            </w:r>
          </w:p>
        </w:tc>
        <w:tc>
          <w:tcPr>
            <w:tcW w:w="2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5"/>
        </w:trPr>
        <w:tc>
          <w:tcPr>
            <w:tcW w:w="2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as of December 31,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25"/>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2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related to current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2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period sales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57"/>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2013</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p>
      <w:pPr>
        <w:spacing w:after="0" w:line="281"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collaboration revenue we earned from Sanofi, as detailed below, consisted primarily of reimbursement for research and development expenses that we incurred in connection with the companies' antibody collaboration. In addition, Sanofi collaboration revenue for the six months ended June 30, 2013 was reduced by two $10.0 million up-front payments to Sanofi in connection with our acquisition from Sanofi of full exclusive rights to two families of novel antibodies, as described below.</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Sanofi Collaboration Revenue</w:t>
            </w: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4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 of ZALTRAP</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Regeneron's share of commercialization expenses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5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273.1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549"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6" w:right="239" w:bottom="549" w:gutter="0" w:footer="0" w:header="0"/>
          <w:type w:val="continuous"/>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Regeneron's share of the loss in connection with commercialization of ZALTRAP, as shown in the table below, represents our 50% share of ZALTRAP net product sales less cost of goods sold and shared commercialization and other expenses.</w:t>
      </w:r>
    </w:p>
    <w:p>
      <w:pPr>
        <w:spacing w:after="0" w:line="230"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share of losses in connection with</w:t>
            </w:r>
          </w:p>
        </w:tc>
        <w:tc>
          <w:tcPr>
            <w:tcW w:w="280" w:type="dxa"/>
            <w:vAlign w:val="bottom"/>
          </w:tcPr>
          <w:p>
            <w:pPr>
              <w:spacing w:after="0"/>
              <w:rPr>
                <w:sz w:val="17"/>
                <w:szCs w:val="17"/>
                <w:color w:val="auto"/>
              </w:rPr>
            </w:pPr>
          </w:p>
        </w:tc>
        <w:tc>
          <w:tcPr>
            <w:tcW w:w="23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commercialization of ZALTRAP</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center"/>
              <w:ind w:left="5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960" w:type="dxa"/>
            <w:vAlign w:val="bottom"/>
            <w:gridSpan w:val="2"/>
            <w:vMerge w:val="restart"/>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vMerge w:val="continue"/>
          </w:tcPr>
          <w:p>
            <w:pPr>
              <w:spacing w:after="0"/>
              <w:rPr>
                <w:sz w:val="20"/>
                <w:szCs w:val="20"/>
                <w:color w:val="auto"/>
              </w:rPr>
            </w:pPr>
          </w:p>
        </w:tc>
        <w:tc>
          <w:tcPr>
            <w:tcW w:w="19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recorded by Sanofi</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Regeneron's share of collaboration losses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share of the loss in the first half of 2014 and 2013 represents our share of the costs of launching and commercializing ZALTRAP, partly offset by net product sales. Sanofi provides us with an estimate of our share of the profit or loss from commercialization of ZALTRAP for the most recent fiscal quarter; these estimates are reconciled to actual results in the subsequent fiscal quarter, and our portion of the profit or loss is adjusted accordingly, as necessary.</w:t>
      </w:r>
    </w:p>
    <w:p>
      <w:pPr>
        <w:spacing w:after="0" w:line="23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the first half of 2014, Sanofi's reimbursement of our antibody research and development expenses consisted of $83.1 million under our discovery agreement and $181.6 million of development costs under our license agreement, compared to $88.1 million and $116.8 million, respectively, in the first half of 2013. The higher reimbursement of development costs in the first half of 2014, compared to the same period in 2013, was primarily due to increased development activities for dupilumab, sarilumab, and alirocumab.</w:t>
      </w:r>
    </w:p>
    <w:p>
      <w:pPr>
        <w:spacing w:after="0" w:line="23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in the second quarter of 2013, we made two $10.0 million up-front payments to Sanofi in connection with acquiring from Sanofi full exclusive rights to (i) antibodies targeting the PDGF family of receptors and ligands in opthalmology and all other indications and (ii) antibodies targeting the Ang2 receptor and ligand in ophthalmology.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Bayer HealthCare Collaboration Revenue</w:t>
      </w:r>
    </w:p>
    <w:p>
      <w:pPr>
        <w:spacing w:after="0" w:line="281"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collaboration revenue we earned from Bayer HealthCare, as detailed below, primarily consisted of recognition of our share of profits in connection with commercialization of EYLEA outside the United States, recognition of sales milestones achieved, cost-sharing of Regeneron development expenses, and reimbursement of other Regeneron EYLEA expenses.</w:t>
      </w:r>
    </w:p>
    <w:p>
      <w:pPr>
        <w:spacing w:after="0" w:line="253"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2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Bayer HealthCare Collaboration Revenue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Regeneron EYLEA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Cost-sharing of REGN2176-3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Bayer HealthCare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jc w:val="right"/>
              <w:ind w:right="90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45" w:name="page46"/>
    <w:bookmarkEnd w:id="4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28"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Regeneron's Net Profit from EYLEA Sales Outside the</w:t>
            </w:r>
          </w:p>
        </w:tc>
        <w:tc>
          <w:tcPr>
            <w:tcW w:w="280" w:type="dxa"/>
            <w:vAlign w:val="bottom"/>
          </w:tcPr>
          <w:p>
            <w:pPr>
              <w:spacing w:after="0"/>
              <w:rPr>
                <w:sz w:val="17"/>
                <w:szCs w:val="17"/>
                <w:color w:val="auto"/>
              </w:rPr>
            </w:pPr>
          </w:p>
        </w:tc>
        <w:tc>
          <w:tcPr>
            <w:tcW w:w="23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40" w:type="dxa"/>
            <w:vAlign w:val="bottom"/>
            <w:gridSpan w:val="2"/>
            <w:vMerge w:val="restart"/>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46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half of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the first half of 2014, we earned, and recorded as revenue, three $15.0 million sales milestones from Bayer HealthCare upon total aggregate net sales of EYLEA outside the United States exceeding $500 million, $600 million, and $700 million, respectively, over a twelve-month period.</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Cost-sharing of our global EYLEA development expenses with Bayer HealthCare increased in the first half of 2014 compared to the same period in 2013.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 upon global EYLEA development expenses incurred in connection with BRVO are being shared equally, and any future profits or losses on sales of EYLEA outside of the United States for the treatment of macular edema following BRVO will also be shared.</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Other EYLEA revenue principally consists of (i) reimbursement of other Regeneron EYLEA expenses, primarily related to Bayer HealthCare's share of royalties payable to Genentech which commenced in May 2013 pursuant to the license and settlement agreement as described below under "Liquidity and Capital Resources - </w:t>
      </w:r>
      <w:r>
        <w:rPr>
          <w:rFonts w:ascii="Times New Roman" w:cs="Times New Roman" w:eastAsia="Times New Roman" w:hAnsi="Times New Roman"/>
          <w:sz w:val="18"/>
          <w:szCs w:val="18"/>
          <w:i w:val="1"/>
          <w:iCs w:val="1"/>
          <w:color w:val="auto"/>
        </w:rPr>
        <w:t>License and Settlement Agreements with Genentech - EYLEA</w:t>
      </w:r>
      <w:r>
        <w:rPr>
          <w:rFonts w:ascii="Times New Roman" w:cs="Times New Roman" w:eastAsia="Times New Roman" w:hAnsi="Times New Roman"/>
          <w:sz w:val="18"/>
          <w:szCs w:val="18"/>
          <w:color w:val="auto"/>
        </w:rPr>
        <w:t>", in connection with sales of EYLEA outside the United States, and (ii) recognition of deferred revenue related to EYLEA up-front and 2007 non-substantive milestone payments from Bayer HealthCare.</w:t>
      </w:r>
    </w:p>
    <w:p>
      <w:pPr>
        <w:spacing w:after="0" w:line="23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Cost-sharing of REGN2176-3 development expenses with Bayer HealthCare commenced in the first quarter of 2014 following the execution of the companies' PDGFR-beta antibody collaboration agreement as described above under "Collaboration with Bayer HealthCare - </w:t>
      </w:r>
      <w:r>
        <w:rPr>
          <w:rFonts w:ascii="Times New Roman" w:cs="Times New Roman" w:eastAsia="Times New Roman" w:hAnsi="Times New Roman"/>
          <w:sz w:val="18"/>
          <w:szCs w:val="18"/>
          <w:i w:val="1"/>
          <w:iCs w:val="1"/>
          <w:color w:val="auto"/>
        </w:rPr>
        <w:t>PDGFR-beta antibody 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United States.</w:t>
      </w:r>
      <w:r>
        <w:rPr>
          <w:rFonts w:ascii="Times New Roman" w:cs="Times New Roman" w:eastAsia="Times New Roman" w:hAnsi="Times New Roman"/>
          <w:sz w:val="18"/>
          <w:szCs w:val="18"/>
          <w:color w:val="auto"/>
        </w:rPr>
        <w:t>" Other PDGFR-beta antibody revenue consists of recognition of deferred revenue related to the PDGFR-beta up-front and non-substantive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received in the first quarter of 2014.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amendment and extension of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the first half of both 2014 and 2013, we recognized $11.8 million of technology licensing and other revenue related to this agreement.</w:t>
      </w:r>
    </w:p>
    <w:p>
      <w:pPr>
        <w:spacing w:after="0" w:line="23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Under a June 2009 agreement with Novartis, we receive royalties on worldwide sales of Novartis' canakinumab. In the first half of 2014 and 2013, technology licensing and other revenue included $3.5 million and $2.1 million, respectively, of royalties from Novartis.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to $883.1 million in the first half of 2014 from $586.2 million in the first half of 2013. Our average headcount in the first half of 2014 increased to 2,469 from 2,039 in the same period in 2013, principally in connection with expanding our research and development, and commercialization activities.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Operating expenses in the first half of 2014 and 2013 included a total of $151.9 million and $97.5 million respectively, of Non-cash Compensation Expense. The increase in total Non-cash Compensation Expense in the first half of 2014 was primarily attributable to the higher fair market value of our Common Stock on the date of our annual employee option grants made in December 2013 compared to recent prior years.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to $581.9 million in the first half of 2014 from $367.8 million in the same period of 2013. The following table summarizes the major categories of our research and development expenses for the six months ended June 30, 2014 and 2013:</w:t>
      </w:r>
    </w:p>
    <w:p>
      <w:pPr>
        <w:spacing w:after="0" w:line="239"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Research and Development Expenses*</w:t>
            </w:r>
          </w:p>
        </w:tc>
        <w:tc>
          <w:tcPr>
            <w:tcW w:w="300" w:type="dxa"/>
            <w:vAlign w:val="bottom"/>
          </w:tcPr>
          <w:p>
            <w:pPr>
              <w:spacing w:after="0"/>
              <w:rPr>
                <w:sz w:val="17"/>
                <w:szCs w:val="17"/>
                <w:color w:val="auto"/>
              </w:rPr>
            </w:pPr>
          </w:p>
        </w:tc>
        <w:tc>
          <w:tcPr>
            <w:tcW w:w="1440" w:type="dxa"/>
            <w:vAlign w:val="bottom"/>
            <w:gridSpan w:val="3"/>
          </w:tcPr>
          <w:p>
            <w:pPr>
              <w:jc w:val="right"/>
              <w:ind w:right="1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640" w:type="dxa"/>
            <w:vAlign w:val="bottom"/>
            <w:vMerge w:val="restart"/>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Payroll and benefits </w:t>
            </w:r>
            <w:r>
              <w:rPr>
                <w:rFonts w:ascii="Times New Roman" w:cs="Times New Roman" w:eastAsia="Times New Roman" w:hAnsi="Times New Roman"/>
                <w:sz w:val="18"/>
                <w:szCs w:val="18"/>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Clinical trial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Clinical manufacturing costs </w:t>
            </w:r>
            <w:r>
              <w:rPr>
                <w:rFonts w:ascii="Times New Roman" w:cs="Times New Roman" w:eastAsia="Times New Roman" w:hAnsi="Times New Roman"/>
                <w:sz w:val="18"/>
                <w:szCs w:val="18"/>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other development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5"/>
        </w:trPr>
        <w:tc>
          <w:tcPr>
            <w:tcW w:w="3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Cost-sharing of Bayer HealthCare and Sanofi</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development expenses </w:t>
            </w:r>
            <w:r>
              <w:rPr>
                <w:rFonts w:ascii="Times New Roman" w:cs="Times New Roman" w:eastAsia="Times New Roman" w:hAnsi="Times New Roman"/>
                <w:sz w:val="18"/>
                <w:szCs w:val="18"/>
                <w:color w:val="auto"/>
                <w:vertAlign w:val="superscript"/>
              </w:rPr>
              <w:t>(3)</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920" w:hanging="129"/>
        <w:spacing w:after="0"/>
        <w:tabs>
          <w:tab w:leader="none" w:pos="1920"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135" w:lineRule="exact"/>
        <w:rPr>
          <w:rFonts w:ascii="Times New Roman" w:cs="Times New Roman" w:eastAsia="Times New Roman" w:hAnsi="Times New Roman"/>
          <w:sz w:val="16"/>
          <w:szCs w:val="16"/>
          <w:color w:val="auto"/>
        </w:rPr>
      </w:pPr>
    </w:p>
    <w:p>
      <w:pPr>
        <w:ind w:left="820" w:hanging="164"/>
        <w:spacing w:after="0" w:line="235" w:lineRule="auto"/>
        <w:tabs>
          <w:tab w:leader="none" w:pos="836"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Non-cash Compensation Expense of $74.9 million for the six months ended June 30, 2014 and $48.4 million for the six months ended June 30, 2013.</w:t>
      </w:r>
    </w:p>
    <w:p>
      <w:pPr>
        <w:jc w:val="both"/>
        <w:ind w:left="820" w:hanging="164"/>
        <w:spacing w:after="0" w:line="228" w:lineRule="auto"/>
        <w:tabs>
          <w:tab w:leader="none" w:pos="876"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$12.2 million for the six months ended June 30, 2014 and $6.1 million for the six months ended June 30, 2013.</w:t>
      </w:r>
    </w:p>
    <w:p>
      <w:pPr>
        <w:spacing w:after="0" w:line="1" w:lineRule="exact"/>
        <w:rPr>
          <w:rFonts w:ascii="Times New Roman" w:cs="Times New Roman" w:eastAsia="Times New Roman" w:hAnsi="Times New Roman"/>
          <w:sz w:val="25"/>
          <w:szCs w:val="25"/>
          <w:color w:val="auto"/>
          <w:vertAlign w:val="superscript"/>
        </w:rPr>
      </w:pPr>
    </w:p>
    <w:p>
      <w:pPr>
        <w:jc w:val="both"/>
        <w:ind w:left="820" w:hanging="164"/>
        <w:spacing w:after="0" w:line="232" w:lineRule="auto"/>
        <w:tabs>
          <w:tab w:leader="none" w:pos="861"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Under our collaborations with Bayer HealthCare and Sanofi, in periods when Bayer HealthCare or Sanofi incurs certain development expenses, we also recognize, as additional research and development expense, the portion of our collaboration partners' development expenses that we are obligated to reimburse. Our collaboration partners provide us with estimated development expenses for the most recent fiscal quarter. Bayer HealthCare and Sanofi’s estimates are reconciled to their actual expenses for such quarter in the subsequent fiscal quarter, and our portion of our collaboration partners' development expenses that we are obligated to reimburse is adjusted accordingly.</w:t>
      </w:r>
    </w:p>
    <w:p>
      <w:pPr>
        <w:spacing w:after="0" w:line="254"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Payroll and benefits increased principally due to the increase in employee headcount and Non-cash Compensation Expense, as described above. Clinical trial expenses increased due primarily to higher costs for clinical studies of dupilumab, alirocumab, and REGN1033. Clinical manufacturing costs increased primarily due to higher costs related to manufacturing clinical supplies of dupilumab and sarilumab. Research and other development costs increased primarily due to two $5.0 million development milestone payments we made to Sanofi in the first quarter of 2014 in connection with our acquisition from Sanofi of full exclusive rights to antibodies targeting the PDGF family of receptors in May 2013, as well as higher costs associated with our early stage antibody research and development programs.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alirocumab and sarilumab development costs, which commenced during the fourth quarter of 2013.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Project Costs</w:t>
            </w:r>
          </w:p>
        </w:tc>
        <w:tc>
          <w:tcPr>
            <w:tcW w:w="220" w:type="dxa"/>
            <w:vAlign w:val="bottom"/>
          </w:tcPr>
          <w:p>
            <w:pPr>
              <w:spacing w:after="0"/>
              <w:rPr>
                <w:sz w:val="17"/>
                <w:szCs w:val="17"/>
                <w:color w:val="auto"/>
              </w:rPr>
            </w:pPr>
          </w:p>
        </w:tc>
        <w:tc>
          <w:tcPr>
            <w:tcW w:w="25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3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338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EYLEA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Alirocumab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Sarilumab</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Dupilumab</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antibody candidates in clinical</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5"/>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research programs and unallocated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research and development</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For the reasons described above under "Research and Development Expenses" for the three months ended June 30, 2014 and 2013,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to $211.3 million in the first half of 2014 from $149.7 million in the first half of 2013 primarily due to higher Non-cash Compensation Expense principally for the reason described under "Expenses" above, higher headcount and headcount-related costs, higher expenses in connection with contributions to a not-for-profit organization that assists patients with chronic disease conditions, and higher legal costs primarily in connection with patent enforcement. Selling, general, and administrative expenses included $63.8 million and $42.1 million of Non-cash Compensation Expense in the first half of 2014 and 2013,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Cost of goods sold was $57.4 million in the first half of 2014 and $55.3 million in the first half of 2013. Cost of goods sold primarily consisted of royalties, as well as costs in connection with producing EYLEA and ARCALYST commercial supplies. In addition, in the first half of 2014 and 2013, cost of goods sold included inventory write-downs and reserves totaling $1.9 million and $4.9 million, respectively. We record a charge to cost of goods sold to write down our inventory to its estimated realizable value if certain batches or units of product do not meet quality specifications or are expected to expire prior to sale.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Manufacturing</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We manufacture commercial supplies of product for our collaborators. Cost of collaboration manufacturing increased to $32.5 million in the first half of 2014 from $13.4 million in the first half of 2013 primarily due to royalties payable to Genentech, which commenced in May 2013 pursuant to the license and settlement agreement as described below under "Liquidity and Capital Resources - </w:t>
      </w:r>
      <w:r>
        <w:rPr>
          <w:rFonts w:ascii="Times New Roman" w:cs="Times New Roman" w:eastAsia="Times New Roman" w:hAnsi="Times New Roman"/>
          <w:sz w:val="18"/>
          <w:szCs w:val="18"/>
          <w:i w:val="1"/>
          <w:iCs w:val="1"/>
          <w:color w:val="auto"/>
        </w:rPr>
        <w:t>License and Settlement Agreements with Genentech - EYLEA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connection with sales of EYLEA outside the United States. Cost of collaboration manufacturing also includes costs in connection with producing commercial supplies for our collaborators. When the product is sold by our collaborators to third-party customers, our risk of inventory loss no longer exists, and we therefore recognize our related manufacturing costs for the sold product as cost of collaboration manufacturing.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8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Interest expense in the first half of 2014 and 2013 primarily includes interest associated with our 1.875% convertible senior notes, including amortization of the note discount and debt issuance costs, and interest associated with our facility lease obligations. The slight decrease in the first half of 2014 compared to the same period in 2013 was primarily due to the conversion of $61.1 million principal amount of the $400.0 million aggregate principal amount of the notes in the second quarter of 2014. In addition, we recognized a $10.8 million loss in connection with these note conversions.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10" w:lineRule="exact"/>
        <w:rPr>
          <w:sz w:val="20"/>
          <w:szCs w:val="20"/>
          <w:color w:val="auto"/>
        </w:rPr>
      </w:pPr>
    </w:p>
    <w:p>
      <w:pPr>
        <w:jc w:val="both"/>
        <w:ind w:firstLine="243"/>
        <w:spacing w:after="0" w:line="307" w:lineRule="auto"/>
        <w:rPr>
          <w:sz w:val="20"/>
          <w:szCs w:val="20"/>
          <w:color w:val="auto"/>
        </w:rPr>
      </w:pPr>
      <w:r>
        <w:rPr>
          <w:rFonts w:ascii="Times New Roman" w:cs="Times New Roman" w:eastAsia="Times New Roman" w:hAnsi="Times New Roman"/>
          <w:sz w:val="18"/>
          <w:szCs w:val="18"/>
          <w:color w:val="auto"/>
        </w:rPr>
        <w:t>In the first half of 2014 and 2013, we recorded income tax expense of $220.2 million and $103.3 million, respectively. The effective tax rate for the first half of 2014 was 58.2% and was negatively impacted by (i) losses incurred in foreign jurisdictions with rates lower than the federal statutory rate, (ii) expiration at the end of 2013 of the federal tax credit for increased research activities, and (iii) New York State tax legislation enacted in the first quarter of 2014. This tax legislation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3.9% for the first half of 2014.</w:t>
      </w:r>
    </w:p>
    <w:p>
      <w:pPr>
        <w:spacing w:after="0" w:line="20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effective tax rate for the first half of 2013 was 35.7%, which included, as a discrete item, the impact of enacting The American Taxpayer Relief Act in January 2013. The American Taxpayer Relief Act included a provision to extend the income tax credit for increased research activities retroactively for the tax year ended December 31, 2012. As a result, our 2012 research tax credit reduced our effective tax rate for the first half of 2013 by 6.0%.</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Six Months Ended June 30, 2014 and 2013</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At June 30, 2014, we had $1,367.7 million in cash, cash equivalents, and marketable securities compared with $1,083.9 million at December 31, 2013. EYLEA net trade accounts receivable were $663.1 million at June 30, 2014 and $785.8 million at December 31, 2013. During the six months ended June 30, 2014, we collected $947.3 million of EYLEA trade receivables.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$381.3 million in the first half of 2014. Our net income of $158.2 million in the first half of 2014 included the following non-cash expenses: (i) Non-cash Compensation Expense of $151.9 million, (ii) depreciation and amortization of $24.5 million, (iii) non-cash interest expense of $10.9 million, primarily resulting from the amortization of the discount and debt issuance costs in connection with our convertible senior notes, which were issued in October 2011, and (iv) a non-cash charge of $10.8 million related to the conversion of $61.1 million principal amount of our 1.875% convertible senior notes, as described below. In addition, deferred tax assets at June 30, 2014 increased by $32.5 million, compared to end-of-year 2013, primarily due to an increase in Non-cash Compensation Expense, partly offset by the reduction of our deferred tax assets related to the recently enacted New York State tax legislation, which reduced our New York State income tax rate to zero percent effective in 2014.</w:t>
      </w:r>
    </w:p>
    <w:p>
      <w:pPr>
        <w:spacing w:after="0" w:line="24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At June 30, 2014, Sanofi, Bayer HealthCare, and trade accounts receivable decreased by $61.0 million, compared to end-of-year 2013, primarily due to lower trade accounts receivable resulting from shortened payment terms to certain of our U.S. EYLEA customers effective January 2014, partly offset by higher amounts receivable from Bayer HealthCare in connection with the commercialization of EYLEA outside the United States. Inventories increased by $37.3 million, compared to end-of-year 2013, primarily in connection with increased production of EYLEA commercial supplies. Prepaid expenses and other assets increased by $29.4 million, compared to end-of-year 2013, primarily due to higher prepaid sales-related fees. Our deferred revenue at June 30, 2014 increased by $39.8 million, compared to end-of-year 2013, primarily due to (i) the receipt of a $25.5 million upfront payment as well as two $2.5 million non-substantive development milestone payments in the first quarter of 2014 in connection with our PDGFR-beta antibody collaboration agreement with Bayer HealthCare, and (ii) higher deferred revenue in connection with manufacturing commercial supplies of EYLEA for Bayer HealthCare, which is deferred until the product is sold by Bayer HealthCare to third-party customers. These increases were partly offset by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$16.8 million at June 30, 2014, compared to end-of-year 2013, primarily due to higher accruals for sales-related charges and capital expenditures, partly offset by lower payroll-related liabilities as our year-end 2013 employee cash bonuses were paid in the first quarter of 2014 and lower liabilities for vendor invoices received but not yet paid.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 was $214.4 million in the first half of 2013. Our net income of $186.3 million in the first half of 2013 included</w:t>
      </w:r>
    </w:p>
    <w:p>
      <w:pPr>
        <w:spacing w:after="0" w:line="27" w:lineRule="exact"/>
        <w:rPr>
          <w:sz w:val="20"/>
          <w:szCs w:val="20"/>
          <w:color w:val="auto"/>
        </w:rPr>
      </w:pPr>
    </w:p>
    <w:p>
      <w:pPr>
        <w:jc w:val="both"/>
        <w:ind w:firstLine="8"/>
        <w:spacing w:after="0" w:line="254" w:lineRule="auto"/>
        <w:tabs>
          <w:tab w:leader="none" w:pos="23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 of $97.5 million, (ii) depreciation and amortization of $19.1 million, (iii) non-cash interest expense of $11.3 million, resulting from the amortization of the discount and debt issuance costs in connection with our convertible senior notes, and (iv) other non-cash charges, including $4.9 million of inventory write-downs and reserves and $10.8 million of other non-cash tax related charges. In addition, deferred tax assets at June 30, 2013 decreased by $92.5 million, compared to end-of-year 2012, due to utilization of these assets to offset income taxes payable for the first half of 2013.</w:t>
      </w:r>
    </w:p>
    <w:p>
      <w:pPr>
        <w:spacing w:after="0" w:line="24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At June 30, 2013, Sanofi, Bayer HealthCare, and trade accounts receivable increased by $206.1 million, compared to end-of-year 2012, primarily due to higher trade accounts receivable in connection with EYLEA product sales and a higher receivable balance due from Bayer HealthCare in connection with the launch of EYLEA outside the United States. Inventories increased by $31.1 million, compared to end-of-year 2012, primarily in connection with production of EYLEA commercial supplies. Our deferred revenue at June 30, 2013 decreased by $11.6 million, compared to end-of-year 2012, primarily due to amortization of a previously deferred $165.0 million payment under our license agreement with Astellas and amortization of previously deferred payments under our Sanofi and Bayer HealthCare collaborations, partly offset by costs of product manufactured and shipped to Sanofi and Bayer HealthCare for which recognition of revenue has been deferred. Accounts payable, accrued expenses, and other liabilities increased by $35.6 million at June 30, 2013, compared to end-of-year 2012, primarily due to higher sales-related charges, deductions, and royalties related to EYLEA and higher payroll-related liabilities.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81"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was $354.4 million and $31.1 million in the first half of 2014 and 2013, respectively. In the first half of 2014, purchases of marketable securities exceeded sales or maturities by $218.7 million, whereas in the first half of 2013, sales or maturities of marketable securities exceeded purchases by $24.6 million. Capital expenditures of $135.7 million and $55.7 million, in the first half of 2014 and 2013, respectively, included costs in connection with purchasing manufacturing equipment, expanding our Rensselaer, New York manufacturing facilities, and tenant improvement and associated costs related to our leased facilities in Tarrytown, New York. In addition, capital expenditures in the first half of 2014 included costs in connection with the acquisition and renovations of our Limerick, Ireland manufacturing facility.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Financing Activities</w:t>
      </w:r>
    </w:p>
    <w:p>
      <w:pPr>
        <w:spacing w:after="0" w:line="281"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Net cash provided by financing activities was $37.6 million in the first half of 2014, and net cash used in financing activities was $32.0 million in the first half of 2013. In the second quarter of 2014, $61.1 million principal amount of our 1.875% convertible senior notes was surrendered for conversion.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second quarter of 2014, we entered into agreements to reduce the number of warrants held by each of the warrant holders in proportion to the amount of notes converted. Pursuant to the agreements, we paid an aggregate amount of $143.0 million to the warrant holders to reduce the maximum number of shares of Common Stock issuable upon exercise of the warrants from 4,760,840 to 4,033,324 (subject to adjustment from time to time as provided in the applicable warrant agreements). Proceeds from issuances of Common Stock, in connection with exercises of employee stock options, were $63.1 million in the first half of 2014 compared to $34.3 million in the first half of 2013. In addition, payments for employee tax obligations in connection with stock option exercises were $65.0 million in the first half of 2014 compared to $73.1 million in the first half of 2013. Cash flows from financing activities also increased by $244.2 million and $7.9 million in the first half of 2014 and 2013, respectively, due to utilization of excess tax benefits in connection with stock option exercises, which offset cash tax obligations.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Marketable Securities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At June 30, 2014 and December 31, 2013, we held $767.6 million and $548.3 million, respectively, of marketable securities which consisted of debt securities issued by investment grade institutions as well as equity securities. The composition of our portfolio of marketable securities on these dates was as follows:</w:t>
      </w:r>
    </w:p>
    <w:p>
      <w:pPr>
        <w:spacing w:after="0" w:line="253" w:lineRule="exact"/>
        <w:rPr>
          <w:sz w:val="20"/>
          <w:szCs w:val="20"/>
          <w:color w:val="auto"/>
        </w:rPr>
      </w:pPr>
    </w:p>
    <w:tbl>
      <w:tblPr>
        <w:tblLayout w:type="fixed"/>
        <w:tblInd w:w="16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2014</w:t>
            </w:r>
          </w:p>
        </w:tc>
        <w:tc>
          <w:tcPr>
            <w:tcW w:w="160" w:type="dxa"/>
            <w:vAlign w:val="bottom"/>
          </w:tcPr>
          <w:p>
            <w:pPr>
              <w:spacing w:after="0"/>
              <w:rPr>
                <w:sz w:val="20"/>
                <w:szCs w:val="20"/>
                <w:color w:val="auto"/>
              </w:rPr>
            </w:pPr>
          </w:p>
        </w:tc>
        <w:tc>
          <w:tcPr>
            <w:tcW w:w="22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16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12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1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18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government agency</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addition, at June 30, 2014 and December 31, 2013, we had $600.1 million and $535.6 million, respectively, of cash and cash equivalents, primarily held in bank deposits and money market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Settlement Agreements with Genentech - EYLEA</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December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cumulative relevant sales of EYLEA over $3 billion.</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May 2013, we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EYLEA sales outside the United States to worldwide EYLEA sales and determined consistent with the license and collaboration agreement.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Tarrytown, New York Lease</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April 2013, we entered into a new lease agreement for approximately 297,000 square feet of additional new laboratory and office space to be constructed in two new buildings (the Buildings), which are expected to be completed in the second half of 2015, at our current Tarrytown, New York location. The term of the lease, which is expected to commence in the second half of 2014, is approximately 15 years and contains three renewal options to extend the term of the lease by five years each. The lease provides for (i) monthly payments over its term, which are expected to commence in 2015 and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FASB authoritative guidance. Consequently, in addition to capitalizing the tenant improvements, we capitalize the landlord's costs of constructing these new facilities, offset by a corresponding facility lease obligation. We will allocate a portion of our future lease payments to the Buildings and the land on which the Buildings are being constructed. The land element of the lease is treated for accounting purposes as an operating lease.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83"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cash expenditures for property, plant, and equipment totaled $135.7 million in the first six months of 2014 and $55.7 million in the first six months of 2013.</w:t>
      </w:r>
    </w:p>
    <w:p>
      <w:pPr>
        <w:spacing w:after="0" w:line="21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May 2014, we entered into an agreement to acquire a 400,000 square foot facility in Limerick, Ireland for $5.1 million. We are renovating this facility to accommodate and support our growth, primarily in connection with expanding our manufacturing capacity to support our global supply chain.</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expect to incur capital expenditures of approximately $220 to $290 million during the remainder of 2014 primarily in connection with renovating our new Limerick facility, tenant improvements primarily related to the two new buildings under construction at our leased Tarrytown facilities, expanding, and renovating a portion of, our manufacturing facilities at our Rensselaer facility, and purchases of equipment.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expect continued increases in our expenditures, particularly in connection with our research and development activities (including preclinical and clinical testing), capital expenditures, commercialization of EYLEA, and pre-commercialization costs related to our late-stage antibody product candidates. We believe that our existing capital resources, funds generated by anticipated EYLEA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antibodies collaboration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(i) agreed-upon development expenses that both companies incur in connection with our EYLEA collaboration, and (ii) development costs under the initial development plan in connection with our PDGFR-beta antibody collaboration.</w:t>
      </w:r>
    </w:p>
    <w:p>
      <w:pPr>
        <w:spacing w:after="0" w:line="24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EYLEA collaboration with Bayer HealthCare, our percentage on product sales in Japan) otherwise payable to us, unless, in some cases, we elect to reimburse these expenses at a faster rate. In particular, as of December 31, 2013, our contingent reimbursement obligation to Sanofi for ZALTRAP was approximately $443 million, while our contingent reimbursement obligation to Bayer HealthCare for EYLEA was approximately $272 million. Therefore, we expect that, for the foreseeable future, our share of profits from sales of ZALTRAP, and a portion of our share of profits from sales of EYLEA outside the United States, will be used to reimburse our collaborators for these obligations.</w:t>
      </w:r>
    </w:p>
    <w:p>
      <w:pPr>
        <w:spacing w:after="0" w:line="24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May 2013, we acquired from Sanofi full exclusive rights to antibodies targeting the PDGF family of receptors and ligands in ophthalmology and all other indications. With respect to PDGF antibodies, we made two $5.0 million development milestone payments in the first quarter of 2014, and are obligated to pay up to $30.0 million in potential additional development milestones as well as royalties on any future sales.</w:t>
      </w:r>
    </w:p>
    <w:p>
      <w:pPr>
        <w:spacing w:after="0" w:line="9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2014, in connection with our antibody collaboration with Sanofi, we purchased an FDA rare pediatric disease priority review voucher from a third party for $67.5 million. A priority review voucher entitles the holder to designate a human drug</w:t>
      </w:r>
    </w:p>
    <w:p>
      <w:pPr>
        <w:sectPr>
          <w:pgSz w:w="11900" w:h="16838" w:orient="portrait"/>
          <w:cols w:equalWidth="0" w:num="1">
            <w:col w:w="11420"/>
          </w:cols>
          <w:pgMar w:left="240" w:top="126"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type w:val="continuous"/>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application for priority review. The FDA's goal for reviewing a human drug application with priority review is to take action within 6 months instead of 10 months under standard review. We and Sanofi will equally share the priority review voucher's purchase price.</w:t>
      </w:r>
    </w:p>
    <w:p>
      <w:pPr>
        <w:spacing w:after="0" w:line="81"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4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Patient Protection and Affordable Care Act and the Health Care and Education Reconciliation Act of 2010, a non-tax deductible annual fee (the Branded Prescription Drug Fee) is imposed on pharmaceutical manufacturers that sell branded prescription drugs to specified government programs. This fee is allocated to companies, including Regeneron, based on their prior year market share of total branded prescription drug sales into these government programs.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in the first six months of 2014 and 2013, we made cash payments of $65.0 million and $73.1 million, respectively, for employee tax obligations in connection with stock option exercises. Future cash requirements for such payments will depend on various factors, including the level of stock option grants and exercises and the sales prices of our Common Stock, and may continue to be substantial.</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that expenses related to the filing, prosecution, defense, and enforcement of patents and other intellectual property will be substantial.</w:t>
      </w:r>
    </w:p>
    <w:p>
      <w:pPr>
        <w:spacing w:after="0" w:line="27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described above, in the second quarter of 2014, $61.1 million principal amount of our 1.875% convertible senior notes were surrendered for conversion. In accordance with the terms of the notes, we elected to settle these conversion obligations through a combination of cash, in an amount equal to the principal amount of the converted notes, and shares of our Common Stock in respect of any amounts due in excess thereof. In future periods, other holders of these debt securities may surrender their notes for conversion.</w:t>
      </w:r>
    </w:p>
    <w:p>
      <w:pPr>
        <w:spacing w:after="0" w:line="23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may also from time to time seek to repurchase or retire our outstanding convertible senior notes, or other outstanding securities, through cash purchases or exchanges for other securities, in open market purchases, privately negotiated transactions, or otherwise.</w:t>
      </w:r>
    </w:p>
    <w:p>
      <w:pPr>
        <w:spacing w:after="0" w:line="216"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Due to the amounts of our net operating loss and tax credit carry-forwards available for tax purposes, which totaled $450.4 million and $120.1 million, respectively, at December 31, 2013, we expect to make payments of alternative minimum tax for which we will receive a credit against income taxes subsequent to 2014; however, we do not anticipate making significant payments for other cash income taxes in 2014.</w:t>
      </w:r>
    </w:p>
    <w:p>
      <w:pPr>
        <w:spacing w:after="0" w:line="23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our EYLEA collaboration with Bayer HealthCare, we are entitled to receive up to $45.0 million in additional sales milestones based on total twelve-month sales of EYLEA outside the United States achieving certain specified levels up to $1 billion. In addition, in connection with a November 2013 agreement under which Bayer HealthCare obtained rights to use certain of our EYLEA clinical data for a regulatory filing, we became eligible to receive up to $30.0 million in additional sales milestone payments if twelve-month sales of specific commercial supplies of EYLEA outside the United States achieve certain specified levels up to $200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our PDGFR-beta antibody agreement with Bayer HealthCare, we are eligible to receive up to $15.0 million in future development milestone payments from Bayer HealthCare (representing 50% of the development milestone payments potentially due to Sanofi as described above), although certain of these development milestone payments could be reduced by half if Bayer HealthCare does not opt-in to the collaboration. Furthermore, if Bayer HealthCare exercises their right to opt-in to the collaboration, they will be obligated to pay a $20.0 million opt-in payment to us, and pay a $20.0 million development milestone to us upon receipt of the first marketing approval in the EU or Japan.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2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(FASB) issued a new standard related to revenue recognition,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which will replace existing revenue recognition guidance. The new standard requires an entity to recognize the amount of revenue to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interim and annual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Around Market Risk" of our Annual Report on Form 10-K for the fiscal year ended December 31, 2013 (filed February 13, 2014). There have been no material changes to our market risks or to our management of such risks as of June 30, 2014.</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June 30, 2014 that has materially affected, or is reasonably likely to materially affect, our internal control over financial reporting.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ind w:firstLine="243"/>
        <w:spacing w:after="0" w:line="259" w:lineRule="auto"/>
        <w:rPr>
          <w:sz w:val="20"/>
          <w:szCs w:val="20"/>
          <w:color w:val="auto"/>
        </w:rPr>
      </w:pPr>
      <w:r>
        <w:rPr>
          <w:rFonts w:ascii="Times New Roman" w:cs="Times New Roman" w:eastAsia="Times New Roman" w:hAnsi="Times New Roman"/>
          <w:sz w:val="18"/>
          <w:szCs w:val="18"/>
          <w:color w:val="auto"/>
        </w:rPr>
        <w:t>From time to time, we are a party to legal proceedings in the course of our business, including those described in our Annual Report on Form 10-K for the year ended December 31, 2013 (filed February 13, 2014) and our Quarterly Report on Form 10-Q for the quarterly period ended March 31, 2014 (filed May 8, 2014). We do not expect any such current legal proceedings to have a material adverse effect on our business or financial condition. There were no additional material legal proceedings or material changes with respect to the previously disclosed legal proceedings in the quarterly period ended June 30, 2014.</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ectPr>
          <w:pgSz w:w="11900" w:h="16838" w:orient="portrait"/>
          <w:cols w:equalWidth="0" w:num="1">
            <w:col w:w="11420"/>
          </w:cols>
          <w:pgMar w:left="240" w:top="126"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type w:val="continuous"/>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EYLEA</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six months ended June 30, 2014 and 2013, EYLEA net sales in the United States represented 60% and 72%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 In addition, if Bayer HealthCare is unable to obtain approval of EYLEA in additional countries or in additional indications, our prospects would be materially harmed.</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EYLEA is currently available in the United States, EU, Japan, and certain other countries outside of the United States for treatment of wet AMD and macular edema following CRVO, and has also been approved in the United States for the treatment of DME. We are subject to significant ongoing regulatory obligations with respect to EYLEA for its currently approved indications in the United States and the EU, and, in other countries, the commercialization of EYLEA is subject to additional significant ongoing regulatory obligations and oversight in those countries where the product is approved. If we fail to maintain regulatory compliance for EYLEA for its currently approved indications,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w:t>
      </w:r>
      <w:r>
        <w:rPr>
          <w:rFonts w:ascii="Times New Roman" w:cs="Times New Roman" w:eastAsia="Times New Roman" w:hAnsi="Times New Roman"/>
          <w:sz w:val="18"/>
          <w:szCs w:val="18"/>
          <w:i w:val="1"/>
          <w:iCs w:val="1"/>
          <w:color w:val="auto"/>
        </w:rPr>
        <w:t>If we fail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36"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13"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30"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regulatory approval for sales of EYLEA is limited to the treatment of wet AMD, macular edema following CRVO, and DME and is limited geographically. If we don't receive approval for EYLEA for other indications, or if approvals are not obtained for sales in other countries, sales and profits will be limited.</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and Bayer HealthCare have received regulatory approvals for sale of EYLEA for the treatment of wet AMD, macular edema following CRVO, and DME in certain countries throughout the world.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1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sales in the United States of EYLEA are dependent, in part, on the availability and extent of reimbursement from third-party payers, including private payer healthcare and insurance programs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w:t>
      </w:r>
      <w:r>
        <w:rPr>
          <w:rFonts w:ascii="Times New Roman" w:cs="Times New Roman" w:eastAsia="Times New Roman" w:hAnsi="Times New Roman"/>
          <w:sz w:val="18"/>
          <w:szCs w:val="18"/>
          <w:i w:val="1"/>
          <w:iCs w:val="1"/>
          <w:color w:val="auto"/>
        </w:rPr>
        <w:t>The successful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Times New Roman" w:cs="Times New Roman" w:eastAsia="Times New Roman" w:hAnsi="Times New Roman"/>
          <w:sz w:val="18"/>
          <w:szCs w:val="18"/>
          <w:color w:val="auto"/>
        </w:rPr>
        <w:t>" below.</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EYLEA is subject to strong competition.</w:t>
      </w:r>
    </w:p>
    <w:p>
      <w:pPr>
        <w:spacing w:after="0" w:line="283" w:lineRule="exact"/>
        <w:rPr>
          <w:sz w:val="20"/>
          <w:szCs w:val="20"/>
          <w:color w:val="auto"/>
        </w:rPr>
      </w:pPr>
    </w:p>
    <w:p>
      <w:pPr>
        <w:jc w:val="both"/>
        <w:ind w:firstLine="216"/>
        <w:spacing w:after="0" w:line="217" w:lineRule="auto"/>
        <w:rPr>
          <w:sz w:val="20"/>
          <w:szCs w:val="20"/>
          <w:color w:val="auto"/>
        </w:rPr>
      </w:pPr>
      <w:r>
        <w:rPr>
          <w:rFonts w:ascii="Times New Roman" w:cs="Times New Roman" w:eastAsia="Times New Roman" w:hAnsi="Times New Roman"/>
          <w:sz w:val="18"/>
          <w:szCs w:val="18"/>
          <w:color w:val="auto"/>
        </w:rPr>
        <w:t>The market for eye disease products is very competitive. Novartis and Genentech are collaborating on the commercialization and further development of a VEGF antibody fragment,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the treatment of wet AMD, macular edema following CRVO, DME, visual impairment due to mCNV, and other eye indications.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was approved by the FDA in June 2006 for the treatment of wet AMD, in June 2010 for the treatment of macular edema following RVO (including CRVO and BRVO), and in August 2012 for the treatment of DME.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was also approved by the European Medicines Agency for wet AMD in January 2007, for DME in January 2011, for the treatment of macular edema following RVO (including CRVO and BRVO) in June 2011, and for mCNV in July 2013. Competitors are also exploring the development of a biosimilar version of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in particular, Pfenex Inc. is developing PF582, which is currently in a Phase 1b/2a trial in patients with wet AMD.</w:t>
      </w:r>
    </w:p>
    <w:p>
      <w:pPr>
        <w:spacing w:after="0" w:line="254" w:lineRule="exact"/>
        <w:rPr>
          <w:sz w:val="20"/>
          <w:szCs w:val="20"/>
          <w:color w:val="auto"/>
        </w:rPr>
      </w:pPr>
    </w:p>
    <w:p>
      <w:pPr>
        <w:jc w:val="both"/>
        <w:ind w:firstLine="216"/>
        <w:spacing w:after="0" w:line="226" w:lineRule="auto"/>
        <w:rPr>
          <w:sz w:val="20"/>
          <w:szCs w:val="20"/>
          <w:color w:val="auto"/>
        </w:rPr>
      </w:pPr>
      <w:r>
        <w:rPr>
          <w:rFonts w:ascii="Times New Roman" w:cs="Times New Roman" w:eastAsia="Times New Roman" w:hAnsi="Times New Roman"/>
          <w:sz w:val="18"/>
          <w:szCs w:val="18"/>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(RTH258), a humanized monoclonal single-chain FV (scFv) antibody fragment targeting VEGF-A for wet AMD, and initiated Phase 2 trials comparing ESBA1008 and EYLEA in 2013. Allergan is developing an anti-VEGF-A DARPin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wet AMD and related conditions and a Phase 2 trial has been completed. Additionally, companies are developing products (or combinations of products) to treat wet AMD that act by blocking VEGF and VEGF receptors, as well as other targets (for example, PDGF). Ophthotech Corporation is developing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including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EYLEA + Fovista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Genentech initiated a Phase 1 trial of a bi-specific antibody targeting both VEGF and Ang2 for wet AMD.</w:t>
      </w:r>
    </w:p>
    <w:p>
      <w:pPr>
        <w:spacing w:after="0" w:line="254" w:lineRule="exact"/>
        <w:rPr>
          <w:sz w:val="20"/>
          <w:szCs w:val="20"/>
          <w:color w:val="auto"/>
        </w:rPr>
      </w:pPr>
    </w:p>
    <w:p>
      <w:pPr>
        <w:jc w:val="both"/>
        <w:ind w:firstLine="243"/>
        <w:spacing w:after="0" w:line="207" w:lineRule="auto"/>
        <w:rPr>
          <w:sz w:val="20"/>
          <w:szCs w:val="20"/>
          <w:color w:val="auto"/>
        </w:rPr>
      </w:pPr>
      <w:r>
        <w:rPr>
          <w:rFonts w:ascii="Times New Roman" w:cs="Times New Roman" w:eastAsia="Times New Roman" w:hAnsi="Times New Roman"/>
          <w:sz w:val="18"/>
          <w:szCs w:val="18"/>
          <w:color w:val="auto"/>
        </w:rPr>
        <w:t>In addition, ophthalmologists are using with success off-label, third-party repackaged versions of Genentech's approved VEGF antagonist,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for the treatment of wet AMD, DME, and RVO. The relatively low cost of therapy with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in patients with wet AMD presents a significant competitive challenge in this indication. Long-term, controlled clinical trials comparing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the treatment of wet AMD are being conducted. One-year data from the Comparison of Age-Related Macular Degeneration Treatments Trial (CATT) were reported in April 2011 and indicated that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was non-inferior to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dosed monthly in the primary efficacy endpoint of mean visual acuity gain at 52 weeks. Two-year data from CATT were reported in April 2012 and indicated that monthly Avastin</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was non-inferior to monthly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mean visual acuity gain; as-needed dosing was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non-inferior to monthly dosing.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is also being evaluated in eye diseases in trials that have been initiated in the United Kingdom, Canada, Brazil, Mexico, Germany, Israel, and other countries. Furthermore,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off-label use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present significant competitive challenges as doctors and patients have had significant experience using these medicines. Moreover, the reported results of the CATT study, combined with the relatively low cost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or other eye indications. See also "Risks Related to Commercialization of Products—</w:t>
      </w:r>
      <w:r>
        <w:rPr>
          <w:rFonts w:ascii="Times New Roman" w:cs="Times New Roman" w:eastAsia="Times New Roman" w:hAnsi="Times New Roman"/>
          <w:sz w:val="18"/>
          <w:szCs w:val="18"/>
          <w:i w:val="1"/>
          <w:iCs w:val="1"/>
          <w:color w:val="auto"/>
        </w:rPr>
        <w:t>We may be unsuccessful in continuing the commercialization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marketed products or in commercializing our product candidates or new indications for our marketed products, if approved, which would materially and adversely affect our business, profitability, and future prospects</w:t>
      </w:r>
      <w:r>
        <w:rPr>
          <w:rFonts w:ascii="Times New Roman" w:cs="Times New Roman" w:eastAsia="Times New Roman" w:hAnsi="Times New Roman"/>
          <w:sz w:val="18"/>
          <w:szCs w:val="18"/>
          <w:color w:val="auto"/>
        </w:rPr>
        <w:t>" below.</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product sales could be reduced by imports from countries where our products are available at lower prices.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Approval of Our Product Candidates and New Indications for Our Marketed Products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do not maintain regulatory approval for our marketed products, and obtain regulatory approval for our product candidates, or new indications of our marketed products, including EYLEA for the treatment of ophthalmologic diseases other than those covered by its currently approved indications, the value of our company and our business, prospects, operating results, and financial condition will be materially harmed. Our product candidates, including EYLEA for macular edema following BRVO, may not receive regulatory approval. If we are unable to obtain regulatory approval for our product candidates, or if we are materially delayed in doing so, our business, prospects, operating results, and financial condition may be materially harmed. In addition, if we fail to maintain regulatory approval for EYLEA's currently approved indications, we may lose marketing approval and the ability to generate EYLEA product sales revenue, which would materially and negatively impact our business, prospects, operating results, and financial condition.</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12"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(including based on the rare pediatric disease priority review voucher, which we and Sanofi plan to use in connection with the contemplated BLA submission for alirocumab),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Foreign governments also regulate the manufacturing, marketing and selling of drugs distributed in their country and approval in any country is similarly likely to be a lengthy and expensive process, and approval is highly uncertain.</w:t>
      </w:r>
    </w:p>
    <w:p>
      <w:pPr>
        <w:spacing w:after="0" w:line="21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2"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3"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9"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8"/>
          <w:szCs w:val="18"/>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30" w:lineRule="exact"/>
        <w:rPr>
          <w:sz w:val="20"/>
          <w:szCs w:val="20"/>
          <w:color w:val="auto"/>
        </w:rPr>
      </w:pPr>
    </w:p>
    <w:p>
      <w:pPr>
        <w:jc w:val="both"/>
        <w:ind w:right="20"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4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EYLEA is being studied in diseases of the eye in addition to those covered by its currently approved indications. There are many potential safety concerns associated with significant blockade of VEGF that may limit our ability to further successfully develop and/or commercialize EYLEA and ZALTRAP.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EYLEA or ZALTRAP.</w:t>
      </w:r>
    </w:p>
    <w:p>
      <w:pPr>
        <w:spacing w:after="0" w:line="95"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and Sanofi are conducting a global development program, currently in Phase 3, studying alirocumab, our PCSK9 antibody for the reduction of LDL cholesterol, as discussed above in Part I, Item 2. "Management’s Discussion and Analysis of Financial Condition and Results of Operations - Late-Stage Antibody-based Clinical Programs." As part of this development program, we and Sanofi collect adverse events and report them to the FDA and foreign regulatory authorities. As recently reported, in nine Phase 3 ODYSSEY studies, the most common adverse events were nasopharyngitis and upper respiratory tract infection, which were generally balanced between treatment groups. Injection site reactions were more frequent in the alirocumab group compared to placebo. Serious adverse events and deaths were generally balanced between treatment groups as were other key adverse events, including musculoskeletal, neurocognitive, and liver-related events. We and Sanofi were advised by the FDA that it had become aware of neurocognitive adverse events in the PCSK9 inhibitor class. Neurocognitive adverse events have also been associated with the use of statins for lowering LDL cholesterol. The FDA had requested that we and Sanofi make an assessment of potential neurocognitive adverse events across the global development program for alirocumab, especially in the longer-term studies. Additionally, the FDA requested that we address the feasibility of incorporating neurocognitive testing into at least a subset of patients in our ODYSSEY OUTCOMES trial or other long-term Phase 3 trial(s). While we have reported, based on analyses conducted to date, that neurocognitive adverse events were generally balanced between treatment groups in our Phase 3 studies, if this or another adverse event signal is detected in future analyses or in subsequent data, the possible approval of alirocumab may be delayed or fail, or its commercial value diminished, which could severely harm our future prospects.</w:t>
      </w:r>
    </w:p>
    <w:p>
      <w:pPr>
        <w:spacing w:after="0" w:line="11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have studied fasinumab in a variety of pain indications, including osteoarthritis of the knee. In December 2010, the FDA placed fasinumab on clinical hold after a case of rapidly progressive osteoarthritis 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fasinumab was placed on partial clinical hold as a result of preclinical data from other investigational agents targeting NGF in development. There are currently no trials with fasinumab that are either enrolling or treating patients. Discussions with the FDA about fasinumab are expected to continue.</w:t>
      </w:r>
    </w:p>
    <w:p>
      <w:pPr>
        <w:spacing w:after="0" w:line="238"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1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an opposition. Such opposition proceedings are increasingly common in the EU and are costly to defend. We have pending patent applications in the United States Patent and Trademark Office, the European Patent Office, and the patent offices of other foreign jurisdictions, and it is likely that we will need to defend patent applications from challenges by others from time to time in the future. Certain patent applications filed in the United States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and could be subject to damage awards if we are found to have infringed, patents or other proprietary rights of others.</w:t>
      </w:r>
    </w:p>
    <w:p>
      <w:pPr>
        <w:spacing w:after="0" w:line="213" w:lineRule="exact"/>
        <w:rPr>
          <w:sz w:val="20"/>
          <w:szCs w:val="20"/>
          <w:color w:val="auto"/>
        </w:rPr>
      </w:pPr>
    </w:p>
    <w:p>
      <w:pPr>
        <w:jc w:val="both"/>
        <w:ind w:firstLine="216"/>
        <w:spacing w:after="0" w:line="258"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either because of the way the antibodies are discovered or produced or because of a proprietary composition covering an antibody or the antibody's target.</w:t>
      </w:r>
    </w:p>
    <w:p>
      <w:pPr>
        <w:spacing w:after="0" w:line="23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For example, we are currently parties to patent infringement proceedings relating to our European Patent No. 1,360,287 and our U.S. Patent No. 8,502,018, both of which concern genetically altered mice capable of producing chimeric antibodies that are part human and part mouse, as described in Part I, Item 3. "Legal Proceedings" of our Annual Report on Form 10-K for the year ended December 31, 2013 and Part II, Item 1. "Legal Proceedings" of our Quarterly Report on Form 10-Q for the quarterly period ended March 31, 2014. We are aware of patents and pending applications owned by others that respectively claim antibodies to IL-6R, IL-4R, and PCSK9 and methods of treating rheumatoid arthritis, atopic dermatitis and asthma, and hypercholesterolemia with such antibodies. We are developing sarilumab, an antibody to IL-6R, for the treatment of rheumatoid arthritis and non-infectious uveitis; dupilumab, an antibody to IL-4R, for the treatment of atopic dermatitis, asthma, and nasal polyposis; and alirocumab, a PCSK9 antibody, for LDL cholesterol reduction. Although we do not believe that sarilumab, dupilumab, or alirocumab infringes any valid claim in these patents or patent applications, these other parties could initiate a lawsuit for patent infringement and assert their patents are valid and cover sarilumab, dupilumab, or alirocumab, as applicable. We are also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None of ARCALYST, ZALTRAP, or EYLEA is a recombinant antibody.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make recombinant antibodies in, or to import them into, the United States. Further, we are aware of a number of</w:t>
      </w:r>
    </w:p>
    <w:p>
      <w:pPr>
        <w:sectPr>
          <w:pgSz w:w="11900" w:h="16838" w:orient="portrait"/>
          <w:cols w:equalWidth="0" w:num="1">
            <w:col w:w="11420"/>
          </w:cols>
          <w:pgMar w:left="240" w:top="126" w:right="239" w:bottom="144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type w:val="continuous"/>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16"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4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26"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are insufficient to protect our proprietary rights, our business and competitive position will be harmed,</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to commercialize our other product candidates or other indications for our marketed products if they receive regulatory approval, and to advance our clinical pipeline.</w:t>
      </w:r>
    </w:p>
    <w:p>
      <w:pPr>
        <w:spacing w:after="0" w:line="22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permits from the local government,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6" w:right="239" w:bottom="1440" w:gutter="0" w:footer="0" w:header="0"/>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patents of others.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EYLEA and ZALTRAP do not meet the levels currently expected, or if the launch of new indications for EYLEA or of any of our product candidates is delayed or unsuccessful, we may face costs related to excess inventory or unused capacity at our manufacturing facilities and at the facilities of third parties.</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We use our facilities to produce bulk product of EYLEA for its currently approved indications, bulk product of ZALTRAP for the treatment of patients with mCRC that is resistant to or has progressed following an oxaliplatin-containing regimen, bulk product of ARCALYST for the treatment of CAPS,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3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21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9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corporate collaborators or contract manufacturers.</w:t>
      </w:r>
    </w:p>
    <w:p>
      <w:pPr>
        <w:spacing w:after="0" w:line="107"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EYLEA, ZALTRAP, ARCALYST, and our product candidates, some of which are difficult to source, are provided by single-source unaffiliated third-party suppliers. In addition, we rely on certain third parties to perform filling, finishing, distribution, laboratory testing, and other services related to the manufacture of EYLEA, ZALTRAP,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EYLEA, ZALTRAP, ARCALYST, and our product candidates, which could materially and adversely affect our business and future prospects.</w:t>
      </w:r>
    </w:p>
    <w:p>
      <w:pPr>
        <w:spacing w:after="0" w:line="24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restrictions on using these biological source materials. If we are required to substitute for these sources to comply with European regulatory requirements, our clinical development activities may be delayed or interrupted.</w:t>
      </w:r>
    </w:p>
    <w:p>
      <w:pPr>
        <w:spacing w:after="0" w:line="212"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Products</w:t>
      </w:r>
    </w:p>
    <w:p>
      <w:pPr>
        <w:spacing w:after="0" w:line="279"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6" w:lineRule="exact"/>
        <w:rPr>
          <w:sz w:val="20"/>
          <w:szCs w:val="20"/>
          <w:color w:val="auto"/>
        </w:rPr>
      </w:pPr>
    </w:p>
    <w:p>
      <w:pPr>
        <w:jc w:val="both"/>
        <w:ind w:firstLine="243"/>
        <w:spacing w:after="0" w:line="220" w:lineRule="auto"/>
        <w:rPr>
          <w:sz w:val="20"/>
          <w:szCs w:val="20"/>
          <w:color w:val="auto"/>
        </w:rPr>
      </w:pPr>
      <w:r>
        <w:rPr>
          <w:rFonts w:ascii="Times New Roman" w:cs="Times New Roman" w:eastAsia="Times New Roman" w:hAnsi="Times New Roman"/>
          <w:sz w:val="18"/>
          <w:szCs w:val="18"/>
          <w:color w:val="auto"/>
        </w:rPr>
        <w:t>Currently, we have three marketed products, EYLEA, ZALTRAP, and ARCALYST. While we have established our own sales and marketing organization for EYLEA in the United States for its currently approved indications, we have limited commercialization experience and we have no sales, marketing, commercial, or distribution capabilities outside the United States. In addition, EYLEA faces intense competition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from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9" w:lineRule="exact"/>
        <w:rPr>
          <w:sz w:val="20"/>
          <w:szCs w:val="20"/>
          <w:color w:val="auto"/>
        </w:rPr>
      </w:pPr>
    </w:p>
    <w:p>
      <w:pPr>
        <w:ind w:left="660" w:hanging="328"/>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EYLEA;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20" w:hanging="328"/>
        <w:spacing w:after="0" w:line="219"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communicate to the marketplace the benefits of the dosing regimen of EYLEA as compared to the dosing regimen of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the willingness of retinal specialists and patients to switch 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or off-label use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to EYLEA;</w:t>
      </w:r>
    </w:p>
    <w:p>
      <w:pPr>
        <w:ind w:left="660" w:hanging="328"/>
        <w:spacing w:after="0" w:line="249"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of EYLEA in the face of competitive products, including those currently in clinical development;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implemented in the United States, including reporting and disclosure requirements of such laws and regulations and the potential impact of such requirements on physician prescription practices.</w:t>
      </w:r>
    </w:p>
    <w:p>
      <w:pPr>
        <w:spacing w:after="0" w:line="9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30"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38" w:lineRule="exact"/>
        <w:rPr>
          <w:sz w:val="20"/>
          <w:szCs w:val="20"/>
          <w:color w:val="auto"/>
        </w:rPr>
      </w:pPr>
    </w:p>
    <w:p>
      <w:pPr>
        <w:jc w:val="both"/>
        <w:ind w:firstLine="243"/>
        <w:spacing w:after="0" w:line="234" w:lineRule="auto"/>
        <w:rPr>
          <w:sz w:val="20"/>
          <w:szCs w:val="20"/>
          <w:color w:val="auto"/>
        </w:rPr>
      </w:pPr>
      <w:r>
        <w:rPr>
          <w:rFonts w:ascii="Times New Roman" w:cs="Times New Roman" w:eastAsia="Times New Roman" w:hAnsi="Times New Roman"/>
          <w:sz w:val="18"/>
          <w:szCs w:val="18"/>
          <w:color w:val="auto"/>
        </w:rPr>
        <w:t>As previously noted, Genentech has an approved VEGF antagonist,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Pharmaceuticals (a subsidiary of Amgen), together with its partner Bayer HealthCare, and GlaxoSmithKline are marketing and selling oral medications that target tumor cell growth and new vasculature formation that fuels the growth of tumors. In January 2012, Roche announced that a Phase 3 trial of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 had met the primary endpoint of overall survival in mCRC in patients who had previously received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with standard chemotherapy. The positive results of this trial in a similar patient population could impact the potential commercial opportunity for ZALTRAP in mCRC. It will be difficult for ZALTRAP to compete against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and the FDA-approved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54" w:lineRule="exact"/>
        <w:rPr>
          <w:sz w:val="20"/>
          <w:szCs w:val="20"/>
          <w:color w:val="auto"/>
        </w:rPr>
      </w:pPr>
    </w:p>
    <w:p>
      <w:pPr>
        <w:jc w:val="both"/>
        <w:ind w:firstLine="216"/>
        <w:spacing w:after="0" w:line="284" w:lineRule="auto"/>
        <w:rPr>
          <w:sz w:val="20"/>
          <w:szCs w:val="20"/>
          <w:color w:val="auto"/>
        </w:rPr>
      </w:pPr>
      <w:r>
        <w:rPr>
          <w:rFonts w:ascii="Times New Roman" w:cs="Times New Roman" w:eastAsia="Times New Roman" w:hAnsi="Times New Roman"/>
          <w:sz w:val="18"/>
          <w:szCs w:val="18"/>
          <w:color w:val="auto"/>
        </w:rPr>
        <w:t>The market for eye disease products is very competitive, as described in greater detail above under "Risks Related to Commercialization of EYLEA-</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success of EYLEA is subject to strong competition</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jc w:val="both"/>
        <w:ind w:firstLine="243"/>
        <w:spacing w:after="0" w:line="267" w:lineRule="auto"/>
        <w:rPr>
          <w:sz w:val="20"/>
          <w:szCs w:val="20"/>
          <w:color w:val="auto"/>
        </w:rPr>
      </w:pPr>
      <w:r>
        <w:rPr>
          <w:rFonts w:ascii="Times New Roman" w:cs="Times New Roman" w:eastAsia="Times New Roman" w:hAnsi="Times New Roman"/>
          <w:sz w:val="18"/>
          <w:szCs w:val="18"/>
          <w:color w:val="auto"/>
        </w:rPr>
        <w:t xml:space="preserve">Our earlier stage clinical candidates in development are all fully human monoclonal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(tocilizumab) for the treatment of rheumatoid arthritis, and several other companies, including Johnson &amp; Johnson (in partnership with GlaxoSmithKline), Bristol-Myers Squibb (in partnership with Alder Biopharmaceuticals), Ablynx (in partnership with AbbVie), and Pfizer have antibodies against IL-6 or IL-6R in clinical development. Several companies, including Amgen, Pfizer, Genentech, Bristol-Myers Squibb, and Eli Lilly, have development programs for antibodies against PCSK9. Amgen's PCSK9 program appears to be the most advanced of the competitors, having already announced positive results from multiple Phase 3 trials, and may obtain marketing approval in one or more countries before our PCSK9 antibody is approved. Alnylam, in partnership with The Medicines Company, has a clinical program underway with an RNAi molecule against PCSK9. In addition, there are therapeutic products targeting PCSK9 operating through other mechanisms of action in development, including an oral product. A number of companies are developing antibodies that, if approved, may compete with dupilumab, our IL-4R antibody, if it is approved, including Roche (an antibody against IL-13), Teva (an antibody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against IL-5), AstraZeneca (antibodies against IL-5R and IL-13), Novartis (a combination antibody against IL-4 and IL-13), and Amgen (in partnership with AstraZeneca) (an antibody against thymic stromal lymphopoietin, or TSLP). Further, Amgen, Genentech, and AstraZeneca have development programs underway for antibodies against Ang2 for indications in oncology. Celgene (in partnership with OncoMed Pharmaceuticals, Inc.) and AstraZeneca have antibodies that target Dll4 in clinical development. For muscle-wasting conditions, Pfizer, Eli Lilly, and Atara Biotherapeutics, Inc. have anti-GDF8 monoclonal antibodies in development, and Novartis has a competing antibody targeting ActRIIB.</w:t>
      </w:r>
    </w:p>
    <w:p>
      <w:pPr>
        <w:spacing w:after="0" w:line="23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39"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235"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United States and foreign governmental payers, private third-party insurers and payers, and other third-party payers, including Medicare and Medicaid, do not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rather than Lucentis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40"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Since EYLEA for the treatment of wet AMD, macular edema following CRVO, and other eye diseases, and ZALTRAP for the treatment of patients with mCRC that is resistant to or has progressed following an oxaliplatin-containing regimen, will likely continue to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7" w:name="page68"/>
    <w:bookmarkEnd w:id="6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0"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sell EYLEA in the United States to three distributors and several specialty pharmacies. Under this distribution model, the distributors and specialty pharmacies generally take physical delivery of product and generally sell the product directly to healthcare providers. For the six months ended June 30, 2014 and 2013, we recorded 76% and 77%,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38"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narrowness of the safe harbors, it is possible that some of our business activities could be challenged under one or more of such laws.</w:t>
      </w:r>
    </w:p>
    <w:p>
      <w:pPr>
        <w:spacing w:after="0" w:line="27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provisions imposing reporting and disclosure requirements on pharmaceutical manufacturers for any "transfers of value" made or distributed to prescribers and other healthcare providers. These statutory provisions and related regulations (commonly known as the "Sunshine Act")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submitted our 2013 Reporting Entity and Payment Aggregate Data in June 2014, as required by the Sunshine Act.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00" w:lineRule="exact"/>
        <w:rPr>
          <w:sz w:val="20"/>
          <w:szCs w:val="20"/>
          <w:color w:val="auto"/>
        </w:rPr>
      </w:pPr>
    </w:p>
    <w:p>
      <w:pPr>
        <w:spacing w:after="0" w:line="263"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38"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the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47"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 and the cost of currency exchange;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overseas funds in an efficient manner;</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those that might result from the failure to operate in conformity with the requirements for certain tax treatment, tax incentives, or grants;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other trade barriers;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privacy of health information we obtain from research institutions and our collaborators.</w:t>
      </w:r>
    </w:p>
    <w:p>
      <w:pPr>
        <w:spacing w:after="0" w:line="189" w:lineRule="exact"/>
        <w:rPr>
          <w:sz w:val="20"/>
          <w:szCs w:val="20"/>
          <w:color w:val="auto"/>
        </w:rPr>
      </w:pPr>
    </w:p>
    <w:p>
      <w:pPr>
        <w:jc w:val="both"/>
        <w:ind w:firstLine="243"/>
        <w:spacing w:after="0" w:line="269" w:lineRule="auto"/>
        <w:rPr>
          <w:sz w:val="20"/>
          <w:szCs w:val="20"/>
          <w:color w:val="auto"/>
        </w:rPr>
      </w:pPr>
      <w:r>
        <w:rPr>
          <w:rFonts w:ascii="Times New Roman" w:cs="Times New Roman" w:eastAsia="Times New Roman" w:hAnsi="Times New Roman"/>
          <w:sz w:val="17"/>
          <w:szCs w:val="17"/>
          <w:color w:val="auto"/>
        </w:rPr>
        <w:t>Most health care providers, including research institutions from which we or our collaborators obtain patient information, are subject to privacy and security regulations promulgated under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Our clinical research efforts are not directly regulated by HIPAA. However, conduct by a person that may not be prosecuted directly under HIPAA’s criminal provisions could potentially be prosecuted under aiding-and-abetting or conspiracy laws. Consequently, depending on the facts and circumstances, we could face substantial criminal penalties if we knowingly receive individually identifiable health information from a health care provider or research institution that has not satisfied HIPAA’s disclosure standards. In addition, international data protection laws, including the EU Data Protection Directive and member state implementing legislation, may apply to some or all of the clinical data obtained outside of the U.S. Furthermore, certain privacy laws and genetic testing laws may apply directly to our operations and/or those of our collaborators and may impose restrictions on our use and dissemination of individuals' health information. Moreover, patients about whom we or our collaborators obtain information, as well as the providers who share this information with us, may have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3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nesvacumab, REGN1033, and REGN2222,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partnership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enoticumab, and decided not to opt in to the REGN1154, REGN 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Sanofi for ZALTRAP is terminated, or Sanofi materially breaches its obligations thereunder, our business, prospects, operating results, and financial condition, and our ability to develop and commercialize ZALTRAP, would be materially harmed.</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239" w:lineRule="exact"/>
        <w:rPr>
          <w:sz w:val="20"/>
          <w:szCs w:val="20"/>
          <w:color w:val="auto"/>
        </w:rPr>
      </w:pPr>
    </w:p>
    <w:p>
      <w:pPr>
        <w:jc w:val="both"/>
        <w:ind w:firstLine="13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EYLEA is currently available in the United States, EU, Japan, and certain other countries outside of the United States for treatment of wet AMD and macular edema following CRVO. We cannot assure you that additional regulatory approvals will be received for EYLEA outside the United States or that EYLEA will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45" w:lineRule="exact"/>
        <w:rPr>
          <w:sz w:val="20"/>
          <w:szCs w:val="20"/>
          <w:color w:val="auto"/>
        </w:rPr>
      </w:pPr>
    </w:p>
    <w:p>
      <w:pPr>
        <w:jc w:val="both"/>
        <w:ind w:right="20"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rely on third-party service providers to support the distribution of EYLEA in the United States and for many other related activities in connection with the commercialization of this marketed product. Despite our arrangements with them, these third parties may not perform adequately. If these service providers do not perform their services adequately, our sales of EYLEA will suffer.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Senior Vice President, Research and Development Sciences. As we continue to commercialize EYLEA,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3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279"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have only recently achieved profitability. If we cannot sustain profitability, our business, prospects, operating results, and financial condition would be materially harmed.</w:t>
      </w:r>
    </w:p>
    <w:p>
      <w:pPr>
        <w:spacing w:after="0" w:line="21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34" w:lineRule="exact"/>
        <w:rPr>
          <w:sz w:val="20"/>
          <w:szCs w:val="20"/>
          <w:color w:val="auto"/>
        </w:rPr>
      </w:pPr>
    </w:p>
    <w:p>
      <w:pPr>
        <w:jc w:val="both"/>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marketing of EYLEA and the potential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ectPr>
          <w:pgSz w:w="11900" w:h="16838" w:orient="portrait"/>
          <w:cols w:equalWidth="0" w:num="1">
            <w:col w:w="11420"/>
          </w:cols>
          <w:pgMar w:left="240" w:top="126"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26" w:right="239" w:bottom="1440" w:gutter="0" w:footer="0" w:header="0"/>
          <w:type w:val="continuous"/>
        </w:sectPr>
      </w:pPr>
    </w:p>
    <w:bookmarkStart w:id="73" w:name="page74"/>
    <w:bookmarkEnd w:id="73"/>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283"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As of June 30, 2014, we had $600.1 million in cash and cash equivalents and $767.6 million in marketable securities. Our investments consist primarily of fixed-income securities, including investment-grade corporate bonds, direct obligations of the U.S. government and its agencies, and other debt securities guaranteed by the U.S. government. These investments are subject to external factors that may adversely affect their market value or liquidity, such as interest rate, liquidity, market, and issuer credit risks, including actual or anticipated changes in credit ratings. If our investments suffer market price declines that are other than temporary, their value could be impaired, which may have an adverse effect on our financial condition and operating results.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in particular net product sales of EYLEA and, to a lesser degree, sales of ZALTRAP;</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fluctuations in market share for, our marketed products, especially EYLEA;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products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European Patent Office and in the U.S. Patent and Trademark Office;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or decisions by government authorities or insurers affecting the coverage or reimbursement of any of our marketed products or competitors’ products;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collaborative partners or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2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34" w:lineRule="exact"/>
        <w:rPr>
          <w:sz w:val="20"/>
          <w:szCs w:val="20"/>
          <w:color w:val="auto"/>
        </w:rPr>
      </w:pPr>
    </w:p>
    <w:p>
      <w:pPr>
        <w:jc w:val="both"/>
        <w:ind w:firstLine="13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July 17, 2014, our five largest shareholders plus Dr. Schleifer, our Chief Executive Officer, beneficially owned approximately 46.7% of our outstanding shares of Common Stock, assuming, in the case of our Chief Executive Officer, the conversion of his Class A Stock into Common Stock and the exercise of all options held by him which are exercisable within 60 days of July 17, 2014. As of July 17, 2014, Sanofi beneficially owned 22,204,841 shares of our Common Stock, representing approximately 22.4% of the shares of Common Stock then outstanding. Under our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2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July 17, 2014, holders of Class A Stock held 16.7%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July17, 2014:</w:t>
      </w:r>
    </w:p>
    <w:p>
      <w:pPr>
        <w:spacing w:after="0" w:line="242" w:lineRule="exact"/>
        <w:rPr>
          <w:sz w:val="20"/>
          <w:szCs w:val="20"/>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10.1% of our outstanding shares of Common Stock, assuming conversion of their Class A Stock into Common Stock and the exercise of all options held by such persons which are exercisable within 60 days of July 17, 2014, and 22.0% of the combined voting power of our outstanding shares of Common Stock and Class A Stock, assuming the exercise of all options held by such persons which are exercisable within 60 days of July 17, 2014;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46.7% of our outstanding shares of Common Stock, assuming, in the case of our Chief Executive Officer, the conversion of his Class A Stock into Common Stock and the exercise of all options held by him which are exercisable within 60 days of July 17, 2014. In addition, these five shareholders plus our Chief Executive Officer held approximately 52.6% of the combined voting power of our outstanding shares of Common Stock and Class A Stock, assuming the exercise of all options held by our Chief Executive Officer which are exercisable within 60 days of July 17, 2014.</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38"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w:t>
      </w:r>
    </w:p>
    <w:p>
      <w:pPr>
        <w:spacing w:after="0" w:line="239" w:lineRule="exact"/>
        <w:rPr>
          <w:sz w:val="20"/>
          <w:szCs w:val="20"/>
          <w:color w:val="auto"/>
        </w:rPr>
      </w:pPr>
    </w:p>
    <w:p>
      <w:pPr>
        <w:jc w:val="both"/>
        <w:ind w:right="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1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our offering of our 1.875% convertible senior notes due October 1, 2016,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4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both"/>
        <w:ind w:firstLine="13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9"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jc w:val="both"/>
        <w:ind w:firstLine="8"/>
        <w:spacing w:after="0" w:line="255" w:lineRule="auto"/>
        <w:tabs>
          <w:tab w:leader="none" w:pos="31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0"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(v) other specified events, such as a liquidation or dissolution of our company.</w:t>
      </w:r>
    </w:p>
    <w:p>
      <w:pPr>
        <w:spacing w:after="0" w:line="24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as described above under "</w:t>
      </w:r>
      <w:r>
        <w:rPr>
          <w:rFonts w:ascii="Times New Roman" w:cs="Times New Roman" w:eastAsia="Times New Roman" w:hAnsi="Times New Roman"/>
          <w:sz w:val="18"/>
          <w:szCs w:val="18"/>
          <w:i w:val="1"/>
          <w:iCs w:val="1"/>
          <w:color w:val="auto"/>
        </w:rPr>
        <w:t>Our existing shareholders may be able to exert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 These contractual provisions may also have the effect of deterring,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delaying, or preventing an acquisition or other change in control.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83"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the second quarter of 2014, $61.1 million principal amount (of the $400.0 million outstanding principal amount) of our 1.875% convertible senior notes was surrendered for conversion. We had issued and sold the notes in October 2011 in a private placement in reliance on the exemption from registration provided by Section 4(2) of the Securities Act of 1933, as amended. In accordance with the terms of the notes, we elected to settle these conversion obligations through a combination of cash, in an amount equal to the principal amount of the converted notes, and shares of our Common Stock in respect of any amounts due in excess thereof. Consequently, upon settlement of the notes on June 6, June 16, and June 30, 2014, we paid an aggregate of $61.1 million in cash and issued an aggregate of 521,876 shares of our Common Stock to the holders of the notes surrendered for conversion. In connection with these conversions, we exercised a proportionate amount of our convertible note hedges, as a result of which we received from our hedge counterparties 521,876 shares of our Common Stock, which was equivalent to the number of shares we were required to issue to settle the non-cash portion of the note conversions described above. Following these conversions, $338.9 million aggregate principal amount of the notes remained outstanding.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92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8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Regeneron Pharmaceuticals, Inc. 2014 Long-Term Incentive Plan.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34"/>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options to the Registrant’s executive officers.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incentive stock</w:t>
            </w:r>
          </w:p>
        </w:tc>
        <w:tc>
          <w:tcPr>
            <w:tcW w:w="0" w:type="dxa"/>
            <w:vAlign w:val="bottom"/>
          </w:tcPr>
          <w:p>
            <w:pPr>
              <w:spacing w:after="0"/>
              <w:rPr>
                <w:sz w:val="1"/>
                <w:szCs w:val="1"/>
                <w:color w:val="auto"/>
              </w:rPr>
            </w:pPr>
          </w:p>
        </w:tc>
      </w:tr>
      <w:tr>
        <w:trPr>
          <w:trHeight w:val="234"/>
        </w:trPr>
        <w:tc>
          <w:tcPr>
            <w:tcW w:w="5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w:t>
            </w: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options to the Registrant’s executive officers.</w:t>
            </w:r>
          </w:p>
        </w:tc>
        <w:tc>
          <w:tcPr>
            <w:tcW w:w="0" w:type="dxa"/>
            <w:vAlign w:val="bottom"/>
          </w:tcPr>
          <w:p>
            <w:pPr>
              <w:spacing w:after="0"/>
              <w:rPr>
                <w:sz w:val="1"/>
                <w:szCs w:val="1"/>
                <w:color w:val="auto"/>
              </w:rPr>
            </w:pPr>
          </w:p>
        </w:tc>
      </w:tr>
      <w:tr>
        <w:trPr>
          <w:trHeight w:val="88"/>
        </w:trPr>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gridSpan w:val="2"/>
            <w:vMerge w:val="continue"/>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82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Form of restricted stock award agreement and related notice of grant for use in connection with the grant of restricted</w:t>
            </w:r>
          </w:p>
        </w:tc>
        <w:tc>
          <w:tcPr>
            <w:tcW w:w="0" w:type="dxa"/>
            <w:vAlign w:val="bottom"/>
          </w:tcPr>
          <w:p>
            <w:pPr>
              <w:spacing w:after="0"/>
              <w:rPr>
                <w:sz w:val="1"/>
                <w:szCs w:val="1"/>
                <w:color w:val="auto"/>
              </w:rPr>
            </w:pPr>
          </w:p>
        </w:tc>
      </w:tr>
      <w:tr>
        <w:trPr>
          <w:trHeight w:val="234"/>
        </w:trPr>
        <w:tc>
          <w:tcPr>
            <w:tcW w:w="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awards to the Registrant’s executive officers.</w:t>
            </w:r>
          </w:p>
        </w:tc>
        <w:tc>
          <w:tcPr>
            <w:tcW w:w="0" w:type="dxa"/>
            <w:vAlign w:val="bottom"/>
          </w:tcPr>
          <w:p>
            <w:pPr>
              <w:spacing w:after="0"/>
              <w:rPr>
                <w:sz w:val="1"/>
                <w:szCs w:val="1"/>
                <w:color w:val="auto"/>
              </w:rPr>
            </w:pPr>
          </w:p>
        </w:tc>
      </w:tr>
      <w:tr>
        <w:trPr>
          <w:trHeight w:val="81"/>
        </w:trPr>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8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Form of stock option agreement and related notice of grant for use in connection with the grant of non-qualified</w:t>
            </w:r>
          </w:p>
        </w:tc>
        <w:tc>
          <w:tcPr>
            <w:tcW w:w="0" w:type="dxa"/>
            <w:vAlign w:val="bottom"/>
          </w:tcPr>
          <w:p>
            <w:pPr>
              <w:spacing w:after="0"/>
              <w:rPr>
                <w:sz w:val="1"/>
                <w:szCs w:val="1"/>
                <w:color w:val="auto"/>
              </w:rPr>
            </w:pPr>
          </w:p>
        </w:tc>
      </w:tr>
      <w:tr>
        <w:trPr>
          <w:trHeight w:val="241"/>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 to the Registrant’s non-employee directors.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Amendment, dated as of May 13, 2014, to the Master Terms and Conditions for Warrants, dated as of October 18,</w:t>
            </w:r>
          </w:p>
        </w:tc>
        <w:tc>
          <w:tcPr>
            <w:tcW w:w="0" w:type="dxa"/>
            <w:vAlign w:val="bottom"/>
          </w:tcPr>
          <w:p>
            <w:pPr>
              <w:spacing w:after="0"/>
              <w:rPr>
                <w:sz w:val="1"/>
                <w:szCs w:val="1"/>
                <w:color w:val="auto"/>
              </w:rPr>
            </w:pPr>
          </w:p>
        </w:tc>
      </w:tr>
      <w:tr>
        <w:trPr>
          <w:trHeight w:val="234"/>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2011, as supplemented by a confirmation dated October 18, 2011, between Citibank, N.A. and the Registrant.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 dated as of May 14, 2014, to the Master Terms and Conditions for Warrants, dated as of October 18,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2011, as supplemented by a confirmation dated October 18, 2011, between Credit Suisse Capital LLC (as assignee of</w:t>
            </w:r>
          </w:p>
        </w:tc>
        <w:tc>
          <w:tcPr>
            <w:tcW w:w="0" w:type="dxa"/>
            <w:vAlign w:val="bottom"/>
          </w:tcPr>
          <w:p>
            <w:pPr>
              <w:spacing w:after="0"/>
              <w:rPr>
                <w:sz w:val="1"/>
                <w:szCs w:val="1"/>
                <w:color w:val="auto"/>
              </w:rPr>
            </w:pPr>
          </w:p>
        </w:tc>
      </w:tr>
      <w:tr>
        <w:trPr>
          <w:trHeight w:val="241"/>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Credit Suisse International) and the Registrant.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Amendment, dated as of May 15, 2014, to the Master Terms and Conditions for Warrants, dated as of October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2011, as supplemented by a confirmation dated October 18, 2011, between Goldman, Sachs &amp; Co. and the</w:t>
            </w:r>
          </w:p>
        </w:tc>
        <w:tc>
          <w:tcPr>
            <w:tcW w:w="0" w:type="dxa"/>
            <w:vAlign w:val="bottom"/>
          </w:tcPr>
          <w:p>
            <w:pPr>
              <w:spacing w:after="0"/>
              <w:rPr>
                <w:sz w:val="1"/>
                <w:szCs w:val="1"/>
                <w:color w:val="auto"/>
              </w:rPr>
            </w:pPr>
          </w:p>
        </w:tc>
      </w:tr>
      <w:tr>
        <w:trPr>
          <w:trHeight w:val="234"/>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Amendment, dated as of May 16, 2014, to the Master Terms and Conditions for Warrants, dated as of October 18,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2011, as supplemented by a confirmation dated October 18, 2011, between Morgan Stanley &amp; Co. International plc</w:t>
            </w:r>
          </w:p>
        </w:tc>
        <w:tc>
          <w:tcPr>
            <w:tcW w:w="0" w:type="dxa"/>
            <w:vAlign w:val="bottom"/>
          </w:tcPr>
          <w:p>
            <w:pPr>
              <w:spacing w:after="0"/>
              <w:rPr>
                <w:sz w:val="1"/>
                <w:szCs w:val="1"/>
                <w:color w:val="auto"/>
              </w:rPr>
            </w:pPr>
          </w:p>
        </w:tc>
      </w:tr>
      <w:tr>
        <w:trPr>
          <w:trHeight w:val="241"/>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and the Registrant.</w:t>
            </w:r>
          </w:p>
        </w:tc>
        <w:tc>
          <w:tcPr>
            <w:tcW w:w="0" w:type="dxa"/>
            <w:vAlign w:val="bottom"/>
          </w:tcPr>
          <w:p>
            <w:pPr>
              <w:spacing w:after="0"/>
              <w:rPr>
                <w:sz w:val="1"/>
                <w:szCs w:val="1"/>
                <w:color w:val="auto"/>
              </w:rPr>
            </w:pPr>
          </w:p>
        </w:tc>
      </w:tr>
      <w:tr>
        <w:trPr>
          <w:trHeight w:val="24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43"/>
        </w:trPr>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Interactive Data File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90" w:lineRule="exact"/>
        <w:rPr>
          <w:sz w:val="20"/>
          <w:szCs w:val="20"/>
          <w:color w:val="auto"/>
        </w:rPr>
      </w:pPr>
    </w:p>
    <w:p>
      <w:pPr>
        <w:ind w:left="420" w:hanging="250"/>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99.1 to the Registration Statement on Form S-8 for Regeneron Pharmaceuticals, Inc., filed June 16, 2014.</w:t>
      </w:r>
    </w:p>
    <w:p>
      <w:pPr>
        <w:spacing w:after="0" w:line="17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Form 8-K for Regeneron Pharmaceuticals, Inc., filed June 18, 2014.</w:t>
      </w:r>
    </w:p>
    <w:p>
      <w:pPr>
        <w:spacing w:after="0" w:line="17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10.2 to the Form 8-K for Regeneron Pharmaceuticals, Inc., filed June 18, 2014.</w:t>
      </w:r>
    </w:p>
    <w:p>
      <w:pPr>
        <w:spacing w:after="0" w:line="17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10.3 to the Form 8-K for Regeneron Pharmaceuticals, Inc., filed June 18, 2014.</w:t>
      </w:r>
    </w:p>
    <w:p>
      <w:pPr>
        <w:spacing w:after="0" w:line="171" w:lineRule="exact"/>
        <w:rPr>
          <w:rFonts w:ascii="Times New Roman" w:cs="Times New Roman" w:eastAsia="Times New Roman" w:hAnsi="Times New Roman"/>
          <w:sz w:val="18"/>
          <w:szCs w:val="18"/>
          <w:color w:val="auto"/>
        </w:rPr>
      </w:pPr>
    </w:p>
    <w:p>
      <w:pPr>
        <w:ind w:left="420" w:hanging="250"/>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10.4 to the Form 8-K for Regeneron Pharmaceuticals, Inc., filed June 18, 2014.</w:t>
      </w:r>
    </w:p>
    <w:p>
      <w:pPr>
        <w:sectPr>
          <w:pgSz w:w="11900" w:h="16838" w:orient="portrait"/>
          <w:cols w:equalWidth="0" w:num="1">
            <w:col w:w="10780"/>
          </w:cols>
          <w:pgMar w:left="240" w:top="126"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780"/>
          </w:cols>
          <w:pgMar w:left="240" w:top="126" w:right="879" w:bottom="1440" w:gutter="0" w:footer="0" w:header="0"/>
          <w:type w:val="continuous"/>
        </w:sectPr>
      </w:pPr>
    </w:p>
    <w:bookmarkStart w:id="79" w:name="page80"/>
    <w:bookmarkEnd w:id="79"/>
    <w:p>
      <w:pPr>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5,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26"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10.6</w:t>
      </w:r>
    </w:p>
    <w:p>
      <w:pPr>
        <w:spacing w:after="0" w:line="29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Amendment, dated as of May 13, 2014,</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to the Master Terms and Conditions for Warrants, dated as of October 18, 2011,</w:t>
      </w:r>
    </w:p>
    <w:p>
      <w:pPr>
        <w:ind w:left="3220"/>
        <w:spacing w:after="0"/>
        <w:rPr>
          <w:sz w:val="20"/>
          <w:szCs w:val="20"/>
          <w:color w:val="auto"/>
        </w:rPr>
      </w:pPr>
      <w:r>
        <w:rPr>
          <w:rFonts w:ascii="Times New Roman" w:cs="Times New Roman" w:eastAsia="Times New Roman" w:hAnsi="Times New Roman"/>
          <w:sz w:val="20"/>
          <w:szCs w:val="20"/>
          <w:b w:val="1"/>
          <w:bCs w:val="1"/>
          <w:color w:val="auto"/>
        </w:rPr>
        <w:t>as supplemented by a confirmation dated October 18, 2011,</w:t>
      </w:r>
    </w:p>
    <w:p>
      <w:pPr>
        <w:ind w:left="3900"/>
        <w:spacing w:after="0"/>
        <w:rPr>
          <w:sz w:val="20"/>
          <w:szCs w:val="20"/>
          <w:color w:val="auto"/>
        </w:rPr>
      </w:pPr>
      <w:r>
        <w:rPr>
          <w:rFonts w:ascii="Times New Roman" w:cs="Times New Roman" w:eastAsia="Times New Roman" w:hAnsi="Times New Roman"/>
          <w:sz w:val="20"/>
          <w:szCs w:val="20"/>
          <w:b w:val="1"/>
          <w:bCs w:val="1"/>
          <w:color w:val="auto"/>
        </w:rPr>
        <w:t>between Citibank, N.A. and the Registrant.</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13, 2014</w:t>
      </w:r>
    </w:p>
    <w:p>
      <w:pPr>
        <w:spacing w:after="0" w:line="211"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Dominick Agron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VP and Treasurer</w:t>
      </w: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820" w:space="480"/>
            <w:col w:w="10120"/>
          </w:cols>
          <w:pgMar w:left="240" w:top="66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(914) 847-1555</w:t>
      </w:r>
    </w:p>
    <w:p>
      <w:pPr>
        <w:spacing w:after="0" w:line="211" w:lineRule="exact"/>
        <w:rPr>
          <w:sz w:val="20"/>
          <w:szCs w:val="20"/>
          <w:color w:val="auto"/>
        </w:rPr>
      </w:pPr>
    </w:p>
    <w:p>
      <w:pPr>
        <w:sectPr>
          <w:pgSz w:w="11900" w:h="16838" w:orient="portrait"/>
          <w:cols w:equalWidth="0" w:num="2">
            <w:col w:w="840" w:space="460"/>
            <w:col w:w="10120"/>
          </w:cols>
          <w:pgMar w:left="240" w:top="66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390 Greenwich Street</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New York, NY 10013</w:t>
      </w:r>
    </w:p>
    <w:p>
      <w:pPr>
        <w:spacing w:after="0" w:line="200"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James Heathcote</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Corporate Equity Derivatives</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390 Greenwich Street</w:t>
      </w:r>
    </w:p>
    <w:p>
      <w:pPr>
        <w:ind w:left="660"/>
        <w:spacing w:after="0"/>
        <w:rPr>
          <w:sz w:val="20"/>
          <w:szCs w:val="20"/>
          <w:color w:val="auto"/>
        </w:rPr>
      </w:pPr>
      <w:r>
        <w:rPr>
          <w:rFonts w:ascii="Times New Roman" w:cs="Times New Roman" w:eastAsia="Times New Roman" w:hAnsi="Times New Roman"/>
          <w:sz w:val="20"/>
          <w:szCs w:val="20"/>
          <w:color w:val="auto"/>
        </w:rPr>
        <w:t>New York, NY 10013</w:t>
      </w:r>
    </w:p>
    <w:p>
      <w:pPr>
        <w:spacing w:after="0" w:line="194" w:lineRule="exact"/>
        <w:rPr>
          <w:sz w:val="20"/>
          <w:szCs w:val="20"/>
          <w:color w:val="auto"/>
        </w:rPr>
      </w:pPr>
    </w:p>
    <w:p>
      <w:pPr>
        <w:sectPr>
          <w:pgSz w:w="11900" w:h="16838" w:orient="portrait"/>
          <w:cols w:equalWidth="0" w:num="2">
            <w:col w:w="820" w:space="480"/>
            <w:col w:w="10120"/>
          </w:cols>
          <w:pgMar w:left="240" w:top="661" w:right="239" w:bottom="1440" w:gutter="0" w:footer="0" w:header="0"/>
          <w:type w:val="continuous"/>
        </w:sect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Amendment of the Warrant Transaction between Citibank, N.A. and Regeneron Pharmaceuticals, Inc.</w:t>
      </w:r>
    </w:p>
    <w:p>
      <w:pPr>
        <w:sectPr>
          <w:pgSz w:w="11900" w:h="16838" w:orient="portrait"/>
          <w:cols w:equalWidth="0" w:num="1">
            <w:col w:w="11420"/>
          </w:cols>
          <w:pgMar w:left="240" w:top="661"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Sir/Madam:</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Citibank, N.A. (“</w:t>
      </w:r>
      <w:r>
        <w:rPr>
          <w:rFonts w:ascii="Times New Roman" w:cs="Times New Roman" w:eastAsia="Times New Roman" w:hAnsi="Times New Roman"/>
          <w:sz w:val="20"/>
          <w:szCs w:val="20"/>
          <w:b w:val="1"/>
          <w:bCs w:val="1"/>
          <w:color w:val="auto"/>
        </w:rPr>
        <w:t>Citi</w:t>
      </w:r>
      <w:r>
        <w:rPr>
          <w:rFonts w:ascii="Times New Roman" w:cs="Times New Roman" w:eastAsia="Times New Roman" w:hAnsi="Times New Roman"/>
          <w:sz w:val="20"/>
          <w:szCs w:val="20"/>
          <w:color w:val="auto"/>
        </w:rPr>
        <w:t>”) and Regeneron Pharmaceuticals, Inc.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are parties to a warrant transaction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evidenced by the Master Terms and Conditions for Base Warrants Issued by Regeneron Pharmaceuticals, Inc. dated as of October 18, 2011, supplemented by the written confirmation dated as of October 18, 2011 (the “</w:t>
      </w:r>
      <w:r>
        <w:rPr>
          <w:rFonts w:ascii="Times New Roman" w:cs="Times New Roman" w:eastAsia="Times New Roman" w:hAnsi="Times New Roman"/>
          <w:sz w:val="20"/>
          <w:szCs w:val="20"/>
          <w:b w:val="1"/>
          <w:bCs w:val="1"/>
          <w:color w:val="auto"/>
        </w:rPr>
        <w:t>Confirmation</w:t>
      </w:r>
      <w:r>
        <w:rPr>
          <w:rFonts w:ascii="Times New Roman" w:cs="Times New Roman" w:eastAsia="Times New Roman" w:hAnsi="Times New Roman"/>
          <w:sz w:val="20"/>
          <w:szCs w:val="20"/>
          <w:color w:val="auto"/>
        </w:rPr>
        <w:t>”). Terms used herein but are not otherwise defined shall have meanings assigned to them in the Confirmation.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71" w:lineRule="exact"/>
        <w:rPr>
          <w:sz w:val="20"/>
          <w:szCs w:val="20"/>
          <w:color w:val="auto"/>
        </w:rPr>
      </w:pPr>
    </w:p>
    <w:p>
      <w:pPr>
        <w:jc w:val="both"/>
        <w:ind w:firstLine="656"/>
        <w:spacing w:after="0" w:line="233" w:lineRule="auto"/>
        <w:tabs>
          <w:tab w:leader="none" w:pos="8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Effective upon payment of the Amendment Payment on the Payment Date (as defined below), the Number of Warrants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each Component of the Transaction shall be reduced by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pacing w:after="0" w:line="185" w:lineRule="exact"/>
        <w:rPr>
          <w:rFonts w:ascii="Times New Roman" w:cs="Times New Roman" w:eastAsia="Times New Roman" w:hAnsi="Times New Roman"/>
          <w:sz w:val="20"/>
          <w:szCs w:val="20"/>
          <w:color w:val="auto"/>
        </w:rPr>
      </w:pPr>
    </w:p>
    <w:p>
      <w:pPr>
        <w:jc w:val="both"/>
        <w:ind w:firstLine="656"/>
        <w:spacing w:after="0" w:line="256" w:lineRule="auto"/>
        <w:tabs>
          <w:tab w:leader="none" w:pos="8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 Payment</w:t>
      </w:r>
      <w:r>
        <w:rPr>
          <w:rFonts w:ascii="Times New Roman" w:cs="Times New Roman" w:eastAsia="Times New Roman" w:hAnsi="Times New Roman"/>
          <w:sz w:val="20"/>
          <w:szCs w:val="20"/>
          <w:color w:val="auto"/>
        </w:rPr>
        <w:t>. In consideration of the amendment of the Transaction, Issuer agrees to pay to Citi on the Payment Date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in USD (the “</w:t>
      </w:r>
      <w:r>
        <w:rPr>
          <w:rFonts w:ascii="Times New Roman" w:cs="Times New Roman" w:eastAsia="Times New Roman" w:hAnsi="Times New Roman"/>
          <w:sz w:val="20"/>
          <w:szCs w:val="20"/>
          <w:b w:val="1"/>
          <w:bCs w:val="1"/>
          <w:color w:val="auto"/>
        </w:rPr>
        <w:t>Amendment Payment</w:t>
      </w:r>
      <w:r>
        <w:rPr>
          <w:rFonts w:ascii="Times New Roman" w:cs="Times New Roman" w:eastAsia="Times New Roman" w:hAnsi="Times New Roman"/>
          <w:sz w:val="20"/>
          <w:szCs w:val="20"/>
          <w:color w:val="auto"/>
        </w:rPr>
        <w:t>”) equal to the product of the Applicable Number of Warrants and the Amendment Payment Amount (each as defined below).</w:t>
      </w:r>
    </w:p>
    <w:p>
      <w:pPr>
        <w:sectPr>
          <w:pgSz w:w="11900" w:h="16838" w:orient="portrait"/>
          <w:cols w:equalWidth="0" w:num="1">
            <w:col w:w="11420"/>
          </w:cols>
          <w:pgMar w:left="240" w:top="661" w:right="239" w:bottom="1440" w:gutter="0" w:footer="0" w:header="0"/>
          <w:type w:val="continuous"/>
        </w:sectPr>
      </w:pPr>
    </w:p>
    <w:bookmarkStart w:id="81" w:name="page82"/>
    <w:bookmarkEnd w:id="81"/>
    <w:p>
      <w:pPr>
        <w:ind w:left="652"/>
        <w:spacing w:after="0"/>
        <w:tabs>
          <w:tab w:leader="none" w:pos="3412" w:val="left"/>
        </w:tabs>
        <w:rPr>
          <w:sz w:val="20"/>
          <w:szCs w:val="20"/>
          <w:color w:val="auto"/>
        </w:rPr>
      </w:pPr>
      <w:r>
        <w:rPr>
          <w:rFonts w:ascii="Times New Roman" w:cs="Times New Roman" w:eastAsia="Times New Roman" w:hAnsi="Times New Roman"/>
          <w:sz w:val="20"/>
          <w:szCs w:val="20"/>
          <w:color w:val="auto"/>
        </w:rPr>
        <w:t>Applicable Number of Warrants:</w:t>
      </w:r>
      <w:r>
        <w:rPr>
          <w:sz w:val="20"/>
          <w:szCs w:val="20"/>
          <w:color w:val="auto"/>
        </w:rPr>
        <w:tab/>
      </w:r>
      <w:r>
        <w:rPr>
          <w:rFonts w:ascii="Times New Roman" w:cs="Times New Roman" w:eastAsia="Times New Roman" w:hAnsi="Times New Roman"/>
          <w:sz w:val="19"/>
          <w:szCs w:val="19"/>
          <w:color w:val="auto"/>
        </w:rPr>
        <w:t>181,879</w:t>
      </w:r>
    </w:p>
    <w:p>
      <w:pPr>
        <w:spacing w:after="0" w:line="216" w:lineRule="exact"/>
        <w:rPr>
          <w:sz w:val="20"/>
          <w:szCs w:val="20"/>
          <w:color w:val="auto"/>
        </w:rPr>
      </w:pPr>
    </w:p>
    <w:tbl>
      <w:tblPr>
        <w:tblLayout w:type="fixed"/>
        <w:tblInd w:w="652" w:type="dxa"/>
        <w:tblCellMar>
          <w:top w:w="0" w:type="dxa"/>
          <w:left w:w="0" w:type="dxa"/>
          <w:bottom w:w="0" w:type="dxa"/>
          <w:right w:w="0" w:type="dxa"/>
        </w:tblCellMar>
      </w:tblPr>
      <w:tr>
        <w:trPr>
          <w:trHeight w:val="258"/>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Payment Amount:</w:t>
            </w:r>
          </w:p>
        </w:tc>
        <w:tc>
          <w:tcPr>
            <w:tcW w:w="174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6"/>
              </w:rPr>
              <w:t>USD 35,853,116.13</w:t>
            </w:r>
          </w:p>
        </w:tc>
      </w:tr>
      <w:tr>
        <w:trPr>
          <w:trHeight w:val="44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Payment Date:</w:t>
            </w:r>
          </w:p>
        </w:tc>
        <w:tc>
          <w:tcPr>
            <w:tcW w:w="28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May 16, 2014</w:t>
            </w:r>
          </w:p>
        </w:tc>
      </w:tr>
    </w:tbl>
    <w:p>
      <w:pPr>
        <w:spacing w:after="0" w:line="183" w:lineRule="exact"/>
        <w:rPr>
          <w:sz w:val="20"/>
          <w:szCs w:val="20"/>
          <w:color w:val="auto"/>
        </w:rPr>
      </w:pPr>
    </w:p>
    <w:p>
      <w:pPr>
        <w:ind w:left="852" w:hanging="204"/>
        <w:spacing w:after="0"/>
        <w:tabs>
          <w:tab w:leader="none" w:pos="85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and Warranties.</w:t>
      </w:r>
    </w:p>
    <w:p>
      <w:pPr>
        <w:spacing w:after="0" w:line="220" w:lineRule="exact"/>
        <w:rPr>
          <w:sz w:val="20"/>
          <w:szCs w:val="20"/>
          <w:color w:val="auto"/>
        </w:rPr>
      </w:pPr>
    </w:p>
    <w:p>
      <w:pPr>
        <w:ind w:left="1092" w:hanging="444"/>
        <w:spacing w:after="0"/>
        <w:tabs>
          <w:tab w:leader="none" w:pos="109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represents to the other party that:</w:t>
      </w:r>
    </w:p>
    <w:p>
      <w:pPr>
        <w:spacing w:after="0" w:line="215" w:lineRule="exact"/>
        <w:rPr>
          <w:rFonts w:ascii="Times New Roman" w:cs="Times New Roman" w:eastAsia="Times New Roman" w:hAnsi="Times New Roman"/>
          <w:sz w:val="20"/>
          <w:szCs w:val="20"/>
          <w:color w:val="auto"/>
        </w:rPr>
      </w:pPr>
    </w:p>
    <w:p>
      <w:pPr>
        <w:ind w:left="652" w:firstLine="645"/>
        <w:spacing w:after="0" w:line="269" w:lineRule="auto"/>
        <w:tabs>
          <w:tab w:leader="none" w:pos="176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duly organized and validly existing under the laws of the jurisdiction of its organization or incorporation and, if relevant under such laws, in good standing.</w:t>
      </w:r>
    </w:p>
    <w:p>
      <w:pPr>
        <w:spacing w:after="0" w:line="159"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89"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80" w:lineRule="exact"/>
        <w:rPr>
          <w:rFonts w:ascii="Times New Roman" w:cs="Times New Roman" w:eastAsia="Times New Roman" w:hAnsi="Times New Roman"/>
          <w:sz w:val="20"/>
          <w:szCs w:val="20"/>
          <w:color w:val="auto"/>
        </w:rPr>
      </w:pPr>
    </w:p>
    <w:p>
      <w:pPr>
        <w:jc w:val="both"/>
        <w:ind w:left="652" w:firstLine="645"/>
        <w:spacing w:after="0" w:line="254" w:lineRule="auto"/>
        <w:tabs>
          <w:tab w:leader="none" w:pos="1831"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4" w:lineRule="exact"/>
        <w:rPr>
          <w:rFonts w:ascii="Times New Roman" w:cs="Times New Roman" w:eastAsia="Times New Roman" w:hAnsi="Times New Roman"/>
          <w:sz w:val="20"/>
          <w:szCs w:val="20"/>
          <w:color w:val="auto"/>
        </w:rPr>
      </w:pPr>
    </w:p>
    <w:p>
      <w:pPr>
        <w:ind w:left="652" w:right="20" w:firstLine="645"/>
        <w:spacing w:after="0" w:line="269" w:lineRule="auto"/>
        <w:tabs>
          <w:tab w:leader="none" w:pos="1793"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59"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5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0" w:lineRule="exact"/>
        <w:rPr>
          <w:rFonts w:ascii="Times New Roman" w:cs="Times New Roman" w:eastAsia="Times New Roman" w:hAnsi="Times New Roman"/>
          <w:sz w:val="20"/>
          <w:szCs w:val="20"/>
          <w:color w:val="auto"/>
        </w:rPr>
      </w:pPr>
    </w:p>
    <w:p>
      <w:pPr>
        <w:ind w:left="1112" w:hanging="464"/>
        <w:spacing w:after="0"/>
        <w:tabs>
          <w:tab w:leader="none" w:pos="1112"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represents and warrants to and for the benefit of Citi as follows:</w:t>
      </w:r>
    </w:p>
    <w:p>
      <w:pPr>
        <w:spacing w:after="0" w:line="215" w:lineRule="exact"/>
        <w:rPr>
          <w:rFonts w:ascii="Times New Roman" w:cs="Times New Roman" w:eastAsia="Times New Roman" w:hAnsi="Times New Roman"/>
          <w:sz w:val="20"/>
          <w:szCs w:val="20"/>
          <w:color w:val="auto"/>
        </w:rPr>
      </w:pPr>
    </w:p>
    <w:p>
      <w:pPr>
        <w:ind w:left="1752" w:hanging="455"/>
        <w:spacing w:after="0"/>
        <w:tabs>
          <w:tab w:leader="none" w:pos="1752"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the date hereof, Issuer is not aware of any material non-public information regarding Issuer or the Shares and</w:t>
      </w:r>
    </w:p>
    <w:p>
      <w:pPr>
        <w:spacing w:after="0" w:line="21" w:lineRule="exact"/>
        <w:rPr>
          <w:rFonts w:ascii="Times New Roman" w:cs="Times New Roman" w:eastAsia="Times New Roman" w:hAnsi="Times New Roman"/>
          <w:sz w:val="20"/>
          <w:szCs w:val="20"/>
          <w:color w:val="auto"/>
        </w:rPr>
      </w:pPr>
    </w:p>
    <w:p>
      <w:pPr>
        <w:jc w:val="both"/>
        <w:ind w:left="65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91"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35"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80" w:lineRule="exact"/>
        <w:rPr>
          <w:rFonts w:ascii="Times New Roman" w:cs="Times New Roman" w:eastAsia="Times New Roman" w:hAnsi="Times New Roman"/>
          <w:sz w:val="20"/>
          <w:szCs w:val="20"/>
          <w:color w:val="auto"/>
        </w:rPr>
      </w:pPr>
    </w:p>
    <w:p>
      <w:pPr>
        <w:ind w:left="652" w:firstLine="645"/>
        <w:spacing w:after="0" w:line="269" w:lineRule="auto"/>
        <w:tabs>
          <w:tab w:leader="none" w:pos="1791" w:val="left"/>
        </w:tabs>
        <w:numPr>
          <w:ilvl w:val="2"/>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acknowledges its responsibilities under applicable federal securities laws, including, without limitation, Rule 10b-5 under the Exchange Act, in relation to the Transaction and its amendment.</w:t>
      </w:r>
    </w:p>
    <w:p>
      <w:pPr>
        <w:spacing w:after="0" w:line="155" w:lineRule="exact"/>
        <w:rPr>
          <w:rFonts w:ascii="Times New Roman" w:cs="Times New Roman" w:eastAsia="Times New Roman" w:hAnsi="Times New Roman"/>
          <w:sz w:val="20"/>
          <w:szCs w:val="20"/>
          <w:color w:val="auto"/>
        </w:rPr>
      </w:pPr>
    </w:p>
    <w:p>
      <w:pPr>
        <w:ind w:left="-8" w:firstLine="8"/>
        <w:spacing w:after="0" w:line="273" w:lineRule="auto"/>
        <w:tabs>
          <w:tab w:leader="none" w:pos="19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Additional Amendments or Waivers</w:t>
      </w:r>
      <w:r>
        <w:rPr>
          <w:rFonts w:ascii="Times New Roman" w:cs="Times New Roman" w:eastAsia="Times New Roman" w:hAnsi="Times New Roman"/>
          <w:sz w:val="20"/>
          <w:szCs w:val="20"/>
          <w:color w:val="auto"/>
        </w:rPr>
        <w:t>. Except as amended hereby, all the terms of the Transaction and provisions in the Confirmation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 and continue in full force and effect and are hereby confirmed in all respects.</w:t>
      </w:r>
    </w:p>
    <w:p>
      <w:pPr>
        <w:sectPr>
          <w:pgSz w:w="11900" w:h="16838" w:orient="portrait"/>
          <w:cols w:equalWidth="0" w:num="1">
            <w:col w:w="11412"/>
          </w:cols>
          <w:pgMar w:left="248" w:top="792" w:right="239" w:bottom="1440" w:gutter="0" w:footer="0" w:header="0"/>
        </w:sectPr>
      </w:pPr>
    </w:p>
    <w:bookmarkStart w:id="82" w:name="page83"/>
    <w:bookmarkEnd w:id="82"/>
    <w:p>
      <w:pPr>
        <w:ind w:left="-8" w:firstLine="8"/>
        <w:spacing w:after="0" w:line="273" w:lineRule="auto"/>
        <w:tabs>
          <w:tab w:leader="none" w:pos="19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Amendment may be signed in any number of counterparts, each of which shall be an original, with the same effect as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of the signatures thereto and hereto were upon the same instrument.</w:t>
      </w:r>
    </w:p>
    <w:p>
      <w:pPr>
        <w:spacing w:after="0" w:line="152"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The provisions of this Amendment shall be governed by the New York law (without reference to choice of law doctrine).</w:t>
      </w:r>
    </w:p>
    <w:p>
      <w:pPr>
        <w:sectPr>
          <w:pgSz w:w="11900" w:h="16838" w:orient="portrait"/>
          <w:cols w:equalWidth="0" w:num="1">
            <w:col w:w="11392"/>
          </w:cols>
          <w:pgMar w:left="248" w:top="788" w:right="259" w:bottom="1440" w:gutter="0" w:footer="0" w:header="0"/>
        </w:sectPr>
      </w:pPr>
    </w:p>
    <w:bookmarkStart w:id="83" w:name="page84"/>
    <w:bookmarkEnd w:id="83"/>
    <w:p>
      <w:pPr>
        <w:ind w:firstLine="648"/>
        <w:spacing w:after="0" w:line="269" w:lineRule="auto"/>
        <w:rPr>
          <w:sz w:val="20"/>
          <w:szCs w:val="20"/>
          <w:color w:val="auto"/>
        </w:rPr>
      </w:pPr>
      <w:r>
        <w:rPr>
          <w:rFonts w:ascii="Times New Roman" w:cs="Times New Roman" w:eastAsia="Times New Roman" w:hAnsi="Times New Roman"/>
          <w:sz w:val="20"/>
          <w:szCs w:val="20"/>
          <w:color w:val="auto"/>
        </w:rPr>
        <w:t>Please confirm that the foregoing correctly sets forth the terms of our agreement by executing this Amendment and returning it in the manner indicated in the attached cover letter.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CITIBANK, N.A.</w:t>
      </w:r>
    </w:p>
    <w:p>
      <w:pPr>
        <w:spacing w:after="0" w:line="200" w:lineRule="exact"/>
        <w:rPr>
          <w:sz w:val="20"/>
          <w:szCs w:val="20"/>
          <w:color w:val="auto"/>
        </w:rPr>
      </w:pPr>
    </w:p>
    <w:p>
      <w:pPr>
        <w:spacing w:after="0" w:line="2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James Heathcote</w:t>
      </w:r>
    </w:p>
    <w:p>
      <w:pPr>
        <w:spacing w:after="0" w:line="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Name:</w:t>
        <w:tab/>
        <w:t>James Heathcote</w:t>
      </w:r>
    </w:p>
    <w:p>
      <w:pPr>
        <w:spacing w:after="0"/>
        <w:tabs>
          <w:tab w:leader="none" w:pos="640" w:val="left"/>
        </w:tabs>
        <w:rPr>
          <w:sz w:val="20"/>
          <w:szCs w:val="20"/>
          <w:color w:val="auto"/>
        </w:rPr>
      </w:pPr>
      <w:r>
        <w:rPr>
          <w:rFonts w:ascii="Times New Roman" w:cs="Times New Roman" w:eastAsia="Times New Roman" w:hAnsi="Times New Roman"/>
          <w:sz w:val="20"/>
          <w:szCs w:val="20"/>
          <w:color w:val="auto"/>
        </w:rPr>
        <w:t>Title:</w:t>
        <w:tab/>
        <w:t>Authorized Signatory</w:t>
      </w:r>
    </w:p>
    <w:p>
      <w:pPr>
        <w:sectPr>
          <w:pgSz w:w="11900" w:h="16838" w:orient="portrait"/>
          <w:cols w:equalWidth="0" w:num="1">
            <w:col w:w="11200"/>
          </w:cols>
          <w:pgMar w:left="240" w:top="79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auto"/>
        </w:rPr>
        <w:t>Agreed and Accepted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21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Dominick Agron</w:t>
      </w:r>
    </w:p>
    <w:p>
      <w:pPr>
        <w:spacing w:after="0" w:line="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Dominick Agron</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Treasurer</w:t>
      </w:r>
    </w:p>
    <w:p>
      <w:pPr>
        <w:sectPr>
          <w:pgSz w:w="11900" w:h="16838" w:orient="portrait"/>
          <w:cols w:equalWidth="0" w:num="1">
            <w:col w:w="10219"/>
          </w:cols>
          <w:pgMar w:left="240" w:top="805"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dated as of May 14, 2014,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 Master Terms and Conditions for Warrants, dated as of October 18, 2011,</w:t>
      </w:r>
    </w:p>
    <w:p>
      <w:pPr>
        <w:jc w:val="center"/>
        <w:spacing w:after="0"/>
        <w:rPr>
          <w:sz w:val="20"/>
          <w:szCs w:val="20"/>
          <w:color w:val="auto"/>
        </w:rPr>
      </w:pPr>
      <w:r>
        <w:rPr>
          <w:rFonts w:ascii="Times New Roman" w:cs="Times New Roman" w:eastAsia="Times New Roman" w:hAnsi="Times New Roman"/>
          <w:sz w:val="20"/>
          <w:szCs w:val="20"/>
          <w:b w:val="1"/>
          <w:bCs w:val="1"/>
          <w:color w:val="auto"/>
        </w:rPr>
        <w:t>as supplemented by a confirmation dated October 18, 2011,</w:t>
      </w:r>
    </w:p>
    <w:p>
      <w:pPr>
        <w:jc w:val="center"/>
        <w:spacing w:after="0"/>
        <w:rPr>
          <w:sz w:val="20"/>
          <w:szCs w:val="20"/>
          <w:color w:val="auto"/>
        </w:rPr>
      </w:pPr>
      <w:r>
        <w:rPr>
          <w:rFonts w:ascii="Times New Roman" w:cs="Times New Roman" w:eastAsia="Times New Roman" w:hAnsi="Times New Roman"/>
          <w:sz w:val="20"/>
          <w:szCs w:val="20"/>
          <w:b w:val="1"/>
          <w:bCs w:val="1"/>
          <w:color w:val="auto"/>
        </w:rPr>
        <w:t>between Credit Suisse Capital LLC (as assignee of Credit Suisse International) and the Registrant.</w:t>
      </w:r>
    </w:p>
    <w:p>
      <w:pPr>
        <w:spacing w:after="0" w:line="200" w:lineRule="exact"/>
        <w:rPr>
          <w:sz w:val="20"/>
          <w:szCs w:val="20"/>
          <w:color w:val="auto"/>
        </w:rPr>
      </w:pP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color w:val="auto"/>
        </w:rPr>
        <w:t>May 14, 2014</w:t>
      </w:r>
    </w:p>
    <w:p>
      <w:pPr>
        <w:sectPr>
          <w:pgSz w:w="11900" w:h="16838" w:orient="portrait"/>
          <w:cols w:equalWidth="0" w:num="1">
            <w:col w:w="11420"/>
          </w:cols>
          <w:pgMar w:left="240" w:top="661" w:right="2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Dominick Agron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VP and Treasurer</w:t>
      </w: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820" w:space="480"/>
            <w:col w:w="10120"/>
          </w:cols>
          <w:pgMar w:left="240" w:top="66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(914) 847-5892</w:t>
      </w:r>
    </w:p>
    <w:p>
      <w:pPr>
        <w:spacing w:after="0" w:line="211" w:lineRule="exact"/>
        <w:rPr>
          <w:sz w:val="20"/>
          <w:szCs w:val="20"/>
          <w:color w:val="auto"/>
        </w:rPr>
      </w:pPr>
    </w:p>
    <w:p>
      <w:pPr>
        <w:sectPr>
          <w:pgSz w:w="11900" w:h="16838" w:orient="portrait"/>
          <w:cols w:equalWidth="0" w:num="2">
            <w:col w:w="840" w:space="460"/>
            <w:col w:w="10120"/>
          </w:cols>
          <w:pgMar w:left="240" w:top="66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Credit Suisse Capital LLC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Eleven Madison Avenue</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New York, NY 10010</w:t>
      </w:r>
    </w:p>
    <w:p>
      <w:pPr>
        <w:spacing w:after="0" w:line="194"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20"/>
          <w:szCs w:val="20"/>
          <w:color w:val="auto"/>
        </w:rPr>
        <w:t>With Credit Suisse Securities (USA) LLC as agent</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Eleven Madison Avenue</w:t>
      </w:r>
    </w:p>
    <w:p>
      <w:pPr>
        <w:ind w:left="1960"/>
        <w:spacing w:after="0"/>
        <w:rPr>
          <w:sz w:val="20"/>
          <w:szCs w:val="20"/>
          <w:color w:val="auto"/>
        </w:rPr>
      </w:pPr>
      <w:r>
        <w:rPr>
          <w:rFonts w:ascii="Times New Roman" w:cs="Times New Roman" w:eastAsia="Times New Roman" w:hAnsi="Times New Roman"/>
          <w:sz w:val="20"/>
          <w:szCs w:val="20"/>
          <w:color w:val="auto"/>
        </w:rPr>
        <w:t>New York, NY 10010</w:t>
      </w:r>
    </w:p>
    <w:p>
      <w:pPr>
        <w:spacing w:after="0" w:line="19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Amendment of the Warrant Transaction between Credit Suisse Capital LLC and Regeneron Pharmaceuticals, Inc.</w:t>
      </w:r>
    </w:p>
    <w:p>
      <w:pPr>
        <w:sectPr>
          <w:pgSz w:w="11900" w:h="16838" w:orient="portrait"/>
          <w:cols w:equalWidth="0" w:num="1">
            <w:col w:w="11420"/>
          </w:cols>
          <w:pgMar w:left="240" w:top="661"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Sir/Madam:</w:t>
      </w:r>
    </w:p>
    <w:p>
      <w:pPr>
        <w:spacing w:after="0" w:line="212"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Credit Suisse Capital LLC (“</w:t>
      </w:r>
      <w:r>
        <w:rPr>
          <w:rFonts w:ascii="Times New Roman" w:cs="Times New Roman" w:eastAsia="Times New Roman" w:hAnsi="Times New Roman"/>
          <w:sz w:val="20"/>
          <w:szCs w:val="20"/>
          <w:b w:val="1"/>
          <w:bCs w:val="1"/>
          <w:color w:val="auto"/>
        </w:rPr>
        <w:t>CS</w:t>
      </w:r>
      <w:r>
        <w:rPr>
          <w:rFonts w:ascii="Times New Roman" w:cs="Times New Roman" w:eastAsia="Times New Roman" w:hAnsi="Times New Roman"/>
          <w:sz w:val="20"/>
          <w:szCs w:val="20"/>
          <w:color w:val="auto"/>
        </w:rPr>
        <w:t>”) and Regeneron Pharmaceuticals, Inc.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are parties to a warrant transaction pursuant to a November 13, 2013 assignment by Credit Suisse International, an affiliate of Dealer, to CS of such warrant transaction. The warrant transaction is evidenced by the Master Terms and Conditions for Base Warrants Issued by Regeneron Pharmaceuticals, Inc. dated as of October 18, 2011, supplemented by the written confirmation dated as of October 18, 2011 (the “</w:t>
      </w:r>
      <w:r>
        <w:rPr>
          <w:rFonts w:ascii="Times New Roman" w:cs="Times New Roman" w:eastAsia="Times New Roman" w:hAnsi="Times New Roman"/>
          <w:sz w:val="20"/>
          <w:szCs w:val="20"/>
          <w:b w:val="1"/>
          <w:bCs w:val="1"/>
          <w:color w:val="auto"/>
        </w:rPr>
        <w:t>Confirmation</w:t>
      </w:r>
      <w:r>
        <w:rPr>
          <w:rFonts w:ascii="Times New Roman" w:cs="Times New Roman" w:eastAsia="Times New Roman" w:hAnsi="Times New Roman"/>
          <w:sz w:val="20"/>
          <w:szCs w:val="20"/>
          <w:color w:val="auto"/>
        </w:rPr>
        <w:t>”). Terms used herein but are not otherwise defined shall have meanings assigned to them in the Warrant Confirmation.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71" w:lineRule="exact"/>
        <w:rPr>
          <w:sz w:val="20"/>
          <w:szCs w:val="20"/>
          <w:color w:val="auto"/>
        </w:rPr>
      </w:pPr>
    </w:p>
    <w:p>
      <w:pPr>
        <w:jc w:val="both"/>
        <w:ind w:firstLine="656"/>
        <w:spacing w:after="0" w:line="233" w:lineRule="auto"/>
        <w:tabs>
          <w:tab w:leader="none" w:pos="846"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Effective upon payment of the Amendment Payment on the Payment Date (as defined below), the Number of Warrants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each Component of the Transaction shall be reduced by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ectPr>
          <w:pgSz w:w="11900" w:h="16838" w:orient="portrait"/>
          <w:cols w:equalWidth="0" w:num="1">
            <w:col w:w="11420"/>
          </w:cols>
          <w:pgMar w:left="240" w:top="661" w:right="239" w:bottom="1440" w:gutter="0" w:footer="0" w:header="0"/>
          <w:type w:val="continuous"/>
        </w:sectPr>
      </w:pPr>
    </w:p>
    <w:bookmarkStart w:id="86" w:name="page87"/>
    <w:bookmarkEnd w:id="86"/>
    <w:p>
      <w:pPr>
        <w:jc w:val="both"/>
        <w:ind w:left="-656" w:firstLine="656"/>
        <w:spacing w:after="0" w:line="256" w:lineRule="auto"/>
        <w:tabs>
          <w:tab w:leader="none" w:pos="2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 Payment</w:t>
      </w:r>
      <w:r>
        <w:rPr>
          <w:rFonts w:ascii="Times New Roman" w:cs="Times New Roman" w:eastAsia="Times New Roman" w:hAnsi="Times New Roman"/>
          <w:sz w:val="20"/>
          <w:szCs w:val="20"/>
          <w:color w:val="auto"/>
        </w:rPr>
        <w:t>. In consideration of the amendment of the Transaction, Issuer agrees to pay to CS on the Payment Date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in USD (the “</w:t>
      </w:r>
      <w:r>
        <w:rPr>
          <w:rFonts w:ascii="Times New Roman" w:cs="Times New Roman" w:eastAsia="Times New Roman" w:hAnsi="Times New Roman"/>
          <w:sz w:val="20"/>
          <w:szCs w:val="20"/>
          <w:b w:val="1"/>
          <w:bCs w:val="1"/>
          <w:color w:val="auto"/>
        </w:rPr>
        <w:t>Amendment Payment</w:t>
      </w:r>
      <w:r>
        <w:rPr>
          <w:rFonts w:ascii="Times New Roman" w:cs="Times New Roman" w:eastAsia="Times New Roman" w:hAnsi="Times New Roman"/>
          <w:sz w:val="20"/>
          <w:szCs w:val="20"/>
          <w:color w:val="auto"/>
        </w:rPr>
        <w:t>”) equal to the product of the Applicable Number of Warrants and the Amendment Payment Amount (each as defined below).</w:t>
      </w:r>
    </w:p>
    <w:p>
      <w:pPr>
        <w:spacing w:after="0" w:line="173" w:lineRule="exact"/>
        <w:rPr>
          <w:sz w:val="20"/>
          <w:szCs w:val="20"/>
          <w:color w:val="auto"/>
        </w:rPr>
      </w:pPr>
    </w:p>
    <w:p>
      <w:pPr>
        <w:ind w:left="4"/>
        <w:spacing w:after="0"/>
        <w:tabs>
          <w:tab w:leader="none" w:pos="2763" w:val="left"/>
        </w:tabs>
        <w:rPr>
          <w:sz w:val="20"/>
          <w:szCs w:val="20"/>
          <w:color w:val="auto"/>
        </w:rPr>
      </w:pPr>
      <w:r>
        <w:rPr>
          <w:rFonts w:ascii="Times New Roman" w:cs="Times New Roman" w:eastAsia="Times New Roman" w:hAnsi="Times New Roman"/>
          <w:sz w:val="20"/>
          <w:szCs w:val="20"/>
          <w:color w:val="auto"/>
        </w:rPr>
        <w:t>Applicable Number of Warrants:</w:t>
      </w:r>
      <w:r>
        <w:rPr>
          <w:sz w:val="20"/>
          <w:szCs w:val="20"/>
          <w:color w:val="auto"/>
        </w:rPr>
        <w:tab/>
      </w:r>
      <w:r>
        <w:rPr>
          <w:rFonts w:ascii="Times New Roman" w:cs="Times New Roman" w:eastAsia="Times New Roman" w:hAnsi="Times New Roman"/>
          <w:sz w:val="19"/>
          <w:szCs w:val="19"/>
          <w:color w:val="auto"/>
        </w:rPr>
        <w:t>181,879</w:t>
      </w:r>
    </w:p>
    <w:p>
      <w:pPr>
        <w:spacing w:after="0" w:line="216" w:lineRule="exact"/>
        <w:rPr>
          <w:sz w:val="20"/>
          <w:szCs w:val="20"/>
          <w:color w:val="auto"/>
        </w:rPr>
      </w:pPr>
    </w:p>
    <w:tbl>
      <w:tblPr>
        <w:tblLayout w:type="fixed"/>
        <w:tblInd w:w="4" w:type="dxa"/>
        <w:tblCellMar>
          <w:top w:w="0" w:type="dxa"/>
          <w:left w:w="0" w:type="dxa"/>
          <w:bottom w:w="0" w:type="dxa"/>
          <w:right w:w="0" w:type="dxa"/>
        </w:tblCellMar>
      </w:tblPr>
      <w:tr>
        <w:trPr>
          <w:trHeight w:val="258"/>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Payment Amount:</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USD 34,987,553.97</w:t>
            </w:r>
          </w:p>
        </w:tc>
      </w:tr>
      <w:tr>
        <w:trPr>
          <w:trHeight w:val="44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Payment Date:</w:t>
            </w: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May 19, 2014</w:t>
            </w:r>
          </w:p>
        </w:tc>
      </w:tr>
    </w:tbl>
    <w:p>
      <w:pPr>
        <w:spacing w:after="0" w:line="183" w:lineRule="exact"/>
        <w:rPr>
          <w:sz w:val="20"/>
          <w:szCs w:val="20"/>
          <w:color w:val="auto"/>
        </w:rPr>
      </w:pPr>
    </w:p>
    <w:p>
      <w:pPr>
        <w:ind w:left="204" w:hanging="204"/>
        <w:spacing w:after="0"/>
        <w:tabs>
          <w:tab w:leader="none" w:pos="2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and Warranties.</w:t>
      </w:r>
    </w:p>
    <w:p>
      <w:pPr>
        <w:spacing w:after="0" w:line="220" w:lineRule="exact"/>
        <w:rPr>
          <w:sz w:val="20"/>
          <w:szCs w:val="20"/>
          <w:color w:val="auto"/>
        </w:rPr>
      </w:pPr>
    </w:p>
    <w:p>
      <w:pPr>
        <w:ind w:left="444" w:hanging="444"/>
        <w:spacing w:after="0"/>
        <w:tabs>
          <w:tab w:leader="none" w:pos="4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represents to the other party that:</w:t>
      </w:r>
    </w:p>
    <w:p>
      <w:pPr>
        <w:spacing w:after="0" w:line="215" w:lineRule="exact"/>
        <w:rPr>
          <w:rFonts w:ascii="Times New Roman" w:cs="Times New Roman" w:eastAsia="Times New Roman" w:hAnsi="Times New Roman"/>
          <w:sz w:val="20"/>
          <w:szCs w:val="20"/>
          <w:color w:val="auto"/>
        </w:rPr>
      </w:pPr>
    </w:p>
    <w:p>
      <w:pPr>
        <w:ind w:left="4" w:firstLine="645"/>
        <w:spacing w:after="0" w:line="269" w:lineRule="auto"/>
        <w:tabs>
          <w:tab w:leader="none" w:pos="111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duly organized and validly existing under the laws of the jurisdiction of its organization or incorporation and, if relevant under such laws, in good standing.</w:t>
      </w:r>
    </w:p>
    <w:p>
      <w:pPr>
        <w:spacing w:after="0" w:line="159"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141"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80" w:lineRule="exact"/>
        <w:rPr>
          <w:rFonts w:ascii="Times New Roman" w:cs="Times New Roman" w:eastAsia="Times New Roman" w:hAnsi="Times New Roman"/>
          <w:sz w:val="20"/>
          <w:szCs w:val="20"/>
          <w:color w:val="auto"/>
        </w:rPr>
      </w:pPr>
    </w:p>
    <w:p>
      <w:pPr>
        <w:jc w:val="both"/>
        <w:ind w:left="4" w:firstLine="645"/>
        <w:spacing w:after="0" w:line="254" w:lineRule="auto"/>
        <w:tabs>
          <w:tab w:leader="none" w:pos="118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4" w:lineRule="exact"/>
        <w:rPr>
          <w:rFonts w:ascii="Times New Roman" w:cs="Times New Roman" w:eastAsia="Times New Roman" w:hAnsi="Times New Roman"/>
          <w:sz w:val="20"/>
          <w:szCs w:val="20"/>
          <w:color w:val="auto"/>
        </w:rPr>
      </w:pPr>
    </w:p>
    <w:p>
      <w:pPr>
        <w:ind w:left="4" w:right="20" w:firstLine="645"/>
        <w:spacing w:after="0" w:line="269" w:lineRule="auto"/>
        <w:tabs>
          <w:tab w:leader="none" w:pos="1145"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59"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103"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0" w:lineRule="exact"/>
        <w:rPr>
          <w:rFonts w:ascii="Times New Roman" w:cs="Times New Roman" w:eastAsia="Times New Roman" w:hAnsi="Times New Roman"/>
          <w:sz w:val="20"/>
          <w:szCs w:val="20"/>
          <w:color w:val="auto"/>
        </w:rPr>
      </w:pPr>
    </w:p>
    <w:p>
      <w:pPr>
        <w:ind w:left="464" w:hanging="464"/>
        <w:spacing w:after="0"/>
        <w:tabs>
          <w:tab w:leader="none" w:pos="46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represents and warrants to and for the benefit of CS as follows:</w:t>
      </w:r>
    </w:p>
    <w:p>
      <w:pPr>
        <w:spacing w:after="0" w:line="215" w:lineRule="exact"/>
        <w:rPr>
          <w:rFonts w:ascii="Times New Roman" w:cs="Times New Roman" w:eastAsia="Times New Roman" w:hAnsi="Times New Roman"/>
          <w:sz w:val="20"/>
          <w:szCs w:val="20"/>
          <w:color w:val="auto"/>
        </w:rPr>
      </w:pPr>
    </w:p>
    <w:p>
      <w:pPr>
        <w:ind w:left="1104" w:hanging="455"/>
        <w:spacing w:after="0"/>
        <w:tabs>
          <w:tab w:leader="none" w:pos="110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the date hereof, Issuer is not aware of any material non-public information regarding Issuer or the Shares and</w:t>
      </w:r>
    </w:p>
    <w:p>
      <w:pPr>
        <w:spacing w:after="0" w:line="21" w:lineRule="exact"/>
        <w:rPr>
          <w:rFonts w:ascii="Times New Roman" w:cs="Times New Roman" w:eastAsia="Times New Roman" w:hAnsi="Times New Roman"/>
          <w:sz w:val="20"/>
          <w:szCs w:val="20"/>
          <w:color w:val="auto"/>
        </w:rPr>
      </w:pPr>
    </w:p>
    <w:p>
      <w:pPr>
        <w:jc w:val="both"/>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91" w:lineRule="exact"/>
        <w:rPr>
          <w:rFonts w:ascii="Times New Roman" w:cs="Times New Roman" w:eastAsia="Times New Roman" w:hAnsi="Times New Roman"/>
          <w:sz w:val="20"/>
          <w:szCs w:val="20"/>
          <w:color w:val="auto"/>
        </w:rPr>
      </w:pPr>
    </w:p>
    <w:p>
      <w:pPr>
        <w:jc w:val="both"/>
        <w:ind w:left="4" w:firstLine="645"/>
        <w:spacing w:after="0" w:line="249" w:lineRule="auto"/>
        <w:tabs>
          <w:tab w:leader="none" w:pos="108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80" w:lineRule="exact"/>
        <w:rPr>
          <w:rFonts w:ascii="Times New Roman" w:cs="Times New Roman" w:eastAsia="Times New Roman" w:hAnsi="Times New Roman"/>
          <w:sz w:val="20"/>
          <w:szCs w:val="20"/>
          <w:color w:val="auto"/>
        </w:rPr>
      </w:pPr>
    </w:p>
    <w:p>
      <w:pPr>
        <w:ind w:left="4" w:firstLine="645"/>
        <w:spacing w:after="0" w:line="269" w:lineRule="auto"/>
        <w:tabs>
          <w:tab w:leader="none" w:pos="114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acknowledges its responsibilities under applicable federal securities laws, including, without limitation, Rule 10b-5 under the Exchange Act, in relation to the Transaction and its amendment.</w:t>
      </w:r>
    </w:p>
    <w:p>
      <w:pPr>
        <w:sectPr>
          <w:pgSz w:w="11900" w:h="16838" w:orient="portrait"/>
          <w:cols w:equalWidth="0" w:num="1">
            <w:col w:w="10764"/>
          </w:cols>
          <w:pgMar w:left="896" w:top="572" w:right="239" w:bottom="1440" w:gutter="0" w:footer="0" w:header="0"/>
        </w:sectPr>
      </w:pPr>
    </w:p>
    <w:bookmarkStart w:id="87" w:name="page88"/>
    <w:bookmarkEnd w:id="87"/>
    <w:p>
      <w:pPr>
        <w:ind w:left="-8" w:firstLine="8"/>
        <w:spacing w:after="0" w:line="273" w:lineRule="auto"/>
        <w:tabs>
          <w:tab w:leader="none" w:pos="19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Additional Amendments or Waivers</w:t>
      </w:r>
      <w:r>
        <w:rPr>
          <w:rFonts w:ascii="Times New Roman" w:cs="Times New Roman" w:eastAsia="Times New Roman" w:hAnsi="Times New Roman"/>
          <w:sz w:val="20"/>
          <w:szCs w:val="20"/>
          <w:color w:val="auto"/>
        </w:rPr>
        <w:t>. Except as amended hereby, all the terms of the Transaction and provisions in the Confirmation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 and continue in full force and effect and are hereby confirmed in all respects.</w:t>
      </w:r>
    </w:p>
    <w:p>
      <w:pPr>
        <w:spacing w:after="0" w:line="152" w:lineRule="exact"/>
        <w:rPr>
          <w:rFonts w:ascii="Times New Roman" w:cs="Times New Roman" w:eastAsia="Times New Roman" w:hAnsi="Times New Roman"/>
          <w:sz w:val="20"/>
          <w:szCs w:val="20"/>
          <w:color w:val="auto"/>
        </w:rPr>
      </w:pPr>
    </w:p>
    <w:p>
      <w:pPr>
        <w:ind w:left="-8" w:right="20" w:firstLine="8"/>
        <w:spacing w:after="0" w:line="273" w:lineRule="auto"/>
        <w:tabs>
          <w:tab w:leader="none" w:pos="19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Amendment may be signed in any number of counterparts, each of which shall be an original, with the same effect as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of the signatures thereto and hereto were upon the same instrument.</w:t>
      </w:r>
    </w:p>
    <w:p>
      <w:pPr>
        <w:spacing w:after="0" w:line="152"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The provisions of this Amendment shall be governed by the New York law (without reference to choice of law doctrine).</w:t>
      </w:r>
    </w:p>
    <w:p>
      <w:pPr>
        <w:sectPr>
          <w:pgSz w:w="11900" w:h="16838" w:orient="portrait"/>
          <w:cols w:equalWidth="0" w:num="1">
            <w:col w:w="11412"/>
          </w:cols>
          <w:pgMar w:left="248" w:top="788" w:right="239" w:bottom="1440" w:gutter="0" w:footer="0" w:header="0"/>
        </w:sectPr>
      </w:pPr>
    </w:p>
    <w:bookmarkStart w:id="88" w:name="page89"/>
    <w:bookmarkEnd w:id="88"/>
    <w:p>
      <w:pPr>
        <w:ind w:firstLine="648"/>
        <w:spacing w:after="0" w:line="269" w:lineRule="auto"/>
        <w:rPr>
          <w:sz w:val="20"/>
          <w:szCs w:val="20"/>
          <w:color w:val="auto"/>
        </w:rPr>
      </w:pPr>
      <w:r>
        <w:rPr>
          <w:rFonts w:ascii="Times New Roman" w:cs="Times New Roman" w:eastAsia="Times New Roman" w:hAnsi="Times New Roman"/>
          <w:sz w:val="20"/>
          <w:szCs w:val="20"/>
          <w:color w:val="auto"/>
        </w:rPr>
        <w:t>Please confirm that the foregoing correctly sets forth the terms of our agreement by executing this Amendment and returning it in the manner indicated in the attached cover letter.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SUISSE CAPITAL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Shui Wong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Shui Wong</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SUISSE SECURITIES (USA) LLC as agent for Credit Suisse Capital LLC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Emilie Blay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Emilie Blay</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ectPr>
          <w:pgSz w:w="11900" w:h="16838" w:orient="portrait"/>
          <w:cols w:equalWidth="0" w:num="1">
            <w:col w:w="11200"/>
          </w:cols>
          <w:pgMar w:left="240" w:top="576"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color w:val="auto"/>
        </w:rPr>
        <w:t>Agreed and Accepted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3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Dominick Agron</w:t>
      </w:r>
    </w:p>
    <w:p>
      <w:pPr>
        <w:spacing w:after="0" w:line="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Dominick Agron</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Treasurer</w:t>
      </w:r>
    </w:p>
    <w:p>
      <w:pPr>
        <w:sectPr>
          <w:pgSz w:w="11900" w:h="16838" w:orient="portrait"/>
          <w:cols w:equalWidth="0" w:num="1">
            <w:col w:w="10219"/>
          </w:cols>
          <w:pgMar w:left="240" w:top="576" w:right="1440"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color w:val="auto"/>
        </w:rPr>
        <w:t>Exhibit 10.8</w:t>
      </w:r>
    </w:p>
    <w:p>
      <w:pPr>
        <w:spacing w:after="0" w:line="8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Amendment, dated as of May 15, 2014,</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to the Master Terms and Conditions for Warrants, dated as of October 18, 2011,</w:t>
      </w:r>
    </w:p>
    <w:p>
      <w:pPr>
        <w:ind w:left="3220"/>
        <w:spacing w:after="0"/>
        <w:rPr>
          <w:sz w:val="20"/>
          <w:szCs w:val="20"/>
          <w:color w:val="auto"/>
        </w:rPr>
      </w:pPr>
      <w:r>
        <w:rPr>
          <w:rFonts w:ascii="Times New Roman" w:cs="Times New Roman" w:eastAsia="Times New Roman" w:hAnsi="Times New Roman"/>
          <w:sz w:val="20"/>
          <w:szCs w:val="20"/>
          <w:b w:val="1"/>
          <w:bCs w:val="1"/>
          <w:color w:val="auto"/>
        </w:rPr>
        <w:t>as supplemented by a confirmation dated October 18, 2011,</w:t>
      </w:r>
    </w:p>
    <w:p>
      <w:pPr>
        <w:ind w:left="3540"/>
        <w:spacing w:after="0"/>
        <w:rPr>
          <w:sz w:val="20"/>
          <w:szCs w:val="20"/>
          <w:color w:val="auto"/>
        </w:rPr>
      </w:pPr>
      <w:r>
        <w:rPr>
          <w:rFonts w:ascii="Times New Roman" w:cs="Times New Roman" w:eastAsia="Times New Roman" w:hAnsi="Times New Roman"/>
          <w:sz w:val="20"/>
          <w:szCs w:val="20"/>
          <w:b w:val="1"/>
          <w:bCs w:val="1"/>
          <w:color w:val="auto"/>
        </w:rPr>
        <w:t>between Goldman, Sachs &amp; Co. and the Registrant.</w:t>
      </w:r>
    </w:p>
    <w:p>
      <w:pPr>
        <w:sectPr>
          <w:pgSz w:w="11900" w:h="16838" w:orient="portrait"/>
          <w:cols w:equalWidth="0" w:num="1">
            <w:col w:w="11420"/>
          </w:cols>
          <w:pgMar w:left="240" w:top="1093"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15, 2014</w:t>
      </w:r>
    </w:p>
    <w:p>
      <w:pPr>
        <w:spacing w:after="0" w:line="211" w:lineRule="exact"/>
        <w:rPr>
          <w:sz w:val="20"/>
          <w:szCs w:val="20"/>
          <w:color w:val="auto"/>
        </w:rPr>
      </w:pPr>
    </w:p>
    <w:p>
      <w:pPr>
        <w:sectPr>
          <w:pgSz w:w="11900" w:h="16838" w:orient="portrait"/>
          <w:cols w:equalWidth="0" w:num="2">
            <w:col w:w="440" w:space="180"/>
            <w:col w:w="10800"/>
          </w:cols>
          <w:pgMar w:left="240" w:top="1093"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580" w:space="720"/>
            <w:col w:w="10120"/>
          </w:cols>
          <w:pgMar w:left="240" w:top="109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Dominick Agron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VP and Treasurer</w:t>
      </w: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820" w:space="480"/>
            <w:col w:w="10120"/>
          </w:cols>
          <w:pgMar w:left="240" w:top="109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(914) 847-1555</w:t>
      </w:r>
    </w:p>
    <w:p>
      <w:pPr>
        <w:spacing w:after="0" w:line="211" w:lineRule="exact"/>
        <w:rPr>
          <w:sz w:val="20"/>
          <w:szCs w:val="20"/>
          <w:color w:val="auto"/>
        </w:rPr>
      </w:pPr>
    </w:p>
    <w:p>
      <w:pPr>
        <w:sectPr>
          <w:pgSz w:w="11900" w:h="16838" w:orient="portrait"/>
          <w:cols w:equalWidth="0" w:num="2">
            <w:col w:w="840" w:space="460"/>
            <w:col w:w="10120"/>
          </w:cols>
          <w:pgMar w:left="240" w:top="1093"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Goldman, Sachs &amp; Co.</w:t>
      </w:r>
    </w:p>
    <w:p>
      <w:pPr>
        <w:spacing w:after="0" w:line="211" w:lineRule="exact"/>
        <w:rPr>
          <w:sz w:val="20"/>
          <w:szCs w:val="20"/>
          <w:color w:val="auto"/>
        </w:rPr>
      </w:pPr>
    </w:p>
    <w:p>
      <w:pPr>
        <w:sectPr>
          <w:pgSz w:w="11900" w:h="16838" w:orient="portrait"/>
          <w:cols w:equalWidth="0" w:num="2">
            <w:col w:w="580" w:space="720"/>
            <w:col w:w="10120"/>
          </w:cols>
          <w:pgMar w:left="240" w:top="1093" w:right="239" w:bottom="1440" w:gutter="0" w:footer="0" w:header="0"/>
          <w:type w:val="continuous"/>
        </w:sectPr>
      </w:pPr>
    </w:p>
    <w:p>
      <w:pPr>
        <w:spacing w:after="0" w:line="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Amendment of the Warrant Transaction between Goldman, Sachs &amp; Co. and Regeneron Pharmaceuticals, Inc.</w:t>
      </w:r>
    </w:p>
    <w:p>
      <w:pPr>
        <w:sectPr>
          <w:pgSz w:w="11900" w:h="16838" w:orient="portrait"/>
          <w:cols w:equalWidth="0" w:num="1">
            <w:col w:w="11420"/>
          </w:cols>
          <w:pgMar w:left="240" w:top="1093"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Sir/Madam:</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Goldman, Sachs &amp; Co. (“</w:t>
      </w:r>
      <w:r>
        <w:rPr>
          <w:rFonts w:ascii="Times New Roman" w:cs="Times New Roman" w:eastAsia="Times New Roman" w:hAnsi="Times New Roman"/>
          <w:sz w:val="20"/>
          <w:szCs w:val="20"/>
          <w:b w:val="1"/>
          <w:bCs w:val="1"/>
          <w:color w:val="auto"/>
        </w:rPr>
        <w:t>GS&amp;Co.</w:t>
      </w:r>
      <w:r>
        <w:rPr>
          <w:rFonts w:ascii="Times New Roman" w:cs="Times New Roman" w:eastAsia="Times New Roman" w:hAnsi="Times New Roman"/>
          <w:sz w:val="20"/>
          <w:szCs w:val="20"/>
          <w:color w:val="auto"/>
        </w:rPr>
        <w:t>”) and Regeneron Pharmaceuticals, Inc.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are parties to a warrant transaction (the “</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evidenced by the Master Terms and Conditions for Base Warrants Issued by Regeneron Pharmaceuticals, Inc. dated as of October 18, 2011, supplemented by the written confirmation dated as of October 18, 2011 (the “</w:t>
      </w:r>
      <w:r>
        <w:rPr>
          <w:rFonts w:ascii="Times New Roman" w:cs="Times New Roman" w:eastAsia="Times New Roman" w:hAnsi="Times New Roman"/>
          <w:sz w:val="20"/>
          <w:szCs w:val="20"/>
          <w:b w:val="1"/>
          <w:bCs w:val="1"/>
          <w:color w:val="auto"/>
        </w:rPr>
        <w:t>Confirmation</w:t>
      </w:r>
      <w:r>
        <w:rPr>
          <w:rFonts w:ascii="Times New Roman" w:cs="Times New Roman" w:eastAsia="Times New Roman" w:hAnsi="Times New Roman"/>
          <w:sz w:val="20"/>
          <w:szCs w:val="20"/>
          <w:color w:val="auto"/>
        </w:rPr>
        <w:t>”). Terms used herein but are not otherwise defined shall have meanings assigned to them in the Confirmation.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71" w:lineRule="exact"/>
        <w:rPr>
          <w:sz w:val="20"/>
          <w:szCs w:val="20"/>
          <w:color w:val="auto"/>
        </w:rPr>
      </w:pPr>
    </w:p>
    <w:p>
      <w:pPr>
        <w:jc w:val="both"/>
        <w:ind w:firstLine="656"/>
        <w:spacing w:after="0" w:line="233" w:lineRule="auto"/>
        <w:tabs>
          <w:tab w:leader="none" w:pos="84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Effective upon payment of the Amendment Payment on the Payment Date (as defined below), the Number of Warrants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each Component of the Transaction shall be reduced by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pacing w:after="0" w:line="185" w:lineRule="exact"/>
        <w:rPr>
          <w:rFonts w:ascii="Times New Roman" w:cs="Times New Roman" w:eastAsia="Times New Roman" w:hAnsi="Times New Roman"/>
          <w:sz w:val="20"/>
          <w:szCs w:val="20"/>
          <w:color w:val="auto"/>
        </w:rPr>
      </w:pPr>
    </w:p>
    <w:p>
      <w:pPr>
        <w:jc w:val="both"/>
        <w:ind w:firstLine="656"/>
        <w:spacing w:after="0" w:line="256" w:lineRule="auto"/>
        <w:tabs>
          <w:tab w:leader="none" w:pos="84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 Payment</w:t>
      </w:r>
      <w:r>
        <w:rPr>
          <w:rFonts w:ascii="Times New Roman" w:cs="Times New Roman" w:eastAsia="Times New Roman" w:hAnsi="Times New Roman"/>
          <w:sz w:val="20"/>
          <w:szCs w:val="20"/>
          <w:color w:val="auto"/>
        </w:rPr>
        <w:t>. In consideration of the amendment of the Transaction, Issuer agrees to pay to GS&amp;Co. on the Payment Date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 in USD (the “</w:t>
      </w:r>
      <w:r>
        <w:rPr>
          <w:rFonts w:ascii="Times New Roman" w:cs="Times New Roman" w:eastAsia="Times New Roman" w:hAnsi="Times New Roman"/>
          <w:sz w:val="20"/>
          <w:szCs w:val="20"/>
          <w:b w:val="1"/>
          <w:bCs w:val="1"/>
          <w:color w:val="auto"/>
        </w:rPr>
        <w:t>Amendment Payment</w:t>
      </w:r>
      <w:r>
        <w:rPr>
          <w:rFonts w:ascii="Times New Roman" w:cs="Times New Roman" w:eastAsia="Times New Roman" w:hAnsi="Times New Roman"/>
          <w:sz w:val="20"/>
          <w:szCs w:val="20"/>
          <w:color w:val="auto"/>
        </w:rPr>
        <w:t>”) equal to the product of the Applicable Number of Warrants and the Amendment Payment Amount (each as defined below).</w:t>
      </w:r>
    </w:p>
    <w:p>
      <w:pPr>
        <w:spacing w:after="0" w:line="173" w:lineRule="exact"/>
        <w:rPr>
          <w:sz w:val="20"/>
          <w:szCs w:val="20"/>
          <w:color w:val="auto"/>
        </w:rPr>
      </w:pPr>
    </w:p>
    <w:p>
      <w:pPr>
        <w:ind w:left="660"/>
        <w:spacing w:after="0"/>
        <w:tabs>
          <w:tab w:leader="none" w:pos="3420" w:val="left"/>
        </w:tabs>
        <w:rPr>
          <w:sz w:val="20"/>
          <w:szCs w:val="20"/>
          <w:color w:val="auto"/>
        </w:rPr>
      </w:pPr>
      <w:r>
        <w:rPr>
          <w:rFonts w:ascii="Times New Roman" w:cs="Times New Roman" w:eastAsia="Times New Roman" w:hAnsi="Times New Roman"/>
          <w:sz w:val="20"/>
          <w:szCs w:val="20"/>
          <w:color w:val="auto"/>
        </w:rPr>
        <w:t>Applicable Number of Warrants:</w:t>
      </w:r>
      <w:r>
        <w:rPr>
          <w:sz w:val="20"/>
          <w:szCs w:val="20"/>
          <w:color w:val="auto"/>
        </w:rPr>
        <w:tab/>
      </w:r>
      <w:r>
        <w:rPr>
          <w:rFonts w:ascii="Times New Roman" w:cs="Times New Roman" w:eastAsia="Times New Roman" w:hAnsi="Times New Roman"/>
          <w:sz w:val="19"/>
          <w:szCs w:val="19"/>
          <w:color w:val="auto"/>
        </w:rPr>
        <w:t>181,879</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Amendment Payment Amount:</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USD 35,774,585.58</w:t>
            </w:r>
          </w:p>
        </w:tc>
      </w:tr>
    </w:tbl>
    <w:p>
      <w:pPr>
        <w:sectPr>
          <w:pgSz w:w="11900" w:h="16838" w:orient="portrait"/>
          <w:cols w:equalWidth="0" w:num="1">
            <w:col w:w="11420"/>
          </w:cols>
          <w:pgMar w:left="240" w:top="1093" w:right="239" w:bottom="1440" w:gutter="0" w:footer="0" w:header="0"/>
          <w:type w:val="continuous"/>
        </w:sectPr>
      </w:pPr>
    </w:p>
    <w:bookmarkStart w:id="91" w:name="page92"/>
    <w:bookmarkEnd w:id="91"/>
    <w:p>
      <w:pPr>
        <w:spacing w:after="0" w:line="1" w:lineRule="exact"/>
        <w:rPr>
          <w:sz w:val="20"/>
          <w:szCs w:val="20"/>
          <w:color w:val="auto"/>
        </w:rPr>
      </w:pPr>
    </w:p>
    <w:tbl>
      <w:tblPr>
        <w:tblLayout w:type="fixed"/>
        <w:tblInd w:w="652" w:type="dxa"/>
        <w:tblCellMar>
          <w:top w:w="0" w:type="dxa"/>
          <w:left w:w="0" w:type="dxa"/>
          <w:bottom w:w="0" w:type="dxa"/>
          <w:right w:w="0" w:type="dxa"/>
        </w:tblCellMar>
      </w:tblP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Payment Date:</w:t>
            </w:r>
          </w:p>
        </w:tc>
        <w:tc>
          <w:tcPr>
            <w:tcW w:w="148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May 20, 2014</w:t>
            </w:r>
          </w:p>
        </w:tc>
      </w:tr>
    </w:tbl>
    <w:p>
      <w:pPr>
        <w:spacing w:after="0" w:line="399" w:lineRule="exact"/>
        <w:rPr>
          <w:sz w:val="20"/>
          <w:szCs w:val="20"/>
          <w:color w:val="auto"/>
        </w:rPr>
      </w:pPr>
    </w:p>
    <w:p>
      <w:pPr>
        <w:ind w:left="852" w:hanging="204"/>
        <w:spacing w:after="0"/>
        <w:tabs>
          <w:tab w:leader="none" w:pos="85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and Warranties.</w:t>
      </w:r>
    </w:p>
    <w:p>
      <w:pPr>
        <w:spacing w:after="0" w:line="220" w:lineRule="exact"/>
        <w:rPr>
          <w:sz w:val="20"/>
          <w:szCs w:val="20"/>
          <w:color w:val="auto"/>
        </w:rPr>
      </w:pPr>
    </w:p>
    <w:p>
      <w:pPr>
        <w:ind w:left="1092" w:hanging="444"/>
        <w:spacing w:after="0"/>
        <w:tabs>
          <w:tab w:leader="none" w:pos="109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represents to the other party that:</w:t>
      </w:r>
    </w:p>
    <w:p>
      <w:pPr>
        <w:spacing w:after="0" w:line="215" w:lineRule="exact"/>
        <w:rPr>
          <w:rFonts w:ascii="Times New Roman" w:cs="Times New Roman" w:eastAsia="Times New Roman" w:hAnsi="Times New Roman"/>
          <w:sz w:val="20"/>
          <w:szCs w:val="20"/>
          <w:color w:val="auto"/>
        </w:rPr>
      </w:pPr>
    </w:p>
    <w:p>
      <w:pPr>
        <w:ind w:left="652" w:firstLine="645"/>
        <w:spacing w:after="0" w:line="269" w:lineRule="auto"/>
        <w:tabs>
          <w:tab w:leader="none" w:pos="1762"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duly organized and validly existing under the laws of the jurisdiction of its organization or incorporation and, if relevant under such laws, in good standing.</w:t>
      </w:r>
    </w:p>
    <w:p>
      <w:pPr>
        <w:spacing w:after="0" w:line="159"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89"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80" w:lineRule="exact"/>
        <w:rPr>
          <w:rFonts w:ascii="Times New Roman" w:cs="Times New Roman" w:eastAsia="Times New Roman" w:hAnsi="Times New Roman"/>
          <w:sz w:val="20"/>
          <w:szCs w:val="20"/>
          <w:color w:val="auto"/>
        </w:rPr>
      </w:pPr>
    </w:p>
    <w:p>
      <w:pPr>
        <w:jc w:val="both"/>
        <w:ind w:left="652" w:firstLine="645"/>
        <w:spacing w:after="0" w:line="254" w:lineRule="auto"/>
        <w:tabs>
          <w:tab w:leader="none" w:pos="1831"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4" w:lineRule="exact"/>
        <w:rPr>
          <w:rFonts w:ascii="Times New Roman" w:cs="Times New Roman" w:eastAsia="Times New Roman" w:hAnsi="Times New Roman"/>
          <w:sz w:val="20"/>
          <w:szCs w:val="20"/>
          <w:color w:val="auto"/>
        </w:rPr>
      </w:pPr>
    </w:p>
    <w:p>
      <w:pPr>
        <w:ind w:left="652" w:right="20" w:firstLine="645"/>
        <w:spacing w:after="0" w:line="269" w:lineRule="auto"/>
        <w:tabs>
          <w:tab w:leader="none" w:pos="1793"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59"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52"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0" w:lineRule="exact"/>
        <w:rPr>
          <w:rFonts w:ascii="Times New Roman" w:cs="Times New Roman" w:eastAsia="Times New Roman" w:hAnsi="Times New Roman"/>
          <w:sz w:val="20"/>
          <w:szCs w:val="20"/>
          <w:color w:val="auto"/>
        </w:rPr>
      </w:pPr>
    </w:p>
    <w:p>
      <w:pPr>
        <w:ind w:left="1112" w:hanging="464"/>
        <w:spacing w:after="0"/>
        <w:tabs>
          <w:tab w:leader="none" w:pos="1112"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represents and warrants to and for the benefit of GS&amp;Co. as follows:</w:t>
      </w:r>
    </w:p>
    <w:p>
      <w:pPr>
        <w:spacing w:after="0" w:line="215" w:lineRule="exact"/>
        <w:rPr>
          <w:rFonts w:ascii="Times New Roman" w:cs="Times New Roman" w:eastAsia="Times New Roman" w:hAnsi="Times New Roman"/>
          <w:sz w:val="20"/>
          <w:szCs w:val="20"/>
          <w:color w:val="auto"/>
        </w:rPr>
      </w:pPr>
    </w:p>
    <w:p>
      <w:pPr>
        <w:ind w:left="1752" w:hanging="455"/>
        <w:spacing w:after="0"/>
        <w:tabs>
          <w:tab w:leader="none" w:pos="1752"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the date hereof, Issuer is not aware of any material non-public information regarding Issuer or the Shares and</w:t>
      </w:r>
    </w:p>
    <w:p>
      <w:pPr>
        <w:spacing w:after="0" w:line="21" w:lineRule="exact"/>
        <w:rPr>
          <w:rFonts w:ascii="Times New Roman" w:cs="Times New Roman" w:eastAsia="Times New Roman" w:hAnsi="Times New Roman"/>
          <w:sz w:val="20"/>
          <w:szCs w:val="20"/>
          <w:color w:val="auto"/>
        </w:rPr>
      </w:pPr>
    </w:p>
    <w:p>
      <w:pPr>
        <w:jc w:val="both"/>
        <w:ind w:left="65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91"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35"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80" w:lineRule="exact"/>
        <w:rPr>
          <w:rFonts w:ascii="Times New Roman" w:cs="Times New Roman" w:eastAsia="Times New Roman" w:hAnsi="Times New Roman"/>
          <w:sz w:val="20"/>
          <w:szCs w:val="20"/>
          <w:color w:val="auto"/>
        </w:rPr>
      </w:pPr>
    </w:p>
    <w:p>
      <w:pPr>
        <w:ind w:left="652" w:firstLine="645"/>
        <w:spacing w:after="0" w:line="269" w:lineRule="auto"/>
        <w:tabs>
          <w:tab w:leader="none" w:pos="1791" w:val="left"/>
        </w:tabs>
        <w:numPr>
          <w:ilvl w:val="2"/>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acknowledges its responsibilities under applicable federal securities laws, including, without limitation, Rule 10b-5 under the Exchange Act, in relation to the Transaction and its amendment.</w:t>
      </w:r>
    </w:p>
    <w:p>
      <w:pPr>
        <w:spacing w:after="0" w:line="155" w:lineRule="exact"/>
        <w:rPr>
          <w:rFonts w:ascii="Times New Roman" w:cs="Times New Roman" w:eastAsia="Times New Roman" w:hAnsi="Times New Roman"/>
          <w:sz w:val="20"/>
          <w:szCs w:val="20"/>
          <w:color w:val="auto"/>
        </w:rPr>
      </w:pPr>
    </w:p>
    <w:p>
      <w:pPr>
        <w:ind w:left="-8" w:firstLine="8"/>
        <w:spacing w:after="0" w:line="273" w:lineRule="auto"/>
        <w:tabs>
          <w:tab w:leader="none" w:pos="19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Additional Amendments or Waivers</w:t>
      </w:r>
      <w:r>
        <w:rPr>
          <w:rFonts w:ascii="Times New Roman" w:cs="Times New Roman" w:eastAsia="Times New Roman" w:hAnsi="Times New Roman"/>
          <w:sz w:val="20"/>
          <w:szCs w:val="20"/>
          <w:color w:val="auto"/>
        </w:rPr>
        <w:t>. Except as amended hereby, all the terms of the Transaction and provisions in the Confirmation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 and continue in full force and effect and are hereby confirmed in all respects.</w:t>
      </w:r>
    </w:p>
    <w:p>
      <w:pPr>
        <w:spacing w:after="0" w:line="152" w:lineRule="exact"/>
        <w:rPr>
          <w:rFonts w:ascii="Times New Roman" w:cs="Times New Roman" w:eastAsia="Times New Roman" w:hAnsi="Times New Roman"/>
          <w:sz w:val="20"/>
          <w:szCs w:val="20"/>
          <w:color w:val="auto"/>
        </w:rPr>
      </w:pPr>
    </w:p>
    <w:p>
      <w:pPr>
        <w:ind w:left="-8" w:right="20" w:firstLine="8"/>
        <w:spacing w:after="0" w:line="273" w:lineRule="auto"/>
        <w:tabs>
          <w:tab w:leader="none" w:pos="19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Amendment may be signed in any number of counterparts, each of which shall be an original, with the same effect as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of the signatures thereto and hereto were upon the same instrument.</w:t>
      </w:r>
    </w:p>
    <w:p>
      <w:pPr>
        <w:sectPr>
          <w:pgSz w:w="11900" w:h="16838" w:orient="portrait"/>
          <w:cols w:equalWidth="0" w:num="1">
            <w:col w:w="11412"/>
          </w:cols>
          <w:pgMar w:left="248" w:top="576"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9"/>
          <w:szCs w:val="19"/>
          <w:color w:val="auto"/>
        </w:rPr>
        <w:t xml:space="preserve">6. </w:t>
      </w:r>
      <w:r>
        <w:rPr>
          <w:rFonts w:ascii="Times New Roman" w:cs="Times New Roman" w:eastAsia="Times New Roman" w:hAnsi="Times New Roman"/>
          <w:sz w:val="19"/>
          <w:szCs w:val="19"/>
          <w:i w:val="1"/>
          <w:iCs w:val="1"/>
          <w:color w:val="auto"/>
        </w:rPr>
        <w:t>Governing Law</w:t>
      </w:r>
      <w:r>
        <w:rPr>
          <w:rFonts w:ascii="Times New Roman" w:cs="Times New Roman" w:eastAsia="Times New Roman" w:hAnsi="Times New Roman"/>
          <w:sz w:val="19"/>
          <w:szCs w:val="19"/>
          <w:color w:val="auto"/>
        </w:rPr>
        <w:t>. The provisions of this Amendment shall be governed by the New York law (without reference to choice of law doctrine).</w:t>
      </w:r>
    </w:p>
    <w:p>
      <w:pPr>
        <w:sectPr>
          <w:pgSz w:w="11900" w:h="16838" w:orient="portrait"/>
          <w:cols w:equalWidth="0" w:num="1">
            <w:col w:w="11120"/>
          </w:cols>
          <w:pgMar w:left="240" w:top="572" w:right="539" w:bottom="1440" w:gutter="0" w:footer="0" w:header="0"/>
        </w:sectPr>
      </w:pPr>
    </w:p>
    <w:bookmarkStart w:id="93" w:name="page94"/>
    <w:bookmarkEnd w:id="93"/>
    <w:p>
      <w:pPr>
        <w:ind w:firstLine="648"/>
        <w:spacing w:after="0" w:line="269" w:lineRule="auto"/>
        <w:rPr>
          <w:sz w:val="20"/>
          <w:szCs w:val="20"/>
          <w:color w:val="auto"/>
        </w:rPr>
      </w:pPr>
      <w:r>
        <w:rPr>
          <w:rFonts w:ascii="Times New Roman" w:cs="Times New Roman" w:eastAsia="Times New Roman" w:hAnsi="Times New Roman"/>
          <w:sz w:val="20"/>
          <w:szCs w:val="20"/>
          <w:color w:val="auto"/>
        </w:rPr>
        <w:t>Please confirm that the foregoing correctly sets forth the terms of our agreement by executing this Amendment and returning it in the manner indicated in the attached cover letter.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GOLDMAN, SACHS &amp; CO.</w:t>
      </w:r>
    </w:p>
    <w:p>
      <w:pPr>
        <w:spacing w:after="0" w:line="200" w:lineRule="exact"/>
        <w:rPr>
          <w:sz w:val="20"/>
          <w:szCs w:val="20"/>
          <w:color w:val="auto"/>
        </w:rPr>
      </w:pPr>
    </w:p>
    <w:p>
      <w:pPr>
        <w:spacing w:after="0" w:line="23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Daniela A. Rouse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Daniela A. Rouse</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ectPr>
          <w:pgSz w:w="11900" w:h="16838" w:orient="portrait"/>
          <w:cols w:equalWidth="0" w:num="1">
            <w:col w:w="11200"/>
          </w:cols>
          <w:pgMar w:left="240" w:top="576"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Agreed and Accepted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3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Dominick Agron</w:t>
      </w:r>
    </w:p>
    <w:p>
      <w:pPr>
        <w:spacing w:after="0" w:line="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Dominick Agron</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Treasurer</w:t>
      </w:r>
    </w:p>
    <w:p>
      <w:pPr>
        <w:sectPr>
          <w:pgSz w:w="11900" w:h="16838" w:orient="portrait"/>
          <w:cols w:equalWidth="0" w:num="1">
            <w:col w:w="10219"/>
          </w:cols>
          <w:pgMar w:left="240" w:top="576"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10.9</w:t>
      </w:r>
    </w:p>
    <w:p>
      <w:pPr>
        <w:spacing w:after="0" w:line="30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Amendment, dated as of May 16, 2014,</w:t>
      </w:r>
    </w:p>
    <w:p>
      <w:pPr>
        <w:spacing w:after="0" w:line="3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to the Master Terms and Conditions for Warrants, dated as of October 18, 2011,</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as supplemented by a confirmation dated October 18, 2011,</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between Morgan Stanley &amp; Co. International plc and the Registrant.</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May 16, 2014</w:t>
      </w:r>
    </w:p>
    <w:p>
      <w:pPr>
        <w:spacing w:after="0" w:line="211" w:lineRule="exact"/>
        <w:rPr>
          <w:sz w:val="20"/>
          <w:szCs w:val="20"/>
          <w:color w:val="auto"/>
        </w:rPr>
      </w:pPr>
    </w:p>
    <w:p>
      <w:pPr>
        <w:sectPr>
          <w:pgSz w:w="11900" w:h="16838" w:orient="portrait"/>
          <w:cols w:equalWidth="0" w:num="2">
            <w:col w:w="440" w:space="360"/>
            <w:col w:w="10620"/>
          </w:cols>
          <w:pgMar w:left="240" w:top="66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Dominick Agron</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VP and Treasurer</w:t>
      </w:r>
    </w:p>
    <w:p>
      <w:pPr>
        <w:ind w:left="660"/>
        <w:spacing w:after="0"/>
        <w:rPr>
          <w:sz w:val="20"/>
          <w:szCs w:val="20"/>
          <w:color w:val="auto"/>
        </w:rPr>
      </w:pPr>
      <w:r>
        <w:rPr>
          <w:rFonts w:ascii="Times New Roman" w:cs="Times New Roman" w:eastAsia="Times New Roman" w:hAnsi="Times New Roman"/>
          <w:sz w:val="19"/>
          <w:szCs w:val="19"/>
          <w:color w:val="auto"/>
        </w:rPr>
        <w:t>777 Old Saw Mill River Road</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Tarrytown, NY 10591-6707</w:t>
      </w:r>
    </w:p>
    <w:p>
      <w:pPr>
        <w:spacing w:after="0" w:line="194" w:lineRule="exact"/>
        <w:rPr>
          <w:sz w:val="20"/>
          <w:szCs w:val="20"/>
          <w:color w:val="auto"/>
        </w:rPr>
      </w:pPr>
    </w:p>
    <w:p>
      <w:pPr>
        <w:sectPr>
          <w:pgSz w:w="11900" w:h="16838" w:orient="portrait"/>
          <w:cols w:equalWidth="0" w:num="2">
            <w:col w:w="820" w:space="480"/>
            <w:col w:w="10120"/>
          </w:cols>
          <w:pgMar w:left="240" w:top="661"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(914) 847-1555</w:t>
      </w:r>
    </w:p>
    <w:p>
      <w:pPr>
        <w:spacing w:after="0" w:line="211" w:lineRule="exact"/>
        <w:rPr>
          <w:sz w:val="20"/>
          <w:szCs w:val="20"/>
          <w:color w:val="auto"/>
        </w:rPr>
      </w:pPr>
    </w:p>
    <w:p>
      <w:pPr>
        <w:sectPr>
          <w:pgSz w:w="11900" w:h="16838" w:orient="portrait"/>
          <w:cols w:equalWidth="0" w:num="2">
            <w:col w:w="840" w:space="460"/>
            <w:col w:w="10120"/>
          </w:cols>
          <w:pgMar w:left="240" w:top="661"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Morgan Stanley &amp; Co. International plc c/o Morgan Stanley &amp; Co. LLC</w:t>
      </w:r>
    </w:p>
    <w:p>
      <w:pPr>
        <w:spacing w:after="0" w:line="211" w:lineRule="exact"/>
        <w:rPr>
          <w:sz w:val="20"/>
          <w:szCs w:val="20"/>
          <w:color w:val="auto"/>
        </w:rPr>
      </w:pPr>
    </w:p>
    <w:p>
      <w:pPr>
        <w:sectPr>
          <w:pgSz w:w="11900" w:h="16838" w:orient="portrait"/>
          <w:cols w:equalWidth="0" w:num="2">
            <w:col w:w="580" w:space="720"/>
            <w:col w:w="10120"/>
          </w:cols>
          <w:pgMar w:left="240" w:top="661" w:right="239" w:bottom="1440" w:gutter="0" w:footer="0" w:header="0"/>
          <w:type w:val="continuous"/>
        </w:sectPr>
      </w:pPr>
    </w:p>
    <w:p>
      <w:pPr>
        <w:spacing w:after="0" w:line="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color w:val="auto"/>
        </w:rPr>
        <w:t>Amendment of the Warrant Transaction between Morgan Stanley and Regeneron Pharmaceuticals, Inc.</w:t>
      </w:r>
    </w:p>
    <w:p>
      <w:pPr>
        <w:sectPr>
          <w:pgSz w:w="11900" w:h="16838" w:orient="portrait"/>
          <w:cols w:equalWidth="0" w:num="1">
            <w:col w:w="11420"/>
          </w:cols>
          <w:pgMar w:left="240" w:top="661"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Sir/Madam:</w:t>
      </w:r>
    </w:p>
    <w:p>
      <w:pPr>
        <w:spacing w:after="0" w:line="21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Morgan Stanley &amp; Co., International plc (“</w:t>
      </w:r>
      <w:r>
        <w:rPr>
          <w:rFonts w:ascii="Times New Roman" w:cs="Times New Roman" w:eastAsia="Times New Roman" w:hAnsi="Times New Roman"/>
          <w:sz w:val="20"/>
          <w:szCs w:val="20"/>
          <w:b w:val="1"/>
          <w:bCs w:val="1"/>
          <w:color w:val="auto"/>
        </w:rPr>
        <w:t>Morgan Stanley</w:t>
      </w:r>
      <w:r>
        <w:rPr>
          <w:rFonts w:ascii="Times New Roman" w:cs="Times New Roman" w:eastAsia="Times New Roman" w:hAnsi="Times New Roman"/>
          <w:sz w:val="20"/>
          <w:szCs w:val="20"/>
          <w:color w:val="auto"/>
        </w:rPr>
        <w:t>”) and Regeneron Pharmaceuticals, Inc. (“</w:t>
      </w:r>
      <w:r>
        <w:rPr>
          <w:rFonts w:ascii="Times New Roman" w:cs="Times New Roman" w:eastAsia="Times New Roman" w:hAnsi="Times New Roman"/>
          <w:sz w:val="20"/>
          <w:szCs w:val="20"/>
          <w:b w:val="1"/>
          <w:bCs w:val="1"/>
          <w:color w:val="auto"/>
        </w:rPr>
        <w:t>Issuer</w:t>
      </w:r>
      <w:r>
        <w:rPr>
          <w:rFonts w:ascii="Times New Roman" w:cs="Times New Roman" w:eastAsia="Times New Roman" w:hAnsi="Times New Roman"/>
          <w:sz w:val="20"/>
          <w:szCs w:val="20"/>
          <w:color w:val="auto"/>
        </w:rPr>
        <w:t>”) are parties to a warrant transaction as evidenced by the Master Terms and Conditions for Base Warrants Issued by Regeneron Pharmaceuticals, Inc. dated as of October 18, 2011, supplemented by the written confirmation dated as of October 18, 2011 (the “</w:t>
      </w:r>
      <w:r>
        <w:rPr>
          <w:rFonts w:ascii="Times New Roman" w:cs="Times New Roman" w:eastAsia="Times New Roman" w:hAnsi="Times New Roman"/>
          <w:sz w:val="20"/>
          <w:szCs w:val="20"/>
          <w:b w:val="1"/>
          <w:bCs w:val="1"/>
          <w:color w:val="auto"/>
        </w:rPr>
        <w:t>Confirmation</w:t>
      </w:r>
      <w:r>
        <w:rPr>
          <w:rFonts w:ascii="Times New Roman" w:cs="Times New Roman" w:eastAsia="Times New Roman" w:hAnsi="Times New Roman"/>
          <w:sz w:val="20"/>
          <w:szCs w:val="20"/>
          <w:color w:val="auto"/>
        </w:rPr>
        <w:t>”). Terms used herein but are not otherwise defined shall have meanings assigned to them in the Confirmation.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Upon the effectiveness of this Amendment,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71" w:lineRule="exact"/>
        <w:rPr>
          <w:sz w:val="20"/>
          <w:szCs w:val="20"/>
          <w:color w:val="auto"/>
        </w:rPr>
      </w:pPr>
    </w:p>
    <w:p>
      <w:pPr>
        <w:jc w:val="both"/>
        <w:ind w:firstLine="656"/>
        <w:spacing w:after="0" w:line="233" w:lineRule="auto"/>
        <w:tabs>
          <w:tab w:leader="none" w:pos="8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Effective upon payment of the Amendment Payment on the Payment Date (as defined below), the Number of Warrants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each Component of the Transaction shall be reduced by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the Applicable Number of Warrants (as defined below), with each such Number of Warrants rounded up to the nearest whole number, except that the Number of Warrants for the Component with the latest Expiration Date shall be reduced by the aggregate number resulting from such rounding.</w:t>
      </w:r>
    </w:p>
    <w:p>
      <w:pPr>
        <w:spacing w:after="0" w:line="185" w:lineRule="exact"/>
        <w:rPr>
          <w:rFonts w:ascii="Times New Roman" w:cs="Times New Roman" w:eastAsia="Times New Roman" w:hAnsi="Times New Roman"/>
          <w:sz w:val="20"/>
          <w:szCs w:val="20"/>
          <w:color w:val="auto"/>
        </w:rPr>
      </w:pPr>
    </w:p>
    <w:p>
      <w:pPr>
        <w:ind w:firstLine="656"/>
        <w:spacing w:after="0" w:line="273" w:lineRule="auto"/>
        <w:tabs>
          <w:tab w:leader="none" w:pos="84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 Payment</w:t>
      </w:r>
      <w:r>
        <w:rPr>
          <w:rFonts w:ascii="Times New Roman" w:cs="Times New Roman" w:eastAsia="Times New Roman" w:hAnsi="Times New Roman"/>
          <w:sz w:val="20"/>
          <w:szCs w:val="20"/>
          <w:color w:val="auto"/>
        </w:rPr>
        <w:t>. In consideration of the amendment of the Transaction, Issuer agrees to pay to Morgan Stanley on the 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an amount in USD (the “</w:t>
      </w:r>
      <w:r>
        <w:rPr>
          <w:rFonts w:ascii="Times New Roman" w:cs="Times New Roman" w:eastAsia="Times New Roman" w:hAnsi="Times New Roman"/>
          <w:sz w:val="20"/>
          <w:szCs w:val="20"/>
          <w:b w:val="1"/>
          <w:bCs w:val="1"/>
          <w:color w:val="auto"/>
        </w:rPr>
        <w:t>Amendment Payment</w:t>
      </w:r>
      <w:r>
        <w:rPr>
          <w:rFonts w:ascii="Times New Roman" w:cs="Times New Roman" w:eastAsia="Times New Roman" w:hAnsi="Times New Roman"/>
          <w:sz w:val="20"/>
          <w:szCs w:val="20"/>
          <w:color w:val="auto"/>
        </w:rPr>
        <w:t>”) as defined below.</w:t>
      </w:r>
    </w:p>
    <w:p>
      <w:pPr>
        <w:spacing w:after="0" w:line="156" w:lineRule="exact"/>
        <w:rPr>
          <w:sz w:val="20"/>
          <w:szCs w:val="20"/>
          <w:color w:val="auto"/>
        </w:rPr>
      </w:pPr>
    </w:p>
    <w:p>
      <w:pPr>
        <w:ind w:left="660"/>
        <w:spacing w:after="0"/>
        <w:tabs>
          <w:tab w:leader="none" w:pos="3420" w:val="left"/>
        </w:tabs>
        <w:rPr>
          <w:sz w:val="20"/>
          <w:szCs w:val="20"/>
          <w:color w:val="auto"/>
        </w:rPr>
      </w:pPr>
      <w:r>
        <w:rPr>
          <w:rFonts w:ascii="Times New Roman" w:cs="Times New Roman" w:eastAsia="Times New Roman" w:hAnsi="Times New Roman"/>
          <w:sz w:val="20"/>
          <w:szCs w:val="20"/>
          <w:color w:val="auto"/>
        </w:rPr>
        <w:t>Applicable Number of Warrants:</w:t>
      </w:r>
      <w:r>
        <w:rPr>
          <w:sz w:val="20"/>
          <w:szCs w:val="20"/>
          <w:color w:val="auto"/>
        </w:rPr>
        <w:tab/>
      </w:r>
      <w:r>
        <w:rPr>
          <w:rFonts w:ascii="Times New Roman" w:cs="Times New Roman" w:eastAsia="Times New Roman" w:hAnsi="Times New Roman"/>
          <w:sz w:val="19"/>
          <w:szCs w:val="19"/>
          <w:color w:val="auto"/>
        </w:rPr>
        <w:t>181,879</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58"/>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Amendment Payment Amount:</w:t>
            </w:r>
          </w:p>
        </w:tc>
        <w:tc>
          <w:tcPr>
            <w:tcW w:w="17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7"/>
              </w:rPr>
              <w:t>USD 36,425,962.23</w:t>
            </w:r>
          </w:p>
        </w:tc>
      </w:tr>
      <w:tr>
        <w:trPr>
          <w:trHeight w:val="446"/>
        </w:trPr>
        <w:tc>
          <w:tcPr>
            <w:tcW w:w="1520" w:type="dxa"/>
            <w:vAlign w:val="bottom"/>
          </w:tcPr>
          <w:p>
            <w:pPr>
              <w:spacing w:after="0"/>
              <w:rPr>
                <w:sz w:val="20"/>
                <w:szCs w:val="20"/>
                <w:color w:val="auto"/>
              </w:rPr>
            </w:pPr>
            <w:r>
              <w:rPr>
                <w:rFonts w:ascii="Times New Roman" w:cs="Times New Roman" w:eastAsia="Times New Roman" w:hAnsi="Times New Roman"/>
                <w:sz w:val="20"/>
                <w:szCs w:val="20"/>
                <w:color w:val="auto"/>
              </w:rPr>
              <w:t>Payment Date:</w:t>
            </w:r>
          </w:p>
        </w:tc>
        <w:tc>
          <w:tcPr>
            <w:tcW w:w="290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May 21, 2014</w:t>
            </w:r>
          </w:p>
        </w:tc>
      </w:tr>
    </w:tbl>
    <w:p>
      <w:pPr>
        <w:sectPr>
          <w:pgSz w:w="11900" w:h="16838" w:orient="portrait"/>
          <w:cols w:equalWidth="0" w:num="1">
            <w:col w:w="11420"/>
          </w:cols>
          <w:pgMar w:left="240" w:top="661" w:right="239" w:bottom="1440" w:gutter="0" w:footer="0" w:header="0"/>
          <w:type w:val="continuous"/>
        </w:sectPr>
      </w:pPr>
    </w:p>
    <w:bookmarkStart w:id="96" w:name="page97"/>
    <w:bookmarkEnd w:id="96"/>
    <w:p>
      <w:pPr>
        <w:ind w:left="852" w:hanging="204"/>
        <w:spacing w:after="0"/>
        <w:tabs>
          <w:tab w:leader="none" w:pos="85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Representations and Warranties.</w:t>
      </w:r>
    </w:p>
    <w:p>
      <w:pPr>
        <w:spacing w:after="0" w:line="220" w:lineRule="exact"/>
        <w:rPr>
          <w:sz w:val="20"/>
          <w:szCs w:val="20"/>
          <w:color w:val="auto"/>
        </w:rPr>
      </w:pPr>
    </w:p>
    <w:p>
      <w:pPr>
        <w:ind w:left="1092" w:hanging="444"/>
        <w:spacing w:after="0"/>
        <w:tabs>
          <w:tab w:leader="none" w:pos="109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represents to the other party that:</w:t>
      </w:r>
    </w:p>
    <w:p>
      <w:pPr>
        <w:spacing w:after="0" w:line="215" w:lineRule="exact"/>
        <w:rPr>
          <w:rFonts w:ascii="Times New Roman" w:cs="Times New Roman" w:eastAsia="Times New Roman" w:hAnsi="Times New Roman"/>
          <w:sz w:val="20"/>
          <w:szCs w:val="20"/>
          <w:color w:val="auto"/>
        </w:rPr>
      </w:pPr>
    </w:p>
    <w:p>
      <w:pPr>
        <w:ind w:left="652" w:firstLine="645"/>
        <w:spacing w:after="0" w:line="269" w:lineRule="auto"/>
        <w:tabs>
          <w:tab w:leader="none" w:pos="176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duly organized and validly existing under the laws of the jurisdiction of its organization or incorporation and, if relevant under such laws, in good standing.</w:t>
      </w:r>
    </w:p>
    <w:p>
      <w:pPr>
        <w:spacing w:after="0" w:line="159"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89"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80" w:lineRule="exact"/>
        <w:rPr>
          <w:rFonts w:ascii="Times New Roman" w:cs="Times New Roman" w:eastAsia="Times New Roman" w:hAnsi="Times New Roman"/>
          <w:sz w:val="20"/>
          <w:szCs w:val="20"/>
          <w:color w:val="auto"/>
        </w:rPr>
      </w:pPr>
    </w:p>
    <w:p>
      <w:pPr>
        <w:jc w:val="both"/>
        <w:ind w:left="652" w:firstLine="645"/>
        <w:spacing w:after="0" w:line="254" w:lineRule="auto"/>
        <w:tabs>
          <w:tab w:leader="none" w:pos="1831"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74" w:lineRule="exact"/>
        <w:rPr>
          <w:rFonts w:ascii="Times New Roman" w:cs="Times New Roman" w:eastAsia="Times New Roman" w:hAnsi="Times New Roman"/>
          <w:sz w:val="20"/>
          <w:szCs w:val="20"/>
          <w:color w:val="auto"/>
        </w:rPr>
      </w:pPr>
    </w:p>
    <w:p>
      <w:pPr>
        <w:ind w:left="652" w:right="20" w:firstLine="645"/>
        <w:spacing w:after="0" w:line="269" w:lineRule="auto"/>
        <w:tabs>
          <w:tab w:leader="none" w:pos="1793"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59"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5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80" w:lineRule="exact"/>
        <w:rPr>
          <w:rFonts w:ascii="Times New Roman" w:cs="Times New Roman" w:eastAsia="Times New Roman" w:hAnsi="Times New Roman"/>
          <w:sz w:val="20"/>
          <w:szCs w:val="20"/>
          <w:color w:val="auto"/>
        </w:rPr>
      </w:pPr>
    </w:p>
    <w:p>
      <w:pPr>
        <w:ind w:left="1112" w:hanging="464"/>
        <w:spacing w:after="0"/>
        <w:tabs>
          <w:tab w:leader="none" w:pos="1112"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represents and warrants to and for the benefit of Morgan Stanley as follows:</w:t>
      </w:r>
    </w:p>
    <w:p>
      <w:pPr>
        <w:spacing w:after="0" w:line="215" w:lineRule="exact"/>
        <w:rPr>
          <w:rFonts w:ascii="Times New Roman" w:cs="Times New Roman" w:eastAsia="Times New Roman" w:hAnsi="Times New Roman"/>
          <w:sz w:val="20"/>
          <w:szCs w:val="20"/>
          <w:color w:val="auto"/>
        </w:rPr>
      </w:pPr>
    </w:p>
    <w:p>
      <w:pPr>
        <w:ind w:left="1752" w:hanging="455"/>
        <w:spacing w:after="0"/>
        <w:tabs>
          <w:tab w:leader="none" w:pos="1752"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On the date hereof, Issuer is not aware of any material non-public information regarding Issuer or the Shares and</w:t>
      </w:r>
    </w:p>
    <w:p>
      <w:pPr>
        <w:spacing w:after="0" w:line="21" w:lineRule="exact"/>
        <w:rPr>
          <w:rFonts w:ascii="Times New Roman" w:cs="Times New Roman" w:eastAsia="Times New Roman" w:hAnsi="Times New Roman"/>
          <w:sz w:val="20"/>
          <w:szCs w:val="20"/>
          <w:color w:val="auto"/>
        </w:rPr>
      </w:pPr>
    </w:p>
    <w:p>
      <w:pPr>
        <w:jc w:val="both"/>
        <w:ind w:left="65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its most recent Annual Report on Form 10-K, taken together with all reports and other documents subsequently filed by Issuer with the Securities and Exchange Commission pursuant to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91" w:lineRule="exact"/>
        <w:rPr>
          <w:rFonts w:ascii="Times New Roman" w:cs="Times New Roman" w:eastAsia="Times New Roman" w:hAnsi="Times New Roman"/>
          <w:sz w:val="20"/>
          <w:szCs w:val="20"/>
          <w:color w:val="auto"/>
        </w:rPr>
      </w:pPr>
    </w:p>
    <w:p>
      <w:pPr>
        <w:jc w:val="both"/>
        <w:ind w:left="652" w:firstLine="645"/>
        <w:spacing w:after="0" w:line="249" w:lineRule="auto"/>
        <w:tabs>
          <w:tab w:leader="none" w:pos="1735"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80" w:lineRule="exact"/>
        <w:rPr>
          <w:rFonts w:ascii="Times New Roman" w:cs="Times New Roman" w:eastAsia="Times New Roman" w:hAnsi="Times New Roman"/>
          <w:sz w:val="20"/>
          <w:szCs w:val="20"/>
          <w:color w:val="auto"/>
        </w:rPr>
      </w:pPr>
    </w:p>
    <w:p>
      <w:pPr>
        <w:ind w:left="652" w:firstLine="645"/>
        <w:spacing w:after="0" w:line="269" w:lineRule="auto"/>
        <w:tabs>
          <w:tab w:leader="none" w:pos="1791" w:val="left"/>
        </w:tabs>
        <w:numPr>
          <w:ilvl w:val="2"/>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Issuer acknowledges its responsibilities under applicable federal securities laws, including, without limitation, Rule 10b-5 under the Exchange Act, in relation to the Transaction and its amendment.</w:t>
      </w:r>
    </w:p>
    <w:p>
      <w:pPr>
        <w:spacing w:after="0" w:line="155" w:lineRule="exact"/>
        <w:rPr>
          <w:rFonts w:ascii="Times New Roman" w:cs="Times New Roman" w:eastAsia="Times New Roman" w:hAnsi="Times New Roman"/>
          <w:sz w:val="20"/>
          <w:szCs w:val="20"/>
          <w:color w:val="auto"/>
        </w:rPr>
      </w:pPr>
    </w:p>
    <w:p>
      <w:pPr>
        <w:ind w:left="-8" w:firstLine="8"/>
        <w:spacing w:after="0" w:line="273" w:lineRule="auto"/>
        <w:tabs>
          <w:tab w:leader="none" w:pos="1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Additional Amendments or Waivers</w:t>
      </w:r>
      <w:r>
        <w:rPr>
          <w:rFonts w:ascii="Times New Roman" w:cs="Times New Roman" w:eastAsia="Times New Roman" w:hAnsi="Times New Roman"/>
          <w:sz w:val="20"/>
          <w:szCs w:val="20"/>
          <w:color w:val="auto"/>
        </w:rPr>
        <w:t>. Except as amended hereby, all the terms of the Transaction and provisions in the Confirmation shall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 and continue in full force and effect and are hereby confirmed in all respects.</w:t>
      </w:r>
    </w:p>
    <w:p>
      <w:pPr>
        <w:spacing w:after="0" w:line="152" w:lineRule="exact"/>
        <w:rPr>
          <w:rFonts w:ascii="Times New Roman" w:cs="Times New Roman" w:eastAsia="Times New Roman" w:hAnsi="Times New Roman"/>
          <w:sz w:val="20"/>
          <w:szCs w:val="20"/>
          <w:color w:val="auto"/>
        </w:rPr>
      </w:pPr>
    </w:p>
    <w:p>
      <w:pPr>
        <w:ind w:left="-8" w:right="20" w:firstLine="8"/>
        <w:spacing w:after="0" w:line="273" w:lineRule="auto"/>
        <w:tabs>
          <w:tab w:leader="none" w:pos="19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Amendment may be signed in any number of counterparts, each of which shall be an original, with the same effect as if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 of the signatures thereto and hereto were upon the same instrument.</w:t>
      </w:r>
    </w:p>
    <w:p>
      <w:pPr>
        <w:spacing w:after="0" w:line="152" w:lineRule="exact"/>
        <w:rPr>
          <w:rFonts w:ascii="Times New Roman" w:cs="Times New Roman" w:eastAsia="Times New Roman" w:hAnsi="Times New Roman"/>
          <w:sz w:val="20"/>
          <w:szCs w:val="20"/>
          <w:color w:val="auto"/>
        </w:rPr>
      </w:pPr>
    </w:p>
    <w:p>
      <w:pPr>
        <w:ind w:left="192" w:hanging="192"/>
        <w:spacing w:after="0"/>
        <w:tabs>
          <w:tab w:leader="none" w:pos="192"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The provisions of this Amendment shall be governed by the New York law (without reference to choice of law doctrine).</w:t>
      </w:r>
    </w:p>
    <w:p>
      <w:pPr>
        <w:sectPr>
          <w:pgSz w:w="11900" w:h="16838" w:orient="portrait"/>
          <w:cols w:equalWidth="0" w:num="1">
            <w:col w:w="11412"/>
          </w:cols>
          <w:pgMar w:left="248" w:top="572" w:right="239" w:bottom="1440" w:gutter="0" w:footer="0" w:header="0"/>
        </w:sectPr>
      </w:pPr>
    </w:p>
    <w:bookmarkStart w:id="97" w:name="page98"/>
    <w:bookmarkEnd w:id="97"/>
    <w:p>
      <w:pPr>
        <w:ind w:firstLine="648"/>
        <w:spacing w:after="0" w:line="269" w:lineRule="auto"/>
        <w:rPr>
          <w:sz w:val="20"/>
          <w:szCs w:val="20"/>
          <w:color w:val="auto"/>
        </w:rPr>
      </w:pPr>
      <w:r>
        <w:rPr>
          <w:rFonts w:ascii="Times New Roman" w:cs="Times New Roman" w:eastAsia="Times New Roman" w:hAnsi="Times New Roman"/>
          <w:sz w:val="20"/>
          <w:szCs w:val="20"/>
          <w:color w:val="auto"/>
        </w:rPr>
        <w:t>Please confirm that the foregoing correctly sets forth the terms of our agreement by executing this Amendment and returning it in the manner indicated in the attached cover letter.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MORGAN STANLEY &amp; CO. INTERNATIONAL PLC</w:t>
      </w:r>
    </w:p>
    <w:p>
      <w:pPr>
        <w:spacing w:after="0" w:line="200" w:lineRule="exact"/>
        <w:rPr>
          <w:sz w:val="20"/>
          <w:szCs w:val="20"/>
          <w:color w:val="auto"/>
        </w:rPr>
      </w:pPr>
    </w:p>
    <w:p>
      <w:pPr>
        <w:spacing w:after="0" w:line="23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Joseph Picaza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Joseph Picaza</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tab/>
        <w:t>Executive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MORGAN STANLEY &amp; CO.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AGENT</w:t>
      </w:r>
    </w:p>
    <w:p>
      <w:pPr>
        <w:spacing w:after="0" w:line="200" w:lineRule="exact"/>
        <w:rPr>
          <w:sz w:val="20"/>
          <w:szCs w:val="20"/>
          <w:color w:val="auto"/>
        </w:rPr>
      </w:pPr>
    </w:p>
    <w:p>
      <w:pPr>
        <w:spacing w:after="0" w:line="2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Michael Stern</w:t>
      </w:r>
    </w:p>
    <w:p>
      <w:pPr>
        <w:spacing w:after="0" w:line="2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Name:</w:t>
        <w:tab/>
        <w:t>Michael Stern</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w:t>
      </w:r>
    </w:p>
    <w:p>
      <w:pPr>
        <w:sectPr>
          <w:pgSz w:w="11900" w:h="16838" w:orient="portrait"/>
          <w:cols w:equalWidth="0" w:num="1">
            <w:col w:w="11200"/>
          </w:cols>
          <w:pgMar w:left="240" w:top="576"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t>Agreed and Accepted 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Regeneron Pharmaceuticals, Inc.</w:t>
      </w:r>
    </w:p>
    <w:p>
      <w:pPr>
        <w:spacing w:after="0" w:line="32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Dominick Agron</w:t>
      </w:r>
    </w:p>
    <w:p>
      <w:pPr>
        <w:spacing w:after="0" w:line="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Dominick Agron</w:t>
      </w: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Treasurer</w:t>
      </w:r>
    </w:p>
    <w:p>
      <w:pPr>
        <w:sectPr>
          <w:pgSz w:w="11900" w:h="16838" w:orient="portrait"/>
          <w:cols w:equalWidth="0" w:num="1">
            <w:col w:w="10219"/>
          </w:cols>
          <w:pgMar w:left="240" w:top="576" w:right="1440"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5, 2014</w:t>
      </w:r>
      <w:r>
        <w:rPr>
          <w:sz w:val="20"/>
          <w:szCs w:val="20"/>
          <w:color w:val="auto"/>
        </w:rPr>
        <w:tab/>
      </w:r>
      <w:r>
        <w:rPr>
          <w:rFonts w:ascii="Times New Roman" w:cs="Times New Roman" w:eastAsia="Times New Roman" w:hAnsi="Times New Roman"/>
          <w:sz w:val="17"/>
          <w:szCs w:val="17"/>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171"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4"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13" w:lineRule="auto"/>
        <w:tabs>
          <w:tab w:leader="none" w:pos="98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4" w:lineRule="exact"/>
        <w:rPr>
          <w:rFonts w:ascii="Times New Roman" w:cs="Times New Roman" w:eastAsia="Times New Roman" w:hAnsi="Times New Roman"/>
          <w:sz w:val="17"/>
          <w:szCs w:val="17"/>
          <w:color w:val="auto"/>
        </w:rPr>
      </w:pPr>
    </w:p>
    <w:p>
      <w:pPr>
        <w:ind w:left="980" w:right="260" w:hanging="324"/>
        <w:spacing w:after="0" w:line="266"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80"/>
        <w:spacing w:after="0"/>
        <w:tabs>
          <w:tab w:leader="none" w:pos="4360" w:val="left"/>
        </w:tabs>
        <w:rPr>
          <w:sz w:val="20"/>
          <w:szCs w:val="20"/>
          <w:color w:val="auto"/>
        </w:rPr>
      </w:pPr>
      <w:r>
        <w:rPr>
          <w:rFonts w:ascii="Times New Roman" w:cs="Times New Roman" w:eastAsia="Times New Roman" w:hAnsi="Times New Roman"/>
          <w:sz w:val="18"/>
          <w:szCs w:val="18"/>
          <w:color w:val="auto"/>
        </w:rPr>
        <w:t>Date: August 5, 2014</w:t>
      </w:r>
      <w:r>
        <w:rPr>
          <w:sz w:val="20"/>
          <w:szCs w:val="20"/>
          <w:color w:val="auto"/>
        </w:rPr>
        <w:tab/>
      </w: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June 30, 2014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5, 2014</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Senior Vice President, Finance and Chief</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August 5, 2014</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Ÿ"/>
      <w:numFmt w:val="bullet"/>
      <w:start w:val="1"/>
    </w:lvl>
  </w:abstractNum>
  <w:abstractNum w:abstractNumId="10">
    <w:nsid w:val="737B8DDC"/>
    <w:multiLevelType w:val="hybridMultilevel"/>
    <w:lvl w:ilvl="0">
      <w:lvlJc w:val="left"/>
      <w:lvlText w:val="Ÿ"/>
      <w:numFmt w:val="bullet"/>
      <w:start w:val="1"/>
    </w:lvl>
  </w:abstractNum>
  <w:abstractNum w:abstractNumId="11">
    <w:nsid w:val="6CEAF087"/>
    <w:multiLevelType w:val="hybridMultilevel"/>
    <w:lvl w:ilvl="0">
      <w:lvlJc w:val="left"/>
      <w:lvlText w:val="Ÿ"/>
      <w:numFmt w:val="bullet"/>
      <w:start w:val="1"/>
    </w:lvl>
  </w:abstractNum>
  <w:abstractNum w:abstractNumId="12">
    <w:nsid w:val="22221A70"/>
    <w:multiLevelType w:val="hybridMultilevel"/>
    <w:lvl w:ilvl="0">
      <w:lvlJc w:val="left"/>
      <w:lvlText w:val="Ÿ"/>
      <w:numFmt w:val="bullet"/>
      <w:start w:val="1"/>
    </w:lvl>
  </w:abstractNum>
  <w:abstractNum w:abstractNumId="13">
    <w:nsid w:val="4516DDE9"/>
    <w:multiLevelType w:val="hybridMultilevel"/>
    <w:lvl w:ilvl="0">
      <w:lvlJc w:val="left"/>
      <w:lvlText w:val="Ÿ"/>
      <w:numFmt w:val="bullet"/>
      <w:start w:val="1"/>
    </w:lvl>
  </w:abstractNum>
  <w:abstractNum w:abstractNumId="14">
    <w:nsid w:val="3006C83E"/>
    <w:multiLevelType w:val="hybridMultilevel"/>
    <w:lvl w:ilvl="0">
      <w:lvlJc w:val="left"/>
      <w:lvlText w:val="Ÿ"/>
      <w:numFmt w:val="bullet"/>
      <w:start w:val="1"/>
    </w:lvl>
  </w:abstractNum>
  <w:abstractNum w:abstractNumId="15">
    <w:nsid w:val="614FD4A1"/>
    <w:multiLevelType w:val="hybridMultilevel"/>
    <w:lvl w:ilvl="0">
      <w:lvlJc w:val="left"/>
      <w:lvlText w:val="Ÿ"/>
      <w:numFmt w:val="bullet"/>
      <w:start w:val="1"/>
    </w:lvl>
  </w:abstractNum>
  <w:abstractNum w:abstractNumId="16">
    <w:nsid w:val="419AC241"/>
    <w:multiLevelType w:val="hybridMultilevel"/>
    <w:lvl w:ilvl="0">
      <w:lvlJc w:val="left"/>
      <w:lvlText w:val="Ÿ"/>
      <w:numFmt w:val="bullet"/>
      <w:start w:val="1"/>
    </w:lvl>
  </w:abstractNum>
  <w:abstractNum w:abstractNumId="17">
    <w:nsid w:val="5577F8E1"/>
    <w:multiLevelType w:val="hybridMultilevel"/>
    <w:lvl w:ilvl="0">
      <w:lvlJc w:val="left"/>
      <w:lvlText w:val="(%1)"/>
      <w:numFmt w:val="decimal"/>
    </w:lvl>
    <w:lvl w:ilvl="1">
      <w:lvlJc w:val="left"/>
      <w:lvlText w:val="*"/>
      <w:numFmt w:val="bullet"/>
      <w:start w:val="1"/>
    </w:lvl>
  </w:abstractNum>
  <w:abstractNum w:abstractNumId="18">
    <w:nsid w:val="440BADFC"/>
    <w:multiLevelType w:val="hybridMultilevel"/>
    <w:lvl w:ilvl="0">
      <w:lvlJc w:val="left"/>
      <w:lvlText w:val="(%1)"/>
      <w:numFmt w:val="decimal"/>
    </w:lvl>
    <w:lvl w:ilvl="1">
      <w:lvlJc w:val="left"/>
      <w:lvlText w:val="*"/>
      <w:numFmt w:val="bullet"/>
      <w:start w:val="1"/>
    </w:lvl>
  </w:abstractNum>
  <w:abstractNum w:abstractNumId="19">
    <w:nsid w:val="5072367"/>
    <w:multiLevelType w:val="hybridMultilevel"/>
    <w:lvl w:ilvl="0">
      <w:lvlJc w:val="left"/>
      <w:lvlText w:val="(%1)"/>
      <w:numFmt w:val="lowerRoman"/>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lowerRoman"/>
      <w:start w:val="4"/>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1D4ED43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5">
    <w:nsid w:val="725A06FB"/>
    <w:multiLevelType w:val="hybridMultilevel"/>
    <w:lvl w:ilvl="0">
      <w:lvlJc w:val="left"/>
      <w:lvlText w:val="%1."/>
      <w:numFmt w:val="decimal"/>
      <w:start w:val="5"/>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2"/>
    </w:lvl>
  </w:abstractNum>
  <w:abstractNum w:abstractNumId="38">
    <w:nsid w:val="7A6D8D3C"/>
    <w:multiLevelType w:val="hybridMultilevel"/>
    <w:lvl w:ilvl="0">
      <w:lvlJc w:val="left"/>
      <w:lvlText w:val="%1."/>
      <w:numFmt w:val="decimal"/>
      <w:start w:val="3"/>
    </w:lvl>
  </w:abstractNum>
  <w:abstractNum w:abstractNumId="39">
    <w:nsid w:val="4B588F54"/>
    <w:multiLevelType w:val="hybridMultilevel"/>
    <w:lvl w:ilvl="0">
      <w:lvlJc w:val="left"/>
      <w:lvlText w:val="(%1)"/>
      <w:numFmt w:val="lowerLetter"/>
      <w:start w:val="1"/>
    </w:lvl>
    <w:lvl w:ilvl="1">
      <w:lvlJc w:val="left"/>
      <w:lvlText w:val="(%2)"/>
      <w:numFmt w:val="lowerRoman"/>
      <w:start w:val="1"/>
    </w:lvl>
  </w:abstractNum>
  <w:abstractNum w:abstractNumId="40">
    <w:nsid w:val="542289EC"/>
    <w:multiLevelType w:val="hybridMultilevel"/>
    <w:lvl w:ilvl="0">
      <w:lvlJc w:val="left"/>
      <w:lvlText w:val="%1."/>
      <w:numFmt w:val="decimal"/>
      <w:start w:val="4"/>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3"/>
    </w:lvl>
  </w:abstractNum>
  <w:abstractNum w:abstractNumId="43">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32FFF90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3"/>
    </w:lvl>
  </w:abstractNum>
  <w:abstractNum w:abstractNumId="47">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3DC240F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2019-12-06T03:50:14Z</dcterms:created>
  <dcterms:modified xsi:type="dcterms:W3CDTF">2019-12-06T03:50:14Z</dcterms:modified>
</cp:coreProperties>
</file>